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bCs/>
          <w:color w:val="000000" w:themeColor="text1"/>
          <w:sz w:val="24"/>
          <w14:textFill>
            <w14:solidFill>
              <w14:schemeClr w14:val="tx1"/>
            </w14:solidFill>
          </w14:textFill>
        </w:rPr>
      </w:pPr>
      <w:bookmarkStart w:id="0" w:name="_Toc123701386"/>
      <w:bookmarkStart w:id="1" w:name="_Toc123112266"/>
      <w:bookmarkStart w:id="2" w:name="_Toc123112227"/>
      <w:bookmarkStart w:id="3" w:name="_Toc139991729"/>
    </w:p>
    <w:p>
      <w:pPr>
        <w:jc w:val="center"/>
        <w:rPr>
          <w:b/>
          <w:color w:val="000000" w:themeColor="text1"/>
          <w:sz w:val="52"/>
          <w14:textFill>
            <w14:solidFill>
              <w14:schemeClr w14:val="tx1"/>
            </w14:solidFill>
          </w14:textFill>
        </w:rPr>
      </w:pPr>
    </w:p>
    <w:p>
      <w:pPr>
        <w:jc w:val="center"/>
        <w:rPr>
          <w:b/>
          <w:color w:val="000000" w:themeColor="text1"/>
          <w:sz w:val="52"/>
          <w14:textFill>
            <w14:solidFill>
              <w14:schemeClr w14:val="tx1"/>
            </w14:solidFill>
          </w14:textFill>
        </w:rPr>
      </w:pPr>
    </w:p>
    <w:p>
      <w:pPr>
        <w:jc w:val="center"/>
        <w:rPr>
          <w:b/>
          <w:color w:val="000000" w:themeColor="text1"/>
          <w:sz w:val="52"/>
          <w14:textFill>
            <w14:solidFill>
              <w14:schemeClr w14:val="tx1"/>
            </w14:solidFill>
          </w14:textFill>
        </w:rPr>
      </w:pPr>
    </w:p>
    <w:p>
      <w:pPr>
        <w:rPr>
          <w:b/>
          <w:color w:val="000000" w:themeColor="text1"/>
          <w14:textFill>
            <w14:solidFill>
              <w14:schemeClr w14:val="tx1"/>
            </w14:solidFill>
          </w14:textFill>
        </w:rPr>
      </w:pPr>
    </w:p>
    <w:p>
      <w:pPr>
        <w:jc w:val="center"/>
        <w:rPr>
          <w:b/>
          <w:color w:val="000000" w:themeColor="text1"/>
          <w:sz w:val="52"/>
          <w14:textFill>
            <w14:solidFill>
              <w14:schemeClr w14:val="tx1"/>
            </w14:solidFill>
          </w14:textFill>
        </w:rPr>
      </w:pPr>
    </w:p>
    <w:p>
      <w:pPr>
        <w:jc w:val="center"/>
        <w:rPr>
          <w:b/>
          <w:color w:val="000000" w:themeColor="text1"/>
          <w:sz w:val="40"/>
          <w14:textFill>
            <w14:solidFill>
              <w14:schemeClr w14:val="tx1"/>
            </w14:solidFill>
          </w14:textFill>
        </w:rPr>
      </w:pPr>
      <w:r>
        <w:rPr>
          <w:rFonts w:hint="eastAsia"/>
          <w:b/>
          <w:color w:val="000000" w:themeColor="text1"/>
          <w:sz w:val="40"/>
          <w14:textFill>
            <w14:solidFill>
              <w14:schemeClr w14:val="tx1"/>
            </w14:solidFill>
          </w14:textFill>
        </w:rPr>
        <w:t>华夏中证REITs全收益指数证券投资</w:t>
      </w:r>
    </w:p>
    <w:p>
      <w:pPr>
        <w:jc w:val="center"/>
        <w:rPr>
          <w:b/>
          <w:color w:val="000000" w:themeColor="text1"/>
          <w:sz w:val="40"/>
          <w14:textFill>
            <w14:solidFill>
              <w14:schemeClr w14:val="tx1"/>
            </w14:solidFill>
          </w14:textFill>
        </w:rPr>
      </w:pPr>
      <w:r>
        <w:rPr>
          <w:rFonts w:hint="eastAsia"/>
          <w:b/>
          <w:color w:val="000000" w:themeColor="text1"/>
          <w:sz w:val="40"/>
          <w14:textFill>
            <w14:solidFill>
              <w14:schemeClr w14:val="tx1"/>
            </w14:solidFill>
          </w14:textFill>
        </w:rPr>
        <w:t>基金基金合同</w:t>
      </w:r>
    </w:p>
    <w:p>
      <w:pPr>
        <w:jc w:val="center"/>
        <w:rPr>
          <w:b/>
          <w:color w:val="000000" w:themeColor="text1"/>
          <w:sz w:val="52"/>
          <w14:textFill>
            <w14:solidFill>
              <w14:schemeClr w14:val="tx1"/>
            </w14:solidFill>
          </w14:textFill>
        </w:rPr>
      </w:pPr>
    </w:p>
    <w:p>
      <w:pPr>
        <w:jc w:val="center"/>
        <w:rPr>
          <w:b/>
          <w:color w:val="000000" w:themeColor="text1"/>
          <w:sz w:val="52"/>
          <w14:textFill>
            <w14:solidFill>
              <w14:schemeClr w14:val="tx1"/>
            </w14:solidFill>
          </w14:textFill>
        </w:rPr>
      </w:pPr>
    </w:p>
    <w:p>
      <w:pPr>
        <w:jc w:val="center"/>
        <w:rPr>
          <w:b/>
          <w:color w:val="000000" w:themeColor="text1"/>
          <w:sz w:val="52"/>
          <w14:textFill>
            <w14:solidFill>
              <w14:schemeClr w14:val="tx1"/>
            </w14:solidFill>
          </w14:textFill>
        </w:rPr>
      </w:pPr>
    </w:p>
    <w:p>
      <w:pPr>
        <w:jc w:val="center"/>
        <w:rPr>
          <w:b/>
          <w:color w:val="000000" w:themeColor="text1"/>
          <w:sz w:val="52"/>
          <w14:textFill>
            <w14:solidFill>
              <w14:schemeClr w14:val="tx1"/>
            </w14:solidFill>
          </w14:textFill>
        </w:rPr>
      </w:pPr>
    </w:p>
    <w:p>
      <w:pPr>
        <w:jc w:val="center"/>
        <w:rPr>
          <w:b/>
          <w:color w:val="000000" w:themeColor="text1"/>
          <w:sz w:val="52"/>
          <w14:textFill>
            <w14:solidFill>
              <w14:schemeClr w14:val="tx1"/>
            </w14:solidFill>
          </w14:textFill>
        </w:rPr>
      </w:pPr>
    </w:p>
    <w:p>
      <w:pPr>
        <w:jc w:val="center"/>
        <w:rPr>
          <w:b/>
          <w:color w:val="000000" w:themeColor="text1"/>
          <w:sz w:val="52"/>
          <w14:textFill>
            <w14:solidFill>
              <w14:schemeClr w14:val="tx1"/>
            </w14:solidFill>
          </w14:textFill>
        </w:rPr>
      </w:pPr>
    </w:p>
    <w:p>
      <w:pPr>
        <w:rPr>
          <w:b/>
          <w:color w:val="000000" w:themeColor="text1"/>
          <w:sz w:val="52"/>
          <w14:textFill>
            <w14:solidFill>
              <w14:schemeClr w14:val="tx1"/>
            </w14:solidFill>
          </w14:textFill>
        </w:rPr>
      </w:pPr>
    </w:p>
    <w:p>
      <w:pPr>
        <w:rPr>
          <w:b/>
          <w:color w:val="000000" w:themeColor="text1"/>
          <w14:textFill>
            <w14:solidFill>
              <w14:schemeClr w14:val="tx1"/>
            </w14:solidFill>
          </w14:textFill>
        </w:rPr>
      </w:pPr>
    </w:p>
    <w:p>
      <w:pPr>
        <w:jc w:val="center"/>
        <w:rPr>
          <w:color w:val="000000" w:themeColor="text1"/>
          <w:sz w:val="32"/>
          <w14:textFill>
            <w14:solidFill>
              <w14:schemeClr w14:val="tx1"/>
            </w14:solidFill>
          </w14:textFill>
        </w:rPr>
      </w:pPr>
      <w:bookmarkStart w:id="4" w:name="_Toc139992301"/>
      <w:bookmarkStart w:id="5" w:name="_Toc139991726"/>
      <w:bookmarkStart w:id="6" w:name="_Toc123701383"/>
      <w:bookmarkStart w:id="7" w:name="_Toc123112224"/>
      <w:bookmarkStart w:id="8" w:name="_Toc123112263"/>
      <w:r>
        <w:rPr>
          <w:rFonts w:hint="eastAsia"/>
          <w:color w:val="000000" w:themeColor="text1"/>
          <w:sz w:val="32"/>
          <w14:textFill>
            <w14:solidFill>
              <w14:schemeClr w14:val="tx1"/>
            </w14:solidFill>
          </w14:textFill>
        </w:rPr>
        <w:t>基金管理人：</w:t>
      </w:r>
      <w:bookmarkEnd w:id="4"/>
      <w:bookmarkEnd w:id="5"/>
      <w:bookmarkEnd w:id="6"/>
      <w:bookmarkEnd w:id="7"/>
      <w:bookmarkEnd w:id="8"/>
      <w:r>
        <w:rPr>
          <w:rFonts w:hint="eastAsia"/>
          <w:color w:val="000000" w:themeColor="text1"/>
          <w:sz w:val="32"/>
          <w14:textFill>
            <w14:solidFill>
              <w14:schemeClr w14:val="tx1"/>
            </w14:solidFill>
          </w14:textFill>
        </w:rPr>
        <w:t>华夏基金管理有限公司</w:t>
      </w:r>
      <w:r>
        <w:rPr>
          <w:color w:val="000000" w:themeColor="text1"/>
          <w:sz w:val="32"/>
          <w14:textFill>
            <w14:solidFill>
              <w14:schemeClr w14:val="tx1"/>
            </w14:solidFill>
          </w14:textFill>
        </w:rPr>
        <w:t xml:space="preserve">    </w:t>
      </w:r>
    </w:p>
    <w:p>
      <w:pPr>
        <w:jc w:val="center"/>
        <w:rPr>
          <w:color w:val="000000" w:themeColor="text1"/>
          <w:sz w:val="32"/>
          <w14:textFill>
            <w14:solidFill>
              <w14:schemeClr w14:val="tx1"/>
            </w14:solidFill>
          </w14:textFill>
        </w:rPr>
      </w:pPr>
      <w:bookmarkStart w:id="9" w:name="_Toc139992302"/>
      <w:bookmarkStart w:id="10" w:name="_Toc123701384"/>
      <w:bookmarkStart w:id="11" w:name="_Toc123112225"/>
      <w:bookmarkStart w:id="12" w:name="_Toc139991727"/>
      <w:bookmarkStart w:id="13" w:name="_Toc123112264"/>
      <w:r>
        <w:rPr>
          <w:rFonts w:hint="eastAsia"/>
          <w:color w:val="000000" w:themeColor="text1"/>
          <w:sz w:val="32"/>
          <w14:textFill>
            <w14:solidFill>
              <w14:schemeClr w14:val="tx1"/>
            </w14:solidFill>
          </w14:textFill>
        </w:rPr>
        <w:t>基金托管人：中国建设银行股份有限公司</w:t>
      </w:r>
      <w:r>
        <w:rPr>
          <w:color w:val="000000" w:themeColor="text1"/>
          <w:sz w:val="32"/>
          <w14:textFill>
            <w14:solidFill>
              <w14:schemeClr w14:val="tx1"/>
            </w14:solidFill>
          </w14:textFill>
        </w:rPr>
        <w:t xml:space="preserve">          </w:t>
      </w:r>
      <w:bookmarkEnd w:id="9"/>
      <w:bookmarkEnd w:id="10"/>
      <w:bookmarkEnd w:id="11"/>
      <w:bookmarkEnd w:id="12"/>
      <w:bookmarkEnd w:id="13"/>
      <w:r>
        <w:rPr>
          <w:color w:val="000000" w:themeColor="text1"/>
          <w:sz w:val="32"/>
          <w14:textFill>
            <w14:solidFill>
              <w14:schemeClr w14:val="tx1"/>
            </w14:solidFill>
          </w14:textFill>
        </w:rPr>
        <w:t xml:space="preserve"> </w:t>
      </w:r>
    </w:p>
    <w:p>
      <w:pPr>
        <w:jc w:val="center"/>
        <w:rPr>
          <w:bCs/>
          <w:color w:val="000000" w:themeColor="text1"/>
          <w:sz w:val="32"/>
          <w14:textFill>
            <w14:solidFill>
              <w14:schemeClr w14:val="tx1"/>
            </w14:solidFill>
          </w14:textFill>
        </w:rPr>
      </w:pPr>
    </w:p>
    <w:p>
      <w:pPr>
        <w:jc w:val="center"/>
        <w:rPr>
          <w:bCs/>
          <w:color w:val="000000" w:themeColor="text1"/>
          <w:sz w:val="28"/>
          <w14:textFill>
            <w14:solidFill>
              <w14:schemeClr w14:val="tx1"/>
            </w14:solidFill>
          </w14:textFill>
        </w:rPr>
      </w:pPr>
    </w:p>
    <w:p>
      <w:pPr>
        <w:jc w:val="center"/>
        <w:rPr>
          <w:bCs/>
          <w:color w:val="000000" w:themeColor="text1"/>
          <w:sz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type="lines" w:linePitch="312" w:charSpace="0"/>
        </w:sectPr>
      </w:pPr>
    </w:p>
    <w:p>
      <w:pPr>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目  录</w:t>
      </w:r>
      <w:bookmarkEnd w:id="0"/>
      <w:bookmarkEnd w:id="1"/>
      <w:bookmarkEnd w:id="2"/>
      <w:bookmarkEnd w:id="3"/>
    </w:p>
    <w:p>
      <w:pPr>
        <w:pStyle w:val="15"/>
        <w:rPr>
          <w:rFonts w:asciiTheme="minorHAnsi" w:hAnsiTheme="minorHAnsi" w:eastAsiaTheme="minorEastAsia" w:cstheme="minorBidi"/>
          <w:color w:val="000000" w:themeColor="text1"/>
          <w:szCs w:val="22"/>
          <w14:textFill>
            <w14:solidFill>
              <w14:schemeClr w14:val="tx1"/>
            </w14:solidFill>
          </w14:textFill>
        </w:rPr>
      </w:pPr>
      <w:r>
        <w:rPr>
          <w:rFonts w:eastAsiaTheme="minorEastAsia"/>
          <w:bCs/>
          <w:color w:val="000000" w:themeColor="text1"/>
          <w:szCs w:val="21"/>
          <w14:textFill>
            <w14:solidFill>
              <w14:schemeClr w14:val="tx1"/>
            </w14:solidFill>
          </w14:textFill>
        </w:rPr>
        <w:fldChar w:fldCharType="begin"/>
      </w:r>
      <w:r>
        <w:rPr>
          <w:rFonts w:eastAsiaTheme="minorEastAsia"/>
          <w:bCs/>
          <w:color w:val="000000" w:themeColor="text1"/>
          <w:szCs w:val="21"/>
          <w14:textFill>
            <w14:solidFill>
              <w14:schemeClr w14:val="tx1"/>
            </w14:solidFill>
          </w14:textFill>
        </w:rPr>
        <w:instrText xml:space="preserve"> TOC \o "1-1" \h \z \u </w:instrText>
      </w:r>
      <w:r>
        <w:rPr>
          <w:rFonts w:eastAsiaTheme="minorEastAsia"/>
          <w:bCs/>
          <w:color w:val="000000" w:themeColor="text1"/>
          <w:szCs w:val="21"/>
          <w14:textFill>
            <w14:solidFill>
              <w14:schemeClr w14:val="tx1"/>
            </w14:solidFill>
          </w14:textFill>
        </w:rPr>
        <w:fldChar w:fldCharType="separate"/>
      </w:r>
      <w:r>
        <w:fldChar w:fldCharType="begin"/>
      </w:r>
      <w:r>
        <w:instrText xml:space="preserve"> HYPERLINK \l "_Toc70507719" </w:instrText>
      </w:r>
      <w:r>
        <w:fldChar w:fldCharType="separate"/>
      </w:r>
      <w:r>
        <w:rPr>
          <w:rStyle w:val="24"/>
          <w:color w:val="000000" w:themeColor="text1"/>
          <w14:textFill>
            <w14:solidFill>
              <w14:schemeClr w14:val="tx1"/>
            </w14:solidFill>
          </w14:textFill>
        </w:rPr>
        <w:t>第一部分  前言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"_Toc70507720" </w:instrText>
      </w:r>
      <w:r>
        <w:fldChar w:fldCharType="separate"/>
      </w:r>
      <w:r>
        <w:rPr>
          <w:rStyle w:val="24"/>
          <w:color w:val="000000" w:themeColor="text1"/>
          <w14:textFill>
            <w14:solidFill>
              <w14:schemeClr w14:val="tx1"/>
            </w14:solidFill>
          </w14:textFill>
        </w:rPr>
        <w:t>第二部分  释义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"_Toc70507721" </w:instrText>
      </w:r>
      <w:r>
        <w:fldChar w:fldCharType="separate"/>
      </w:r>
      <w:r>
        <w:rPr>
          <w:rStyle w:val="24"/>
          <w:color w:val="000000" w:themeColor="text1"/>
          <w14:textFill>
            <w14:solidFill>
              <w14:schemeClr w14:val="tx1"/>
            </w14:solidFill>
          </w14:textFill>
        </w:rPr>
        <w:t>第三部分  基金的基本情况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"_Toc70507722" </w:instrText>
      </w:r>
      <w:r>
        <w:fldChar w:fldCharType="separate"/>
      </w:r>
      <w:r>
        <w:rPr>
          <w:rStyle w:val="24"/>
          <w:color w:val="000000" w:themeColor="text1"/>
          <w14:textFill>
            <w14:solidFill>
              <w14:schemeClr w14:val="tx1"/>
            </w14:solidFill>
          </w14:textFill>
        </w:rPr>
        <w:t>第四部分  基金份额的发售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"_Toc70507723" </w:instrText>
      </w:r>
      <w:r>
        <w:fldChar w:fldCharType="separate"/>
      </w:r>
      <w:r>
        <w:rPr>
          <w:rStyle w:val="24"/>
          <w:color w:val="000000" w:themeColor="text1"/>
          <w14:textFill>
            <w14:solidFill>
              <w14:schemeClr w14:val="tx1"/>
            </w14:solidFill>
          </w14:textFill>
        </w:rPr>
        <w:t>第五部分  基金备案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"_Toc70507724" </w:instrText>
      </w:r>
      <w:r>
        <w:fldChar w:fldCharType="separate"/>
      </w:r>
      <w:r>
        <w:rPr>
          <w:rStyle w:val="24"/>
          <w:color w:val="000000" w:themeColor="text1"/>
          <w14:textFill>
            <w14:solidFill>
              <w14:schemeClr w14:val="tx1"/>
            </w14:solidFill>
          </w14:textFill>
        </w:rPr>
        <w:t>第六部分  基金份额的申购与赎回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"_Toc70507725" </w:instrText>
      </w:r>
      <w:r>
        <w:fldChar w:fldCharType="separate"/>
      </w:r>
      <w:r>
        <w:rPr>
          <w:rStyle w:val="24"/>
          <w:color w:val="000000" w:themeColor="text1"/>
          <w14:textFill>
            <w14:solidFill>
              <w14:schemeClr w14:val="tx1"/>
            </w14:solidFill>
          </w14:textFill>
        </w:rPr>
        <w:t>第七部分  基金合同当事人及权利义务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"_Toc70507726" </w:instrText>
      </w:r>
      <w:r>
        <w:fldChar w:fldCharType="separate"/>
      </w:r>
      <w:r>
        <w:rPr>
          <w:rStyle w:val="24"/>
          <w:color w:val="000000" w:themeColor="text1"/>
          <w14:textFill>
            <w14:solidFill>
              <w14:schemeClr w14:val="tx1"/>
            </w14:solidFill>
          </w14:textFill>
        </w:rPr>
        <w:t>第八部分  基金份额持有人大会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"_Toc70507727" </w:instrText>
      </w:r>
      <w:r>
        <w:fldChar w:fldCharType="separate"/>
      </w:r>
      <w:r>
        <w:rPr>
          <w:rStyle w:val="24"/>
          <w:color w:val="000000" w:themeColor="text1"/>
          <w14:textFill>
            <w14:solidFill>
              <w14:schemeClr w14:val="tx1"/>
            </w14:solidFill>
          </w14:textFill>
        </w:rPr>
        <w:t>第九部分  基金管理人、基金托管人的更换条件和程序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"_Toc70507728" </w:instrText>
      </w:r>
      <w:r>
        <w:fldChar w:fldCharType="separate"/>
      </w:r>
      <w:r>
        <w:rPr>
          <w:rStyle w:val="24"/>
          <w:color w:val="000000" w:themeColor="text1"/>
          <w14:textFill>
            <w14:solidFill>
              <w14:schemeClr w14:val="tx1"/>
            </w14:solidFill>
          </w14:textFill>
        </w:rPr>
        <w:t>第十部分  基金的托管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"_Toc70507729" </w:instrText>
      </w:r>
      <w:r>
        <w:fldChar w:fldCharType="separate"/>
      </w:r>
      <w:r>
        <w:rPr>
          <w:rStyle w:val="24"/>
          <w:color w:val="000000" w:themeColor="text1"/>
          <w14:textFill>
            <w14:solidFill>
              <w14:schemeClr w14:val="tx1"/>
            </w14:solidFill>
          </w14:textFill>
        </w:rPr>
        <w:t>第十一部分  基金份额的登记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"_Toc70507730" </w:instrText>
      </w:r>
      <w:r>
        <w:fldChar w:fldCharType="separate"/>
      </w:r>
      <w:r>
        <w:rPr>
          <w:rStyle w:val="24"/>
          <w:color w:val="000000" w:themeColor="text1"/>
          <w14:textFill>
            <w14:solidFill>
              <w14:schemeClr w14:val="tx1"/>
            </w14:solidFill>
          </w14:textFill>
        </w:rPr>
        <w:t>第十二部分  基金的投资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"_Toc70507731" </w:instrText>
      </w:r>
      <w:r>
        <w:fldChar w:fldCharType="separate"/>
      </w:r>
      <w:r>
        <w:rPr>
          <w:rStyle w:val="24"/>
          <w:color w:val="000000" w:themeColor="text1"/>
          <w14:textFill>
            <w14:solidFill>
              <w14:schemeClr w14:val="tx1"/>
            </w14:solidFill>
          </w14:textFill>
        </w:rPr>
        <w:t>第十三部分  基金的财产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"_Toc70507732" </w:instrText>
      </w:r>
      <w:r>
        <w:fldChar w:fldCharType="separate"/>
      </w:r>
      <w:r>
        <w:rPr>
          <w:rStyle w:val="24"/>
          <w:color w:val="000000" w:themeColor="text1"/>
          <w14:textFill>
            <w14:solidFill>
              <w14:schemeClr w14:val="tx1"/>
            </w14:solidFill>
          </w14:textFill>
        </w:rPr>
        <w:t>第十四部分  基金资产估值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"_Toc70507733" </w:instrText>
      </w:r>
      <w:r>
        <w:fldChar w:fldCharType="separate"/>
      </w:r>
      <w:r>
        <w:rPr>
          <w:rStyle w:val="24"/>
          <w:color w:val="000000" w:themeColor="text1"/>
          <w14:textFill>
            <w14:solidFill>
              <w14:schemeClr w14:val="tx1"/>
            </w14:solidFill>
          </w14:textFill>
        </w:rPr>
        <w:t>第十五部分  基金费用与税收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"_Toc70507734" </w:instrText>
      </w:r>
      <w:r>
        <w:fldChar w:fldCharType="separate"/>
      </w:r>
      <w:r>
        <w:rPr>
          <w:rStyle w:val="24"/>
          <w:color w:val="000000" w:themeColor="text1"/>
          <w14:textFill>
            <w14:solidFill>
              <w14:schemeClr w14:val="tx1"/>
            </w14:solidFill>
          </w14:textFill>
        </w:rPr>
        <w:t>第十六部分  基金的收益与分配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"_Toc70507735" </w:instrText>
      </w:r>
      <w:r>
        <w:fldChar w:fldCharType="separate"/>
      </w:r>
      <w:r>
        <w:rPr>
          <w:rStyle w:val="24"/>
          <w:color w:val="000000" w:themeColor="text1"/>
          <w14:textFill>
            <w14:solidFill>
              <w14:schemeClr w14:val="tx1"/>
            </w14:solidFill>
          </w14:textFill>
        </w:rPr>
        <w:t>第十七部分  基金的会计与审计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"_Toc70507736" </w:instrText>
      </w:r>
      <w:r>
        <w:fldChar w:fldCharType="separate"/>
      </w:r>
      <w:r>
        <w:rPr>
          <w:rStyle w:val="24"/>
          <w:color w:val="000000" w:themeColor="text1"/>
          <w14:textFill>
            <w14:solidFill>
              <w14:schemeClr w14:val="tx1"/>
            </w14:solidFill>
          </w14:textFill>
        </w:rPr>
        <w:t>第十八部分  基金的信息披露</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"_Toc70507737" </w:instrText>
      </w:r>
      <w:r>
        <w:fldChar w:fldCharType="separate"/>
      </w:r>
      <w:r>
        <w:rPr>
          <w:rStyle w:val="24"/>
          <w:color w:val="000000" w:themeColor="text1"/>
          <w14:textFill>
            <w14:solidFill>
              <w14:schemeClr w14:val="tx1"/>
            </w14:solidFill>
          </w14:textFill>
        </w:rPr>
        <w:t>第十九部分  基金合同的变更、终止与基金财产的清算</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"_Toc70507738" </w:instrText>
      </w:r>
      <w:r>
        <w:fldChar w:fldCharType="separate"/>
      </w:r>
      <w:r>
        <w:rPr>
          <w:rStyle w:val="24"/>
          <w:color w:val="000000" w:themeColor="text1"/>
          <w14:textFill>
            <w14:solidFill>
              <w14:schemeClr w14:val="tx1"/>
            </w14:solidFill>
          </w14:textFill>
        </w:rPr>
        <w:t>第二十部分  违约责任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"_Toc70507739" </w:instrText>
      </w:r>
      <w:r>
        <w:fldChar w:fldCharType="separate"/>
      </w:r>
      <w:r>
        <w:rPr>
          <w:rStyle w:val="24"/>
          <w:color w:val="000000" w:themeColor="text1"/>
          <w14:textFill>
            <w14:solidFill>
              <w14:schemeClr w14:val="tx1"/>
            </w14:solidFill>
          </w14:textFill>
        </w:rPr>
        <w:t>第二十一部分  争议的处理和适用的法律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"_Toc70507740" </w:instrText>
      </w:r>
      <w:r>
        <w:fldChar w:fldCharType="separate"/>
      </w:r>
      <w:r>
        <w:rPr>
          <w:rStyle w:val="24"/>
          <w:color w:val="000000" w:themeColor="text1"/>
          <w14:textFill>
            <w14:solidFill>
              <w14:schemeClr w14:val="tx1"/>
            </w14:solidFill>
          </w14:textFill>
        </w:rPr>
        <w:t>第二十二部分  基金合同的效力</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"_Toc70507741" </w:instrText>
      </w:r>
      <w:r>
        <w:fldChar w:fldCharType="separate"/>
      </w:r>
      <w:r>
        <w:rPr>
          <w:rStyle w:val="24"/>
          <w:color w:val="000000" w:themeColor="text1"/>
          <w14:textFill>
            <w14:solidFill>
              <w14:schemeClr w14:val="tx1"/>
            </w14:solidFill>
          </w14:textFill>
        </w:rPr>
        <w:t>第二十三部分  其他事项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_Toc70507741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jc w:val="left"/>
        <w:outlineLvl w:val="0"/>
        <w:rPr>
          <w:rFonts w:eastAsiaTheme="minorEastAsia"/>
          <w:b/>
          <w:color w:val="000000" w:themeColor="text1"/>
          <w:szCs w:val="21"/>
          <w14:textFill>
            <w14:solidFill>
              <w14:schemeClr w14:val="tx1"/>
            </w14:solidFill>
          </w14:textFill>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start="0"/>
          <w:cols w:space="720" w:num="1"/>
          <w:titlePg/>
          <w:docGrid w:type="lines" w:linePitch="312" w:charSpace="0"/>
        </w:sectPr>
      </w:pPr>
      <w:r>
        <w:rPr>
          <w:rFonts w:eastAsiaTheme="minorEastAsia"/>
          <w:color w:val="000000" w:themeColor="text1"/>
          <w:szCs w:val="21"/>
          <w14:textFill>
            <w14:solidFill>
              <w14:schemeClr w14:val="tx1"/>
            </w14:solidFill>
          </w14:textFill>
        </w:rPr>
        <w:fldChar w:fldCharType="end"/>
      </w:r>
      <w:bookmarkStart w:id="14" w:name="_Toc6306"/>
      <w:bookmarkStart w:id="15" w:name="_Toc23386"/>
      <w:bookmarkStart w:id="16" w:name="_Toc8727"/>
      <w:bookmarkStart w:id="17" w:name="_Toc4867"/>
      <w:bookmarkStart w:id="18" w:name="_Toc29629"/>
      <w:bookmarkStart w:id="19" w:name="_Toc4966"/>
      <w:bookmarkStart w:id="20" w:name="_Toc30935"/>
      <w:bookmarkStart w:id="21" w:name="_Toc32639"/>
      <w:bookmarkStart w:id="22" w:name="_Toc141703880"/>
      <w:bookmarkStart w:id="23" w:name="_Toc26897"/>
      <w:bookmarkStart w:id="24" w:name="_Toc15517"/>
      <w:bookmarkStart w:id="25" w:name="_Toc139991730"/>
      <w:bookmarkStart w:id="26" w:name="_Toc123701389"/>
      <w:bookmarkStart w:id="27" w:name="_Toc123112268"/>
      <w:bookmarkStart w:id="28" w:name="_Toc123112229"/>
      <w:bookmarkStart w:id="29" w:name="_Toc233456271"/>
    </w:p>
    <w:p>
      <w:pPr>
        <w:jc w:val="center"/>
        <w:outlineLvl w:val="0"/>
        <w:rPr>
          <w:rFonts w:eastAsiaTheme="minorEastAsia"/>
          <w:b/>
          <w:color w:val="000000" w:themeColor="text1"/>
          <w:szCs w:val="21"/>
          <w14:textFill>
            <w14:solidFill>
              <w14:schemeClr w14:val="tx1"/>
            </w14:solidFill>
          </w14:textFill>
        </w:rPr>
      </w:pPr>
      <w:bookmarkStart w:id="30" w:name="_Toc70507719"/>
      <w:bookmarkStart w:id="31" w:name="_Toc11660"/>
      <w:r>
        <w:rPr>
          <w:rFonts w:eastAsiaTheme="minorEastAsia"/>
          <w:b/>
          <w:color w:val="000000" w:themeColor="text1"/>
          <w:szCs w:val="21"/>
          <w14:textFill>
            <w14:solidFill>
              <w14:schemeClr w14:val="tx1"/>
            </w14:solidFill>
          </w14:textFill>
        </w:rPr>
        <w:t>第一部分  前言</w:t>
      </w:r>
      <w:bookmarkEnd w:id="14"/>
      <w:bookmarkEnd w:id="15"/>
      <w:bookmarkEnd w:id="16"/>
      <w:bookmarkEnd w:id="17"/>
      <w:bookmarkEnd w:id="18"/>
      <w:bookmarkEnd w:id="19"/>
      <w:bookmarkEnd w:id="20"/>
      <w:bookmarkEnd w:id="21"/>
      <w:bookmarkEnd w:id="22"/>
      <w:bookmarkEnd w:id="23"/>
      <w:bookmarkEnd w:id="24"/>
      <w:bookmarkEnd w:id="25"/>
      <w:bookmarkEnd w:id="30"/>
      <w:bookmarkEnd w:id="31"/>
    </w:p>
    <w:p>
      <w:pPr>
        <w:rPr>
          <w:rFonts w:eastAsiaTheme="minorEastAsia"/>
          <w:bCs/>
          <w:color w:val="000000" w:themeColor="text1"/>
          <w:szCs w:val="21"/>
          <w14:textFill>
            <w14:solidFill>
              <w14:schemeClr w14:val="tx1"/>
            </w14:solidFill>
          </w14:textFill>
        </w:rPr>
      </w:pPr>
      <w:bookmarkStart w:id="32" w:name="_Toc139991731"/>
    </w:p>
    <w:bookmarkEnd w:id="26"/>
    <w:bookmarkEnd w:id="27"/>
    <w:bookmarkEnd w:id="28"/>
    <w:bookmarkEnd w:id="32"/>
    <w:p>
      <w:pPr>
        <w:spacing w:line="360" w:lineRule="auto"/>
        <w:ind w:firstLine="420" w:firstLineChars="200"/>
        <w:rPr>
          <w:rFonts w:eastAsiaTheme="minorEastAsia"/>
          <w:bCs/>
          <w:color w:val="000000" w:themeColor="text1"/>
          <w:szCs w:val="21"/>
          <w14:textFill>
            <w14:solidFill>
              <w14:schemeClr w14:val="tx1"/>
            </w14:solidFill>
          </w14:textFill>
        </w:rPr>
      </w:pPr>
      <w:bookmarkStart w:id="33" w:name="_Toc258829399"/>
      <w:r>
        <w:rPr>
          <w:rFonts w:eastAsiaTheme="minorEastAsia"/>
          <w:bCs/>
          <w:color w:val="000000" w:themeColor="text1"/>
          <w:szCs w:val="21"/>
          <w14:textFill>
            <w14:solidFill>
              <w14:schemeClr w14:val="tx1"/>
            </w14:solidFill>
          </w14:textFill>
        </w:rPr>
        <w:t>一、订立本基金合同的目的、依据和原则</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1、订立本基金合同的目的是保护投资人合法权益，明确基金合同当事人的权利义务，规范基金运作。</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2、订立本基金合同的依据是《中华人民共和国</w:t>
      </w:r>
      <w:r>
        <w:rPr>
          <w:rFonts w:hint="eastAsia" w:eastAsiaTheme="minorEastAsia"/>
          <w:bCs/>
          <w:color w:val="000000" w:themeColor="text1"/>
          <w:szCs w:val="21"/>
          <w14:textFill>
            <w14:solidFill>
              <w14:schemeClr w14:val="tx1"/>
            </w14:solidFill>
          </w14:textFill>
        </w:rPr>
        <w:t>民法典</w:t>
      </w: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 中华人民共和国证券法》(以下简称“《证券法》”)、</w:t>
      </w:r>
      <w:r>
        <w:rPr>
          <w:rFonts w:eastAsiaTheme="minorEastAsia"/>
          <w:bCs/>
          <w:color w:val="000000" w:themeColor="text1"/>
          <w:szCs w:val="21"/>
          <w14:textFill>
            <w14:solidFill>
              <w14:schemeClr w14:val="tx1"/>
            </w14:solidFill>
          </w14:textFill>
        </w:rPr>
        <w:t>《中华人民共和国证券投资基金法》(以下简称“《基金法》”)、《公开募集证券投资基金运作管理办法》(以下简称“《运作办法》”)、《</w:t>
      </w:r>
      <w:r>
        <w:rPr>
          <w:rFonts w:hint="eastAsia" w:eastAsiaTheme="minorEastAsia"/>
          <w:bCs/>
          <w:color w:val="000000" w:themeColor="text1"/>
          <w:szCs w:val="21"/>
          <w14:textFill>
            <w14:solidFill>
              <w14:schemeClr w14:val="tx1"/>
            </w14:solidFill>
          </w14:textFill>
        </w:rPr>
        <w:t>公开募集证券投资基金销售机构监督管理办法</w:t>
      </w:r>
      <w:r>
        <w:rPr>
          <w:rFonts w:eastAsiaTheme="minorEastAsia"/>
          <w:bCs/>
          <w:color w:val="000000" w:themeColor="text1"/>
          <w:szCs w:val="21"/>
          <w14:textFill>
            <w14:solidFill>
              <w14:schemeClr w14:val="tx1"/>
            </w14:solidFill>
          </w14:textFill>
        </w:rPr>
        <w:t>》(以下简称“《销售办法》”)、《公开募集证券投资基金信息披露管理办法》(以下简称“《信息披露办法》”)、《公开募集开放式证券投资基金流动性风险管理规定》(以下简称“《流动性风险管理规定》”)</w:t>
      </w:r>
      <w:r>
        <w:rPr>
          <w:rFonts w:hint="eastAsia"/>
        </w:rPr>
        <w:t xml:space="preserve"> </w:t>
      </w:r>
      <w:r>
        <w:rPr>
          <w:rFonts w:hint="eastAsia" w:eastAsiaTheme="minorEastAsia"/>
          <w:bCs/>
          <w:color w:val="000000" w:themeColor="text1"/>
          <w:szCs w:val="21"/>
          <w14:textFill>
            <w14:solidFill>
              <w14:schemeClr w14:val="tx1"/>
            </w14:solidFill>
          </w14:textFill>
        </w:rPr>
        <w:t>、《公开募集证券投资基金运作指引第3号——指数基金指引》（以下简称“《指数基金指引》”）、《公开募集证券投资基金运作指引第2号--基金中基金指引》（以下简称“《基金中基金指引》”）</w:t>
      </w:r>
      <w:r>
        <w:rPr>
          <w:rFonts w:eastAsiaTheme="minorEastAsia"/>
          <w:bCs/>
          <w:color w:val="000000" w:themeColor="text1"/>
          <w:szCs w:val="21"/>
          <w14:textFill>
            <w14:solidFill>
              <w14:schemeClr w14:val="tx1"/>
            </w14:solidFill>
          </w14:textFill>
        </w:rPr>
        <w:t>和其他有关法律法规。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3、订立本基金合同的原则是平等自愿、诚实信用、充分保护投资人合法权益。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三、华夏中证REITs全收益指数证券投资基金由基金管理人依照《基金法》、基金合同及其他有关规定募集，并经中国证券监督管理委员会(以下简称“中国证监会”)注册。</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中国证监会对本基金募集的注册，并不表明其对本基金的投资价值和市场前景做出实质性判断或保证，也不表明投资于本基金没有风险。</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本基金为指数基金，投资者投资于本基金面临跟踪误差控制未达约定目标、指数编制机构停止服务、成份券停牌等潜在风险，详见本基金招募说明书。</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基金管理人依照恪尽职守、诚实信用、谨慎勤勉的原则管理和运用基金财产，</w:t>
      </w:r>
      <w:r>
        <w:rPr>
          <w:rFonts w:eastAsiaTheme="minorEastAsia"/>
          <w:b/>
          <w:bCs/>
          <w:color w:val="000000" w:themeColor="text1"/>
          <w:szCs w:val="21"/>
          <w14:textFill>
            <w14:solidFill>
              <w14:schemeClr w14:val="tx1"/>
            </w14:solidFill>
          </w14:textFill>
        </w:rPr>
        <w:t>但不保证投资于本基金一定盈利，也不保证最低收益</w:t>
      </w:r>
      <w:r>
        <w:rPr>
          <w:rFonts w:eastAsiaTheme="minorEastAsia"/>
          <w:bCs/>
          <w:color w:val="000000" w:themeColor="text1"/>
          <w:szCs w:val="21"/>
          <w14:textFill>
            <w14:solidFill>
              <w14:schemeClr w14:val="tx1"/>
            </w14:solidFill>
          </w14:textFill>
        </w:rPr>
        <w:t>。</w:t>
      </w:r>
    </w:p>
    <w:p>
      <w:pPr>
        <w:spacing w:line="360" w:lineRule="auto"/>
        <w:ind w:firstLine="422" w:firstLineChars="20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投资者应当认真阅读基金招募说明书、基金合同、基金产品资料概要等信息披露文件，自主判断基金的投资价值，自主做出投资决策，自行承担投资风险。</w:t>
      </w:r>
      <w:r>
        <w:rPr>
          <w:rFonts w:hint="eastAsia" w:eastAsiaTheme="minorEastAsia"/>
          <w:b/>
          <w:color w:val="000000" w:themeColor="text1"/>
          <w:szCs w:val="21"/>
          <w14:textFill>
            <w14:solidFill>
              <w14:schemeClr w14:val="tx1"/>
            </w14:solidFill>
          </w14:textFill>
        </w:rPr>
        <w:t>投资者应当认真阅读并完全理解基金合同第二十部分规定的免责条款、第二十</w:t>
      </w:r>
      <w:r>
        <w:rPr>
          <w:rFonts w:eastAsiaTheme="minorEastAsia"/>
          <w:b/>
          <w:color w:val="000000" w:themeColor="text1"/>
          <w:szCs w:val="21"/>
          <w14:textFill>
            <w14:solidFill>
              <w14:schemeClr w14:val="tx1"/>
            </w14:solidFill>
          </w14:textFill>
        </w:rPr>
        <w:t>一</w:t>
      </w:r>
      <w:r>
        <w:rPr>
          <w:rFonts w:hint="eastAsia" w:eastAsiaTheme="minorEastAsia"/>
          <w:b/>
          <w:color w:val="000000" w:themeColor="text1"/>
          <w:szCs w:val="21"/>
          <w14:textFill>
            <w14:solidFill>
              <w14:schemeClr w14:val="tx1"/>
            </w14:solidFill>
          </w14:textFill>
        </w:rPr>
        <w:t>部分规定的争议处理方式。</w:t>
      </w:r>
    </w:p>
    <w:p>
      <w:pPr>
        <w:spacing w:line="360" w:lineRule="auto"/>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四、本基金资产主要投资于</w:t>
      </w:r>
      <w:r>
        <w:rPr>
          <w:b/>
          <w:color w:val="000000" w:themeColor="text1"/>
          <w14:textFill>
            <w14:solidFill>
              <w14:schemeClr w14:val="tx1"/>
            </w14:solidFill>
          </w14:textFill>
        </w:rPr>
        <w:t>公开募集不动产投资信托基金</w:t>
      </w:r>
      <w:r>
        <w:rPr>
          <w:rFonts w:hint="eastAsia"/>
          <w:b/>
          <w:color w:val="000000" w:themeColor="text1"/>
          <w14:textFill>
            <w14:solidFill>
              <w14:schemeClr w14:val="tx1"/>
            </w14:solidFill>
          </w14:textFill>
        </w:rPr>
        <w:t>（以下简称“</w:t>
      </w:r>
      <w:r>
        <w:rPr>
          <w:rFonts w:hint="eastAsia"/>
          <w:b/>
          <w:szCs w:val="21"/>
        </w:rPr>
        <w:t>公募REITs</w:t>
      </w:r>
      <w:r>
        <w:rPr>
          <w:rFonts w:hint="eastAsia"/>
          <w:b/>
          <w:color w:val="000000" w:themeColor="text1"/>
          <w14:textFill>
            <w14:solidFill>
              <w14:schemeClr w14:val="tx1"/>
            </w14:solidFill>
          </w14:textFill>
        </w:rPr>
        <w:t>”）</w:t>
      </w:r>
      <w:r>
        <w:rPr>
          <w:rFonts w:hint="eastAsia" w:eastAsiaTheme="minorEastAsia"/>
          <w:b/>
          <w:color w:val="000000" w:themeColor="text1"/>
          <w:szCs w:val="21"/>
          <w14:textFill>
            <w14:solidFill>
              <w14:schemeClr w14:val="tx1"/>
            </w14:solidFill>
          </w14:textFill>
        </w:rPr>
        <w:t>，可能面临投资公募REITs的特有风险，</w:t>
      </w:r>
      <w:r>
        <w:rPr>
          <w:rFonts w:hint="eastAsia"/>
          <w:b/>
          <w:color w:val="000000" w:themeColor="text1"/>
          <w14:textFill>
            <w14:solidFill>
              <w14:schemeClr w14:val="tx1"/>
            </w14:solidFill>
          </w14:textFill>
        </w:rPr>
        <w:t>包括</w:t>
      </w:r>
      <w:r>
        <w:rPr>
          <w:rFonts w:hint="eastAsia" w:eastAsiaTheme="minorEastAsia"/>
          <w:b/>
          <w:color w:val="000000" w:themeColor="text1"/>
          <w:szCs w:val="21"/>
          <w14:textFill>
            <w14:solidFill>
              <w14:schemeClr w14:val="tx1"/>
            </w14:solidFill>
          </w14:textFill>
        </w:rPr>
        <w:t>不动产</w:t>
      </w:r>
      <w:r>
        <w:rPr>
          <w:rFonts w:hint="eastAsia" w:ascii="宋体" w:hAnsi="宋体"/>
          <w:b/>
          <w:szCs w:val="21"/>
        </w:rPr>
        <w:t>项目运营风险、</w:t>
      </w:r>
      <w:r>
        <w:rPr>
          <w:rFonts w:hint="eastAsia" w:ascii="宋体" w:hAnsi="宋体"/>
          <w:b/>
        </w:rPr>
        <w:t>价格波动风险、流动性风险、基金份额交易价格折溢价风险、</w:t>
      </w:r>
      <w:r>
        <w:rPr>
          <w:rFonts w:hint="eastAsia" w:ascii="宋体" w:hAnsi="宋体"/>
          <w:b/>
          <w:szCs w:val="21"/>
        </w:rPr>
        <w:t>暂停或</w:t>
      </w:r>
      <w:r>
        <w:rPr>
          <w:rFonts w:hint="eastAsia" w:ascii="宋体" w:hAnsi="宋体"/>
          <w:b/>
        </w:rPr>
        <w:t>终止上市风险、</w:t>
      </w:r>
      <w:r>
        <w:rPr>
          <w:rFonts w:hint="eastAsia" w:ascii="宋体" w:hAnsi="宋体"/>
          <w:b/>
          <w:szCs w:val="21"/>
        </w:rPr>
        <w:t>扩募及解禁风险、政策调整</w:t>
      </w:r>
      <w:r>
        <w:rPr>
          <w:rFonts w:hint="eastAsia" w:ascii="宋体" w:hAnsi="宋体"/>
          <w:b/>
        </w:rPr>
        <w:t>风险等</w:t>
      </w:r>
      <w:r>
        <w:rPr>
          <w:rFonts w:hint="eastAsia"/>
          <w:b/>
          <w:color w:val="000000" w:themeColor="text1"/>
          <w14:textFill>
            <w14:solidFill>
              <w14:schemeClr w14:val="tx1"/>
            </w14:solidFill>
          </w14:textFill>
        </w:rPr>
        <w:t>。</w:t>
      </w:r>
    </w:p>
    <w:p>
      <w:pPr>
        <w:spacing w:line="360" w:lineRule="auto"/>
        <w:ind w:firstLine="420" w:firstLineChars="200"/>
        <w:rPr>
          <w:bCs/>
          <w:color w:val="000000"/>
          <w:szCs w:val="21"/>
        </w:rPr>
      </w:pPr>
      <w:r>
        <w:rPr>
          <w:rFonts w:hint="eastAsia"/>
          <w:bCs/>
          <w:color w:val="000000"/>
          <w:szCs w:val="21"/>
        </w:rPr>
        <w:t>五、</w:t>
      </w:r>
      <w:r>
        <w:rPr>
          <w:bCs/>
          <w:color w:val="000000"/>
          <w:szCs w:val="21"/>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w:t>
      </w:r>
      <w:r>
        <w:rPr>
          <w:rFonts w:hint="eastAsia"/>
          <w:bCs/>
          <w:color w:val="000000"/>
          <w:szCs w:val="21"/>
        </w:rPr>
        <w:t>合法合规</w:t>
      </w:r>
      <w:r>
        <w:rPr>
          <w:bCs/>
          <w:color w:val="000000"/>
          <w:szCs w:val="21"/>
        </w:rPr>
        <w:t>；承诺出示真实有效的身份证件或者其他身份证明文件，积极履行反洗钱职责。</w:t>
      </w:r>
    </w:p>
    <w:p>
      <w:pPr>
        <w:spacing w:line="360" w:lineRule="auto"/>
        <w:ind w:firstLine="420" w:firstLineChars="200"/>
        <w:rPr>
          <w:bCs/>
          <w:color w:val="000000"/>
          <w:szCs w:val="21"/>
        </w:rPr>
      </w:pPr>
      <w:r>
        <w:rPr>
          <w:rFonts w:hint="eastAsia"/>
          <w:bCs/>
          <w:color w:val="000000"/>
          <w:szCs w:val="21"/>
        </w:rPr>
        <w:t>基金投资者及基金份额持有人承诺，其及机构投资者相关方不属于中国法律法规认可的反洗钱监控名单。</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六、</w:t>
      </w:r>
      <w:r>
        <w:rPr>
          <w:rFonts w:eastAsiaTheme="minorEastAsia"/>
          <w:bCs/>
          <w:color w:val="000000" w:themeColor="text1"/>
          <w:szCs w:val="21"/>
          <w14:textFill>
            <w14:solidFill>
              <w14:schemeClr w14:val="tx1"/>
            </w14:solidFill>
          </w14:textFill>
        </w:rPr>
        <w:t>基金管理人、基金托管人在本基金合同之外披露涉及本基金的信息，其内容涉及界定基金合同当事人之间权利义务关系的，如与基金合同有冲突，以基金合同为准。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七、</w:t>
      </w:r>
      <w:r>
        <w:rPr>
          <w:rFonts w:eastAsiaTheme="minorEastAsia"/>
          <w:bCs/>
          <w:color w:val="000000" w:themeColor="text1"/>
          <w:szCs w:val="21"/>
          <w14:textFill>
            <w14:solidFill>
              <w14:schemeClr w14:val="tx1"/>
            </w14:solidFill>
          </w14:textFill>
        </w:rPr>
        <w:t>本基金按照中国法律法规成立并运作，若基金合同的内容与届时有效的法律法规的强制性规定不一致，应当以届时有效的法律法规的规定为准。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八、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34" w:name="_Toc15067"/>
      <w:bookmarkStart w:id="35" w:name="_Toc21301"/>
      <w:bookmarkStart w:id="36" w:name="_Toc31551"/>
      <w:bookmarkStart w:id="37" w:name="_Toc22864"/>
      <w:bookmarkStart w:id="38" w:name="_Toc3224"/>
      <w:bookmarkStart w:id="39" w:name="_Toc19592"/>
      <w:bookmarkStart w:id="40" w:name="_Toc2465"/>
      <w:bookmarkStart w:id="41" w:name="_Toc13020"/>
      <w:bookmarkStart w:id="42" w:name="_Toc6617"/>
      <w:bookmarkStart w:id="43" w:name="_Toc819"/>
      <w:bookmarkStart w:id="44" w:name="_Toc24860"/>
      <w:bookmarkStart w:id="45" w:name="_Toc70507720"/>
      <w:r>
        <w:rPr>
          <w:rFonts w:eastAsiaTheme="minorEastAsia"/>
          <w:b/>
          <w:color w:val="000000" w:themeColor="text1"/>
          <w:szCs w:val="21"/>
          <w14:textFill>
            <w14:solidFill>
              <w14:schemeClr w14:val="tx1"/>
            </w14:solidFill>
          </w14:textFill>
        </w:rPr>
        <w:t xml:space="preserve">第二部分 </w:t>
      </w:r>
      <w:r>
        <w:rPr>
          <w:rFonts w:hint="eastAsia" w:eastAsiaTheme="minorEastAsia"/>
          <w:b/>
          <w:color w:val="000000" w:themeColor="text1"/>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释义</w:t>
      </w:r>
      <w:bookmarkEnd w:id="29"/>
      <w:bookmarkEnd w:id="33"/>
      <w:bookmarkEnd w:id="34"/>
      <w:bookmarkEnd w:id="35"/>
      <w:bookmarkEnd w:id="36"/>
      <w:bookmarkEnd w:id="37"/>
      <w:bookmarkEnd w:id="38"/>
      <w:bookmarkEnd w:id="39"/>
      <w:bookmarkEnd w:id="40"/>
      <w:bookmarkEnd w:id="41"/>
      <w:bookmarkEnd w:id="42"/>
      <w:bookmarkEnd w:id="43"/>
      <w:bookmarkEnd w:id="44"/>
      <w:bookmarkEnd w:id="45"/>
    </w:p>
    <w:p>
      <w:pPr>
        <w:autoSpaceDE w:val="0"/>
        <w:autoSpaceDN w:val="0"/>
        <w:adjustRightInd w:val="0"/>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在本基金合同中，除非文意另有所指，下列词语或简称具有如下含义：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1、基金或本基金：指华夏中证REITs全收益指数证券投资基金。</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2、基金管理人：指华夏基金管理有限公司。</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3、基金托管人：指</w:t>
      </w:r>
      <w:r>
        <w:rPr>
          <w:rFonts w:hint="eastAsia" w:eastAsiaTheme="minorEastAsia"/>
          <w:bCs/>
          <w:color w:val="000000" w:themeColor="text1"/>
          <w:szCs w:val="21"/>
          <w14:textFill>
            <w14:solidFill>
              <w14:schemeClr w14:val="tx1"/>
            </w14:solidFill>
          </w14:textFill>
        </w:rPr>
        <w:t>中国建设银行股份有限公司</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4、基金合同、《基金合同》或本基金合同：指《华夏中证REITs全收益指数证券投资基金基金合同》及对本基金合同的任何有效修订和补充。</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5、托管协议：指基金管理人与基金托管人就本基金签订之《华夏中证REITs全收益指数证券投资基金托管协议》及对该托管协议的任何有效修订和补充。</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6、招募说明书：指《</w:t>
      </w:r>
      <w:bookmarkStart w:id="46" w:name="OLE_LINK2"/>
      <w:r>
        <w:rPr>
          <w:rFonts w:eastAsiaTheme="minorEastAsia"/>
          <w:bCs/>
          <w:color w:val="000000" w:themeColor="text1"/>
          <w:szCs w:val="21"/>
          <w14:textFill>
            <w14:solidFill>
              <w14:schemeClr w14:val="tx1"/>
            </w14:solidFill>
          </w14:textFill>
        </w:rPr>
        <w:t>华夏中证REITs全收益指数证券投资基金</w:t>
      </w:r>
      <w:bookmarkEnd w:id="46"/>
      <w:r>
        <w:rPr>
          <w:rFonts w:eastAsiaTheme="minorEastAsia"/>
          <w:bCs/>
          <w:color w:val="000000" w:themeColor="text1"/>
          <w:szCs w:val="21"/>
          <w14:textFill>
            <w14:solidFill>
              <w14:schemeClr w14:val="tx1"/>
            </w14:solidFill>
          </w14:textFill>
        </w:rPr>
        <w:t>招募说明书》及其更新。</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7、基金产品资料概要：指《华夏中证REITs全收益指数证券投资基金基金产品资料概要》及其更新。</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8、基金份额发售公告：指《华夏中证REITs全收益指数证券投资基金基金份额发售公告》。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9、法律法规：指中国现行有效并公布实施的法律、行政法规、规范性文件、司法解释、行政规章以及其他对基金合同当事人有约束力的决定、决议、通知等。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10、《基金法》：指《中华人民共和国证券投资基金法》及颁布机关对其不时做出的修订。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11、《销售办法》：指《</w:t>
      </w:r>
      <w:r>
        <w:rPr>
          <w:rFonts w:hint="eastAsia" w:eastAsiaTheme="minorEastAsia"/>
          <w:bCs/>
          <w:color w:val="000000" w:themeColor="text1"/>
          <w:szCs w:val="21"/>
          <w14:textFill>
            <w14:solidFill>
              <w14:schemeClr w14:val="tx1"/>
            </w14:solidFill>
          </w14:textFill>
        </w:rPr>
        <w:t>公开募集证券投资基金销售机构监督管理办法</w:t>
      </w:r>
      <w:r>
        <w:rPr>
          <w:rFonts w:eastAsiaTheme="minorEastAsia"/>
          <w:bCs/>
          <w:color w:val="000000" w:themeColor="text1"/>
          <w:szCs w:val="21"/>
          <w14:textFill>
            <w14:solidFill>
              <w14:schemeClr w14:val="tx1"/>
            </w14:solidFill>
          </w14:textFill>
        </w:rPr>
        <w:t>》及颁布机关对其不时做出的修订。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12、《信息披露办法》：指《公开募集证券投资基金信息披露管理办法》及颁布机关对其不时做出的修订。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13、《运作办法》：指《公开募集证券投资基金运作管理办法》及颁布机关对其不时做出的修订。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14、《流动性风险管理规定》：指《公开募集开放式证券投资基金流动性风险管理规定》及颁布机关对其不时做出的修订。</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r>
        <w:rPr>
          <w:rFonts w:hint="eastAsia"/>
          <w:color w:val="000000" w:themeColor="text1"/>
          <w:szCs w:val="21"/>
          <w14:textFill>
            <w14:solidFill>
              <w14:schemeClr w14:val="tx1"/>
            </w14:solidFill>
          </w14:textFill>
        </w:rPr>
        <w:t>、《指数基金指引》：指中国证监会2021年1月22日颁布、同年2月1日实施的《公开募集证券投资基金运作指引第3号——指数基金指引》及颁布机关对其不时做出的修订。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16、中国证监会：指中国证券监督管理委员会。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17、基金合同当事人：指受基金合同约束，根据基金合同享有权利并承担义务的法律主体，包括基金管理人、基金托管人和基金份额持有人。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18、个人投资者：指依据有关法律法规规定可投资于证券投资基金的自然人。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19、机构投资者：指依法可以投资证券投资基金的、在中华人民共和国境内合法登记并存续或经有关政府部门批准设立并存续的企业法人、事业法人、社会团体或其他组织。</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20、</w:t>
      </w:r>
      <w:r>
        <w:rPr>
          <w:rFonts w:hint="eastAsia" w:eastAsiaTheme="minorEastAsia"/>
          <w:bCs/>
          <w:color w:val="000000" w:themeColor="text1"/>
          <w:szCs w:val="21"/>
          <w14:textFill>
            <w14:solidFill>
              <w14:schemeClr w14:val="tx1"/>
            </w14:solidFill>
          </w14:textFill>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21、投资人、投资者：指个人投资者、机构投资者、合格境外机构投资者</w:t>
      </w:r>
      <w:r>
        <w:rPr>
          <w:rFonts w:hint="eastAsia" w:eastAsiaTheme="minorEastAsia"/>
          <w:bCs/>
          <w:color w:val="000000" w:themeColor="text1"/>
          <w:szCs w:val="21"/>
          <w14:textFill>
            <w14:solidFill>
              <w14:schemeClr w14:val="tx1"/>
            </w14:solidFill>
          </w14:textFill>
        </w:rPr>
        <w:t>和</w:t>
      </w:r>
      <w:r>
        <w:rPr>
          <w:rFonts w:eastAsiaTheme="minorEastAsia"/>
          <w:bCs/>
          <w:color w:val="000000" w:themeColor="text1"/>
          <w:szCs w:val="21"/>
          <w14:textFill>
            <w14:solidFill>
              <w14:schemeClr w14:val="tx1"/>
            </w14:solidFill>
          </w14:textFill>
        </w:rPr>
        <w:t>人民币合格境外机构投资者以及法律法规或中国证监会允许购买证券投资基金的其他投资人的合称。</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22、基金份额持有人：指依基金合同和招募说明书合法取得基金份额的投资人。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23、基金销售业务：指基金管理人或销售机构宣传推介基金，发售基金份额，办理基金份额的</w:t>
      </w:r>
      <w:r>
        <w:rPr>
          <w:rFonts w:hint="eastAsia" w:eastAsiaTheme="minorEastAsia"/>
          <w:bCs/>
          <w:color w:val="000000" w:themeColor="text1"/>
          <w:szCs w:val="21"/>
          <w14:textFill>
            <w14:solidFill>
              <w14:schemeClr w14:val="tx1"/>
            </w14:solidFill>
          </w14:textFill>
        </w:rPr>
        <w:t>认购、</w:t>
      </w:r>
      <w:r>
        <w:rPr>
          <w:rFonts w:eastAsiaTheme="minorEastAsia"/>
          <w:bCs/>
          <w:color w:val="000000" w:themeColor="text1"/>
          <w:szCs w:val="21"/>
          <w14:textFill>
            <w14:solidFill>
              <w14:schemeClr w14:val="tx1"/>
            </w14:solidFill>
          </w14:textFill>
        </w:rPr>
        <w:t>申购、赎回、转换、转托管及定期定额投资等业务。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24、销售机构：指华夏基金管理有限公司以及符合《销售办法》和中国证监会规定的其他条件，取得基金销售业务资格并与基金管理人签订了基金销售服务协议，办理基金销售业务的机构。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25、登记业务：指基金登记、存管、</w:t>
      </w:r>
      <w:r>
        <w:rPr>
          <w:rFonts w:eastAsiaTheme="minorEastAsia"/>
          <w:color w:val="000000" w:themeColor="text1"/>
          <w:szCs w:val="21"/>
          <w14:textFill>
            <w14:solidFill>
              <w14:schemeClr w14:val="tx1"/>
            </w14:solidFill>
          </w14:textFill>
        </w:rPr>
        <w:t>过户、</w:t>
      </w:r>
      <w:r>
        <w:rPr>
          <w:rFonts w:eastAsiaTheme="minorEastAsia"/>
          <w:bCs/>
          <w:color w:val="000000" w:themeColor="text1"/>
          <w:szCs w:val="21"/>
          <w14:textFill>
            <w14:solidFill>
              <w14:schemeClr w14:val="tx1"/>
            </w14:solidFill>
          </w14:textFill>
        </w:rPr>
        <w:t>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26、登记机构：指办理登记业务的机构。基金的登记机构为华夏基金管理有限公司或接受华夏基金管理有限公司委托代为办理登记业务的机构。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27、基金账户：指登记机构为投资人开立的、记录其持有的、由该登记机构</w:t>
      </w:r>
      <w:r>
        <w:rPr>
          <w:rFonts w:hint="eastAsia" w:eastAsiaTheme="minorEastAsia"/>
          <w:bCs/>
          <w:color w:val="000000" w:themeColor="text1"/>
          <w:szCs w:val="21"/>
          <w14:textFill>
            <w14:solidFill>
              <w14:schemeClr w14:val="tx1"/>
            </w14:solidFill>
          </w14:textFill>
        </w:rPr>
        <w:t>办理</w:t>
      </w:r>
      <w:r>
        <w:rPr>
          <w:rFonts w:eastAsiaTheme="minorEastAsia"/>
          <w:bCs/>
          <w:color w:val="000000" w:themeColor="text1"/>
          <w:szCs w:val="21"/>
          <w14:textFill>
            <w14:solidFill>
              <w14:schemeClr w14:val="tx1"/>
            </w14:solidFill>
          </w14:textFill>
        </w:rPr>
        <w:t>登记的基金份额余额及其变动情况的账户。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28、基金交易账户：指销售机构为投资人开立的、记录投资人通过该销售机构办理认购、申购、赎回、转换、转托管及定期定额投资等业务而引起的基金份额变动及结余情况的账户。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29、基金合同生效日：指基金募集达到法律法规规定及基金合同规定的条件，基金管理人向中国证监会办理基金备案手续完毕，并获得中国证监会书面确认的日期。</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30、基金合同终止日：指基金合同规定的基金合同终止事由出现后，基金财产清算完毕，清算结果报中国证监会备案并予以公告的日期。</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31、基金募集期：指自基金份额发售之日起至发售结束之日止的期间，最长不得超过3个月。</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32、存续期：指基金合同生效至终止之间的不定期期限。</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33、工作日：指上海证券交易所、深圳证券交易所的正常交易日。</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34、T日：指销售机构在规定时间受理投资人申购、赎回或其他业务申请的开放日。</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35、T+n日：指自T日起第n个工作日(不包含T日)。</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36、开放日：指为投资人办理基金份额申购、赎回或其他业务的工作日。</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37、开放时间：指开放日基金接受申购、赎回或其他交易的时间段。</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38、《业务规则》：指《华夏基金管理有限公司开放式基金业务规则》，是规范基金管理人所管理的开放式证券投资基金登记方面的业务规则，由基金管理人、销售机构和投资人共同遵守。</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39、认购：指在基金募集期内，投资人根据基金合同和招募说明书的规定申请购买基金份额的行为。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40、申购：指基金合同生效后，投资人根据基金合同和招募说明书的规定申请购买基金份额的行为。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41、赎回：指基金合同生效后，基金份额持有人按基金合同和招募说明书规定的条件要求将基金份额兑换为现金的行为。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42、基金转换：指基金份额持有人按照本基金合同和基金管理人届时有效公告规定的条件，申请将其持有基金管理人管理的、某一基金的基金份额转换为基金管理人管理的其他基金基金份额的行为。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43、转托管：指基金份额持有人在本基金的不同销售机构之间实施的变更所持基金份额销售机构的操作。</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45、巨额赎回：指本基金单个开放日，基金净赎回申请</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赎回申请份额总数加上基金转换中转出申请份额总数后扣除申购申请份额总数及基金转换中转入申请份额总数后的余额</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超过上一开放日基金总份额的10%。</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46、元：指人民币元。</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47、基金收益：指基金投资所得红利、债券利息、买卖证券价差、银行存款利息、已实现的其他合法收入及因运用基金财产带来的成本和费用的节约。</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48、基金资产总值：指基金拥有的各类</w:t>
      </w:r>
      <w:r>
        <w:rPr>
          <w:rFonts w:hint="eastAsia" w:eastAsiaTheme="minorEastAsia"/>
          <w:bCs/>
          <w:color w:val="000000" w:themeColor="text1"/>
          <w:szCs w:val="21"/>
          <w14:textFill>
            <w14:solidFill>
              <w14:schemeClr w14:val="tx1"/>
            </w14:solidFill>
          </w14:textFill>
        </w:rPr>
        <w:t>基金份额、</w:t>
      </w:r>
      <w:r>
        <w:rPr>
          <w:rFonts w:eastAsiaTheme="minorEastAsia"/>
          <w:bCs/>
          <w:color w:val="000000" w:themeColor="text1"/>
          <w:szCs w:val="21"/>
          <w14:textFill>
            <w14:solidFill>
              <w14:schemeClr w14:val="tx1"/>
            </w14:solidFill>
          </w14:textFill>
        </w:rPr>
        <w:t>有价证券、银行存款本息、基金应收款</w:t>
      </w:r>
      <w:r>
        <w:rPr>
          <w:rFonts w:hint="eastAsia" w:eastAsiaTheme="minorEastAsia"/>
          <w:bCs/>
          <w:color w:val="000000" w:themeColor="text1"/>
          <w:szCs w:val="21"/>
          <w14:textFill>
            <w14:solidFill>
              <w14:schemeClr w14:val="tx1"/>
            </w14:solidFill>
          </w14:textFill>
        </w:rPr>
        <w:t>项</w:t>
      </w:r>
      <w:r>
        <w:rPr>
          <w:rFonts w:eastAsiaTheme="minorEastAsia"/>
          <w:bCs/>
          <w:color w:val="000000" w:themeColor="text1"/>
          <w:szCs w:val="21"/>
          <w14:textFill>
            <w14:solidFill>
              <w14:schemeClr w14:val="tx1"/>
            </w14:solidFill>
          </w14:textFill>
        </w:rPr>
        <w:t>及其他资产的价值总和。</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49、基金资产净值：指基金资产总值减去基金负债后的价值。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50、基金份额净值：指计算日基金资产净值除以计算日基金份额总数。</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51、基金资产估值：指计算评估基金资产和负债的价值，以确定基金资产净值和基金份额净值的过程。</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52、规定媒介：</w:t>
      </w:r>
      <w:r>
        <w:rPr>
          <w:rFonts w:hint="eastAsia" w:eastAsiaTheme="minorEastAsia"/>
          <w:bCs/>
          <w:color w:val="000000" w:themeColor="text1"/>
          <w:szCs w:val="21"/>
          <w14:textFill>
            <w14:solidFill>
              <w14:schemeClr w14:val="tx1"/>
            </w14:solidFill>
          </w14:textFill>
        </w:rPr>
        <w:t>指符合中国证监会规定条件的用以进行信息披露的全国性报刊及《信息披露办法》规定的互联网网站（包括基金管理人网站、基金托管人网站、中国证监会基金电子披露网站）等媒介</w:t>
      </w:r>
      <w:r>
        <w:rPr>
          <w:rFonts w:eastAsiaTheme="minorEastAsia"/>
          <w:bCs/>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53、</w:t>
      </w:r>
      <w:r>
        <w:rPr>
          <w:color w:val="000000" w:themeColor="text1"/>
          <w:szCs w:val="21"/>
          <w14:textFill>
            <w14:solidFill>
              <w14:schemeClr w14:val="tx1"/>
            </w14:solidFill>
          </w14:textFill>
        </w:rPr>
        <w:t>销售服务费：指从基金财产中计提的，用于本基金市场推广、销售以及基金份额持有人服务的费用</w:t>
      </w:r>
      <w:r>
        <w:rPr>
          <w:rFonts w:hint="eastAsia"/>
          <w:color w:val="000000" w:themeColor="text1"/>
          <w:szCs w:val="21"/>
          <w14:textFill>
            <w14:solidFill>
              <w14:schemeClr w14:val="tx1"/>
            </w14:solidFill>
          </w14:textFill>
        </w:rPr>
        <w:t>。</w:t>
      </w:r>
    </w:p>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流动性受限资产：指由于法律法规、监管、合同或操作障碍等原因无法以合理价格予以变现的资产，包括但不限于到期日在 10 个交易日以上的逆回购与银行定期存款（含协议约定有条件提前支取的银行存款）、资产支持证券、因发行人债务违约无法进行转让或交易的债券等。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55、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56、转融通证券出借业务：指基金以一定的费率通过证券交易所综合业务平台向中国证券金融股份有限公司（以下简称证券金融公司）出借证券，证券金融公司到期归还所借证券及相应权益补偿并支付费用的业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5</w:t>
      </w:r>
      <w:r>
        <w:rPr>
          <w:rFonts w:eastAsiaTheme="minorEastAsia"/>
          <w:bCs/>
          <w:color w:val="000000" w:themeColor="text1"/>
          <w:szCs w:val="21"/>
          <w14:textFill>
            <w14:solidFill>
              <w14:schemeClr w14:val="tx1"/>
            </w14:solidFill>
          </w14:textFill>
        </w:rPr>
        <w:t>7</w:t>
      </w:r>
      <w:r>
        <w:rPr>
          <w:rFonts w:hint="eastAsia" w:eastAsiaTheme="minorEastAsia"/>
          <w:bCs/>
          <w:color w:val="000000" w:themeColor="text1"/>
          <w:szCs w:val="21"/>
          <w14:textFill>
            <w14:solidFill>
              <w14:schemeClr w14:val="tx1"/>
            </w14:solidFill>
          </w14:textFill>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5</w:t>
      </w:r>
      <w:r>
        <w:rPr>
          <w:rFonts w:eastAsiaTheme="minorEastAsia"/>
          <w:bCs/>
          <w:color w:val="000000" w:themeColor="text1"/>
          <w:szCs w:val="21"/>
          <w14:textFill>
            <w14:solidFill>
              <w14:schemeClr w14:val="tx1"/>
            </w14:solidFill>
          </w14:textFill>
        </w:rPr>
        <w:t>8</w:t>
      </w:r>
      <w:r>
        <w:rPr>
          <w:rFonts w:hint="eastAsia" w:eastAsiaTheme="minorEastAsia"/>
          <w:bCs/>
          <w:color w:val="000000" w:themeColor="text1"/>
          <w:szCs w:val="21"/>
          <w14:textFill>
            <w14:solidFill>
              <w14:schemeClr w14:val="tx1"/>
            </w14:solidFill>
          </w14:textFill>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5</w:t>
      </w:r>
      <w:r>
        <w:rPr>
          <w:rFonts w:eastAsiaTheme="minorEastAsia"/>
          <w:bCs/>
          <w:color w:val="000000" w:themeColor="text1"/>
          <w:szCs w:val="21"/>
          <w14:textFill>
            <w14:solidFill>
              <w14:schemeClr w14:val="tx1"/>
            </w14:solidFill>
          </w14:textFill>
        </w:rPr>
        <w:t>9、不可抗力：指本基金合同当事人不能预见、不能避免且不能克服的客观事件。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6</w:t>
      </w:r>
      <w:r>
        <w:rPr>
          <w:rFonts w:eastAsiaTheme="minorEastAsia"/>
          <w:bCs/>
          <w:color w:val="000000" w:themeColor="text1"/>
          <w:szCs w:val="21"/>
          <w14:textFill>
            <w14:solidFill>
              <w14:schemeClr w14:val="tx1"/>
            </w14:solidFill>
          </w14:textFill>
        </w:rPr>
        <w:t>0</w:t>
      </w:r>
      <w:r>
        <w:rPr>
          <w:rFonts w:hint="eastAsia" w:eastAsiaTheme="minorEastAsia"/>
          <w:bCs/>
          <w:color w:val="000000" w:themeColor="text1"/>
          <w:szCs w:val="21"/>
          <w14:textFill>
            <w14:solidFill>
              <w14:schemeClr w14:val="tx1"/>
            </w14:solidFill>
          </w14:textFill>
        </w:rPr>
        <w:t>、银行业监督管理机构：指中国人民银行和/或国家金融监督管理总局。</w:t>
      </w: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47" w:name="_Toc6683"/>
      <w:bookmarkStart w:id="48" w:name="_Toc20627"/>
      <w:bookmarkStart w:id="49" w:name="_Toc6149"/>
      <w:bookmarkStart w:id="50" w:name="_Toc18631"/>
      <w:bookmarkStart w:id="51" w:name="_Toc545"/>
      <w:bookmarkStart w:id="52" w:name="_Toc22708"/>
      <w:bookmarkStart w:id="53" w:name="_Toc733"/>
      <w:bookmarkStart w:id="54" w:name="_Toc70507721"/>
      <w:bookmarkStart w:id="55" w:name="_Toc13288"/>
      <w:bookmarkStart w:id="56" w:name="_Toc24571"/>
      <w:bookmarkStart w:id="57" w:name="_Toc5246"/>
      <w:bookmarkStart w:id="58" w:name="_Toc20318"/>
      <w:bookmarkStart w:id="59" w:name="_Toc233456272"/>
      <w:bookmarkStart w:id="60" w:name="_Toc258829400"/>
      <w:r>
        <w:rPr>
          <w:rFonts w:eastAsiaTheme="minorEastAsia"/>
          <w:b/>
          <w:color w:val="000000" w:themeColor="text1"/>
          <w:szCs w:val="21"/>
          <w14:textFill>
            <w14:solidFill>
              <w14:schemeClr w14:val="tx1"/>
            </w14:solidFill>
          </w14:textFill>
        </w:rPr>
        <w:t>第三部分  基金的基本情况</w:t>
      </w:r>
      <w:bookmarkEnd w:id="47"/>
      <w:bookmarkEnd w:id="48"/>
      <w:bookmarkEnd w:id="49"/>
      <w:bookmarkEnd w:id="50"/>
      <w:bookmarkEnd w:id="51"/>
      <w:bookmarkEnd w:id="52"/>
      <w:bookmarkEnd w:id="53"/>
      <w:bookmarkEnd w:id="54"/>
      <w:bookmarkEnd w:id="55"/>
      <w:bookmarkEnd w:id="56"/>
      <w:bookmarkEnd w:id="57"/>
      <w:bookmarkEnd w:id="58"/>
      <w:bookmarkStart w:id="61" w:name="_Toc79392573"/>
    </w:p>
    <w:p>
      <w:pPr>
        <w:spacing w:line="360" w:lineRule="auto"/>
        <w:ind w:firstLine="540"/>
        <w:rPr>
          <w:rFonts w:eastAsiaTheme="minorEastAsia"/>
          <w:bCs/>
          <w:color w:val="000000" w:themeColor="text1"/>
          <w:szCs w:val="21"/>
          <w14:textFill>
            <w14:solidFill>
              <w14:schemeClr w14:val="tx1"/>
            </w14:solidFill>
          </w14:textFill>
        </w:rPr>
      </w:pPr>
      <w:bookmarkStart w:id="62" w:name="_Hlt88031774"/>
      <w:bookmarkEnd w:id="62"/>
      <w:bookmarkStart w:id="63" w:name="_Hlt88031741"/>
    </w:p>
    <w:bookmarkEnd w:id="63"/>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一、基金名称</w:t>
      </w:r>
      <w:bookmarkEnd w:id="61"/>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华夏中证REITs全收益指数证券投资基金</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64" w:name="_Toc79392574"/>
      <w:r>
        <w:rPr>
          <w:rFonts w:eastAsiaTheme="minorEastAsia"/>
          <w:bCs/>
          <w:color w:val="000000" w:themeColor="text1"/>
          <w:szCs w:val="21"/>
          <w14:textFill>
            <w14:solidFill>
              <w14:schemeClr w14:val="tx1"/>
            </w14:solidFill>
          </w14:textFill>
        </w:rPr>
        <w:t>二、基金的类别</w:t>
      </w:r>
      <w:bookmarkEnd w:id="64"/>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指数</w:t>
      </w:r>
      <w:r>
        <w:rPr>
          <w:rFonts w:eastAsiaTheme="minorEastAsia"/>
          <w:bCs/>
          <w:color w:val="000000" w:themeColor="text1"/>
          <w:szCs w:val="21"/>
          <w14:textFill>
            <w14:solidFill>
              <w14:schemeClr w14:val="tx1"/>
            </w14:solidFill>
          </w14:textFill>
        </w:rPr>
        <w:t>型</w:t>
      </w:r>
      <w:r>
        <w:rPr>
          <w:rFonts w:hint="eastAsia" w:eastAsiaTheme="minorEastAsia"/>
          <w:bCs/>
          <w:color w:val="000000" w:themeColor="text1"/>
          <w:szCs w:val="21"/>
          <w14:textFill>
            <w14:solidFill>
              <w14:schemeClr w14:val="tx1"/>
            </w14:solidFill>
          </w14:textFill>
        </w:rPr>
        <w:t>基金、基金中基金（FOF）</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65" w:name="_Toc79392575"/>
      <w:r>
        <w:rPr>
          <w:rFonts w:eastAsiaTheme="minorEastAsia"/>
          <w:bCs/>
          <w:color w:val="000000" w:themeColor="text1"/>
          <w:szCs w:val="21"/>
          <w14:textFill>
            <w14:solidFill>
              <w14:schemeClr w14:val="tx1"/>
            </w14:solidFill>
          </w14:textFill>
        </w:rPr>
        <w:t>三、基金的运作方式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契约型开放式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四、基金的投资目标</w:t>
      </w:r>
      <w:bookmarkEnd w:id="65"/>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紧密跟踪标的指数，追求跟踪偏离度和跟踪误差的最小化、实现与标的指数表现相一致的长期投资收益。在正常市场情况下，力争控制本基金的份额净值与业绩比较基准的收益率日均跟踪偏离度的绝对值不超过</w:t>
      </w:r>
      <w:bookmarkStart w:id="66" w:name="_Hlk215136234"/>
      <w:r>
        <w:rPr>
          <w:rFonts w:hint="eastAsia" w:eastAsiaTheme="minorEastAsia"/>
          <w:bCs/>
          <w:color w:val="000000" w:themeColor="text1"/>
          <w:szCs w:val="21"/>
          <w14:textFill>
            <w14:solidFill>
              <w14:schemeClr w14:val="tx1"/>
            </w14:solidFill>
          </w14:textFill>
        </w:rPr>
        <w:t>0</w:t>
      </w:r>
      <w:r>
        <w:rPr>
          <w:rFonts w:eastAsiaTheme="minorEastAsia"/>
          <w:bCs/>
          <w:color w:val="000000" w:themeColor="text1"/>
          <w:szCs w:val="21"/>
          <w14:textFill>
            <w14:solidFill>
              <w14:schemeClr w14:val="tx1"/>
            </w14:solidFill>
          </w14:textFill>
        </w:rPr>
        <w:t>.35</w:t>
      </w:r>
      <w:r>
        <w:rPr>
          <w:rFonts w:hint="eastAsia" w:eastAsiaTheme="minorEastAsia"/>
          <w:bCs/>
          <w:color w:val="000000" w:themeColor="text1"/>
          <w:szCs w:val="21"/>
          <w14:textFill>
            <w14:solidFill>
              <w14:schemeClr w14:val="tx1"/>
            </w14:solidFill>
          </w14:textFill>
        </w:rPr>
        <w:t>%，年跟踪误差不超过</w:t>
      </w:r>
      <w:r>
        <w:rPr>
          <w:rFonts w:eastAsiaTheme="minorEastAsia"/>
          <w:bCs/>
          <w:color w:val="000000" w:themeColor="text1"/>
          <w:szCs w:val="21"/>
          <w14:textFill>
            <w14:solidFill>
              <w14:schemeClr w14:val="tx1"/>
            </w14:solidFill>
          </w14:textFill>
        </w:rPr>
        <w:t>4</w:t>
      </w:r>
      <w:r>
        <w:rPr>
          <w:rFonts w:hint="eastAsia" w:eastAsiaTheme="minorEastAsia"/>
          <w:bCs/>
          <w:color w:val="000000" w:themeColor="text1"/>
          <w:szCs w:val="21"/>
          <w14:textFill>
            <w14:solidFill>
              <w14:schemeClr w14:val="tx1"/>
            </w14:solidFill>
          </w14:textFill>
        </w:rPr>
        <w:t>%</w:t>
      </w:r>
      <w:bookmarkEnd w:id="66"/>
      <w:r>
        <w:rPr>
          <w:rFonts w:hint="eastAsia"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67" w:name="_Toc79392576"/>
      <w:r>
        <w:rPr>
          <w:rFonts w:eastAsiaTheme="minorEastAsia"/>
          <w:bCs/>
          <w:color w:val="000000" w:themeColor="text1"/>
          <w:szCs w:val="21"/>
          <w14:textFill>
            <w14:solidFill>
              <w14:schemeClr w14:val="tx1"/>
            </w14:solidFill>
          </w14:textFill>
        </w:rPr>
        <w:t>五、基金的最低募集份额</w:t>
      </w:r>
      <w:bookmarkEnd w:id="67"/>
      <w:r>
        <w:rPr>
          <w:rFonts w:eastAsiaTheme="minorEastAsia"/>
          <w:bCs/>
          <w:color w:val="000000" w:themeColor="text1"/>
          <w:szCs w:val="21"/>
          <w14:textFill>
            <w14:solidFill>
              <w14:schemeClr w14:val="tx1"/>
            </w14:solidFill>
          </w14:textFill>
        </w:rPr>
        <w:t>总额</w:t>
      </w:r>
    </w:p>
    <w:p>
      <w:pPr>
        <w:spacing w:line="360" w:lineRule="auto"/>
        <w:ind w:firstLine="420" w:firstLineChars="200"/>
        <w:rPr>
          <w:bCs/>
          <w:color w:val="000000" w:themeColor="text1"/>
          <w:szCs w:val="21"/>
          <w14:textFill>
            <w14:solidFill>
              <w14:schemeClr w14:val="tx1"/>
            </w14:solidFill>
          </w14:textFill>
        </w:rPr>
      </w:pPr>
      <w:bookmarkStart w:id="68" w:name="_Toc79392577"/>
      <w:r>
        <w:rPr>
          <w:rFonts w:hint="eastAsia"/>
          <w:bCs/>
          <w:color w:val="000000" w:themeColor="text1"/>
          <w:szCs w:val="21"/>
          <w14:textFill>
            <w14:solidFill>
              <w14:schemeClr w14:val="tx1"/>
            </w14:solidFill>
          </w14:textFill>
        </w:rPr>
        <w:t>本基金的最低募集份额总额为2亿份。</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六、基金份额发售面值</w:t>
      </w:r>
      <w:bookmarkEnd w:id="68"/>
      <w:r>
        <w:rPr>
          <w:rFonts w:eastAsiaTheme="minorEastAsia"/>
          <w:bCs/>
          <w:color w:val="000000" w:themeColor="text1"/>
          <w:szCs w:val="21"/>
          <w14:textFill>
            <w14:solidFill>
              <w14:schemeClr w14:val="tx1"/>
            </w14:solidFill>
          </w14:textFill>
        </w:rPr>
        <w:t>和认购费用</w:t>
      </w:r>
    </w:p>
    <w:p>
      <w:pPr>
        <w:spacing w:line="360" w:lineRule="auto"/>
        <w:ind w:firstLine="48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本基金基金份额发售面值为人民币1.00元。</w:t>
      </w:r>
    </w:p>
    <w:p>
      <w:pPr>
        <w:spacing w:line="360" w:lineRule="auto"/>
        <w:ind w:firstLine="480"/>
        <w:rPr>
          <w:rFonts w:eastAsiaTheme="minorEastAsia"/>
          <w:bCs/>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本基金认购费率按招募说明书的规定执行。</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69" w:name="_Toc79392578"/>
      <w:r>
        <w:rPr>
          <w:rFonts w:eastAsiaTheme="minorEastAsia"/>
          <w:bCs/>
          <w:color w:val="000000" w:themeColor="text1"/>
          <w:szCs w:val="21"/>
          <w14:textFill>
            <w14:solidFill>
              <w14:schemeClr w14:val="tx1"/>
            </w14:solidFill>
          </w14:textFill>
        </w:rPr>
        <w:t>七、基金存续期限</w:t>
      </w:r>
      <w:bookmarkEnd w:id="69"/>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不定期</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八、</w:t>
      </w:r>
      <w:r>
        <w:rPr>
          <w:rFonts w:eastAsiaTheme="minorEastAsia"/>
          <w:bCs/>
          <w:color w:val="000000" w:themeColor="text1"/>
          <w:szCs w:val="21"/>
          <w14:textFill>
            <w14:solidFill>
              <w14:schemeClr w14:val="tx1"/>
            </w14:solidFill>
          </w14:textFill>
        </w:rPr>
        <w:t>标的指数</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本基金的标的指数为</w:t>
      </w:r>
      <w:r>
        <w:rPr>
          <w:rFonts w:hint="eastAsia" w:eastAsiaTheme="minorEastAsia"/>
          <w:color w:val="000000" w:themeColor="text1"/>
          <w:szCs w:val="21"/>
          <w14:textFill>
            <w14:solidFill>
              <w14:schemeClr w14:val="tx1"/>
            </w14:solidFill>
          </w14:textFill>
        </w:rPr>
        <w:t>中证REITs全收益</w:t>
      </w:r>
      <w:r>
        <w:rPr>
          <w:rFonts w:eastAsiaTheme="minorEastAsia"/>
          <w:color w:val="000000" w:themeColor="text1"/>
          <w:szCs w:val="21"/>
          <w14:textFill>
            <w14:solidFill>
              <w14:schemeClr w14:val="tx1"/>
            </w14:solidFill>
          </w14:textFill>
        </w:rPr>
        <w:t>指数。</w:t>
      </w:r>
    </w:p>
    <w:p>
      <w:pPr>
        <w:spacing w:line="360" w:lineRule="auto"/>
        <w:ind w:left="199" w:firstLine="4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 xml:space="preserve">九、基金份额类别 </w:t>
      </w:r>
    </w:p>
    <w:p>
      <w:pPr>
        <w:spacing w:line="360" w:lineRule="auto"/>
        <w:ind w:firstLine="420" w:firstLineChars="200"/>
        <w:rPr>
          <w:color w:val="000000"/>
          <w:szCs w:val="21"/>
        </w:rPr>
      </w:pPr>
      <w:r>
        <w:rPr>
          <w:color w:val="000000"/>
          <w:szCs w:val="21"/>
        </w:rPr>
        <w:t>本基金根据认购费、申购费、销售服务费收取方式或其他条件的不同，将基金份额分为不同的类别。在投资者认购/申购时收取前端认购/申购费的，称为A 类基金份额；不收取前后端认购/申购费，而从本类别基金资产中计提销售服务费的，称为C 类基金份额。A 类、C 类基金份额分别设置代码，分别计算和公告基金份额净值和基金份额累计净值。</w:t>
      </w:r>
    </w:p>
    <w:p>
      <w:pPr>
        <w:spacing w:line="360" w:lineRule="auto"/>
        <w:ind w:firstLine="420" w:firstLineChars="200"/>
        <w:rPr>
          <w:color w:val="000000"/>
          <w:szCs w:val="21"/>
        </w:rPr>
      </w:pPr>
      <w:r>
        <w:rPr>
          <w:color w:val="000000"/>
          <w:szCs w:val="21"/>
        </w:rPr>
        <w:t>有关基金份额类别的具体设置、费率水平等由基金管理人确定，并在招募说明书中公告。根据基金销售情况，基金管理人可在不损害已有基金份额持有人权益的情况下，经与基金托管人协商，</w:t>
      </w:r>
      <w:r>
        <w:rPr>
          <w:szCs w:val="21"/>
        </w:rPr>
        <w:t>在依法履行适当程序后，相应</w:t>
      </w:r>
      <w:r>
        <w:rPr>
          <w:color w:val="000000"/>
          <w:szCs w:val="21"/>
        </w:rPr>
        <w:t>调整现有基金份额类别的费率水平、销售方式或者停止现有基金份额类别的销售等。</w:t>
      </w:r>
    </w:p>
    <w:p>
      <w:pPr>
        <w:spacing w:line="360" w:lineRule="auto"/>
        <w:ind w:firstLine="420" w:firstLineChars="200"/>
        <w:rPr>
          <w:color w:val="000000"/>
          <w:szCs w:val="21"/>
        </w:rPr>
      </w:pPr>
      <w:r>
        <w:rPr>
          <w:color w:val="000000"/>
          <w:szCs w:val="21"/>
        </w:rPr>
        <w:t>在不违反法律法规且对基金份额持有人利益无实质性不利影响的前提下，基金管理人可根据基金发展需要，</w:t>
      </w:r>
      <w:r>
        <w:rPr>
          <w:bCs/>
          <w:color w:val="000000"/>
          <w:szCs w:val="21"/>
        </w:rPr>
        <w:t>在履行适当程序后，</w:t>
      </w:r>
      <w:r>
        <w:rPr>
          <w:color w:val="000000"/>
          <w:szCs w:val="21"/>
        </w:rPr>
        <w:t>为本基金增设、减少、调整基金份额类别。其中，增设的基金份额类别可设置不同的申购费、赎回费、销售服务费等其他条件，而无需召开基金份额持有人大会，调整前基金管理人需及时公告。有关基金份额类别的具体规则等相关事项届时将另行公告。</w:t>
      </w:r>
    </w:p>
    <w:p>
      <w:pPr>
        <w:spacing w:line="360" w:lineRule="auto"/>
        <w:ind w:firstLine="420" w:firstLineChars="200"/>
        <w:rPr>
          <w:color w:val="000000"/>
          <w:szCs w:val="21"/>
        </w:rPr>
      </w:pPr>
      <w:r>
        <w:rPr>
          <w:rFonts w:hint="eastAsia"/>
          <w:color w:val="000000"/>
          <w:szCs w:val="21"/>
        </w:rPr>
        <w:t>十、未来条件许可情况下的基金模式转换</w:t>
      </w:r>
    </w:p>
    <w:p>
      <w:pPr>
        <w:spacing w:line="360" w:lineRule="auto"/>
        <w:ind w:firstLine="420" w:firstLineChars="200"/>
        <w:rPr>
          <w:color w:val="000000"/>
          <w:szCs w:val="21"/>
        </w:rPr>
      </w:pPr>
      <w:r>
        <w:rPr>
          <w:rFonts w:hint="eastAsia"/>
          <w:color w:val="000000"/>
          <w:szCs w:val="21"/>
        </w:rPr>
        <w:t>若将来本基金管理人推出跟踪同一标的指数的交易型开放式指数基金（ETF），本基金经履行适当程序可转型为ETF联接基金，相应修订基金合同，无需召开基金份额持有人大会，具体见届时的相关公告。</w:t>
      </w:r>
    </w:p>
    <w:p>
      <w:pPr>
        <w:spacing w:line="360" w:lineRule="auto"/>
        <w:rPr>
          <w:rFonts w:eastAsiaTheme="minorEastAsia"/>
          <w:bCs/>
          <w:color w:val="000000" w:themeColor="text1"/>
          <w:szCs w:val="21"/>
          <w14:textFill>
            <w14:solidFill>
              <w14:schemeClr w14:val="tx1"/>
            </w14:solidFill>
          </w14:textFill>
        </w:rPr>
      </w:pP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70" w:name="_Toc29948"/>
      <w:bookmarkStart w:id="71" w:name="_Toc24682"/>
      <w:bookmarkStart w:id="72" w:name="_Toc90742390"/>
      <w:bookmarkStart w:id="73" w:name="_Toc3266"/>
      <w:bookmarkStart w:id="74" w:name="_Toc70507722"/>
      <w:bookmarkStart w:id="75" w:name="_Toc6714"/>
      <w:bookmarkStart w:id="76" w:name="_Toc27189"/>
      <w:bookmarkStart w:id="77" w:name="_Toc7151"/>
      <w:bookmarkStart w:id="78" w:name="_Toc27226"/>
      <w:bookmarkStart w:id="79" w:name="_Toc16265"/>
      <w:bookmarkStart w:id="80" w:name="_Toc90742688"/>
      <w:bookmarkStart w:id="81" w:name="_Toc15203"/>
      <w:bookmarkStart w:id="82" w:name="_Toc29784"/>
      <w:bookmarkStart w:id="83" w:name="_Toc22074"/>
      <w:bookmarkStart w:id="84" w:name="_Toc90742321"/>
      <w:r>
        <w:rPr>
          <w:rFonts w:eastAsiaTheme="minorEastAsia"/>
          <w:b/>
          <w:color w:val="000000" w:themeColor="text1"/>
          <w:szCs w:val="21"/>
          <w14:textFill>
            <w14:solidFill>
              <w14:schemeClr w14:val="tx1"/>
            </w14:solidFill>
          </w14:textFill>
        </w:rPr>
        <w:t>第四部分  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spacing w:line="360" w:lineRule="auto"/>
        <w:ind w:firstLine="420" w:firstLineChars="200"/>
        <w:rPr>
          <w:rFonts w:eastAsiaTheme="minorEastAsia"/>
          <w:bCs/>
          <w:color w:val="000000" w:themeColor="text1"/>
          <w:kern w:val="44"/>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一、基金份额的发售时间、发售方式、发售对象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1、发售时间</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自基金份额发售之日起最长不得超过3个月，具体发售时间见基金份额发售公告。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2、发售方式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通过各销售机构的基金销售网点公开发售，各销售机构的具体名单见基金份额发售公告以及基金管理人届时发布的调整销售机构的相关公告</w:t>
      </w:r>
      <w:r>
        <w:rPr>
          <w:rFonts w:hint="eastAsia" w:eastAsiaTheme="minorEastAsia"/>
          <w:bCs/>
          <w:color w:val="000000" w:themeColor="text1"/>
          <w:szCs w:val="21"/>
          <w14:textFill>
            <w14:solidFill>
              <w14:schemeClr w14:val="tx1"/>
            </w14:solidFill>
          </w14:textFill>
        </w:rPr>
        <w:t>或基金管理人网站的相关公示。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基金管理人可以根据具体情况调整基金的发售方式，并在基金份额发售公告或相关公告中列明。</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3、发售对象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符合法律法规规定的可投资于证券投资基金的个人投资者、机构投资者、合格境外机构投资者</w:t>
      </w:r>
      <w:r>
        <w:rPr>
          <w:bCs/>
          <w:color w:val="000000"/>
          <w:szCs w:val="21"/>
        </w:rPr>
        <w:t>和人民币合格境外机构投资者</w:t>
      </w:r>
      <w:r>
        <w:rPr>
          <w:rFonts w:eastAsiaTheme="minorEastAsia"/>
          <w:bCs/>
          <w:color w:val="000000" w:themeColor="text1"/>
          <w:szCs w:val="21"/>
          <w14:textFill>
            <w14:solidFill>
              <w14:schemeClr w14:val="tx1"/>
            </w14:solidFill>
          </w14:textFill>
        </w:rPr>
        <w:t>以及法律法规或中国证监会允许购买证券投资基金的其他投资人。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二、基金份额的认购</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1、认购费用</w:t>
      </w:r>
    </w:p>
    <w:p>
      <w:pPr>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本基金的A类基金份额认购费率由基金管理人决定，并在招募说明书及基金产品资料概要中列示。基金认购费用不列入基金财产。C类基金份额不收取认购费用。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2、募集期利息的处理方式</w:t>
      </w:r>
    </w:p>
    <w:p>
      <w:pPr>
        <w:spacing w:line="360" w:lineRule="auto"/>
        <w:ind w:firstLine="420" w:firstLineChars="200"/>
        <w:rPr>
          <w:rFonts w:eastAsiaTheme="minorEastAsia"/>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有效认购款项在募集期间产生的利息将折算为基金份额（份额类型为投资者认购时选择的相应类别）归基金份额持有人所有，</w:t>
      </w:r>
      <w:r>
        <w:rPr>
          <w:rFonts w:eastAsiaTheme="minorEastAsia"/>
          <w:bCs/>
          <w:color w:val="000000" w:themeColor="text1"/>
          <w:szCs w:val="21"/>
          <w14:textFill>
            <w14:solidFill>
              <w14:schemeClr w14:val="tx1"/>
            </w14:solidFill>
          </w14:textFill>
        </w:rPr>
        <w:t>其中利息转份额以登记机构的记录为准。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3、基金认购份额的计算</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基金认购份额具体的计算方法在招募说明书中列示。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4、认购份额余额的处理方式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认购份额</w:t>
      </w:r>
      <w:bookmarkStart w:id="85" w:name="OLE_LINK1"/>
      <w:r>
        <w:rPr>
          <w:rFonts w:eastAsiaTheme="minorEastAsia"/>
          <w:bCs/>
          <w:color w:val="000000" w:themeColor="text1"/>
          <w:szCs w:val="21"/>
          <w14:textFill>
            <w14:solidFill>
              <w14:schemeClr w14:val="tx1"/>
            </w14:solidFill>
          </w14:textFill>
        </w:rPr>
        <w:t>的计算</w:t>
      </w:r>
      <w:bookmarkEnd w:id="85"/>
      <w:r>
        <w:rPr>
          <w:rFonts w:eastAsiaTheme="minorEastAsia"/>
          <w:bCs/>
          <w:color w:val="000000" w:themeColor="text1"/>
          <w:szCs w:val="21"/>
          <w14:textFill>
            <w14:solidFill>
              <w14:schemeClr w14:val="tx1"/>
            </w14:solidFill>
          </w14:textFill>
        </w:rPr>
        <w:t>保留到小数点后2位，小数点2位以后的部分四舍五入，由此误差产生的收益或损失由基金财产承担。</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5、认购申请的确认</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三、基金份额认购金额的限制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1、投资人认购时，需按销售机构规定的方式全额缴款。</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2、基金管理人可以对每个基金交易账户的单笔最低认购金额进行限制，具体限制请参看招募说明书或相关公告。</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3、基金管理人可以对募集期间的单个投资人的累计认购金额进行限制，具体限制和处理方法请参看招募说明书或相关公告。</w:t>
      </w:r>
    </w:p>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4、基金投资人在基金募集期内可以多次认购基金份额，认购费按每笔认购申请单独计算。认购一经受理不得撤销。</w:t>
      </w: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86" w:name="_Toc21988"/>
      <w:bookmarkStart w:id="87" w:name="_Toc14893"/>
      <w:bookmarkStart w:id="88" w:name="_Toc18797"/>
      <w:bookmarkStart w:id="89" w:name="_Toc141703885"/>
      <w:bookmarkStart w:id="90" w:name="_Toc18329"/>
      <w:bookmarkStart w:id="91" w:name="_Toc139991735"/>
      <w:bookmarkStart w:id="92" w:name="_Toc70507723"/>
      <w:bookmarkStart w:id="93" w:name="_Toc1823"/>
      <w:bookmarkStart w:id="94" w:name="_Toc7848"/>
      <w:bookmarkStart w:id="95" w:name="_Toc6559"/>
      <w:bookmarkStart w:id="96" w:name="_Toc18526"/>
      <w:bookmarkStart w:id="97" w:name="_Toc4741"/>
      <w:bookmarkStart w:id="98" w:name="_Toc26986"/>
      <w:bookmarkStart w:id="99" w:name="_Toc17912"/>
      <w:r>
        <w:rPr>
          <w:rFonts w:eastAsiaTheme="minorEastAsia"/>
          <w:b/>
          <w:color w:val="000000" w:themeColor="text1"/>
          <w:szCs w:val="21"/>
          <w14:textFill>
            <w14:solidFill>
              <w14:schemeClr w14:val="tx1"/>
            </w14:solidFill>
          </w14:textFill>
        </w:rPr>
        <w:t>第五部分  基金备案</w:t>
      </w:r>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54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一、基金备案的条件</w:t>
      </w:r>
    </w:p>
    <w:p>
      <w:pPr>
        <w:spacing w:line="360" w:lineRule="auto"/>
        <w:ind w:firstLine="420"/>
        <w:rPr>
          <w:bCs/>
          <w:color w:val="000000"/>
          <w:szCs w:val="21"/>
        </w:rPr>
      </w:pPr>
      <w:r>
        <w:rPr>
          <w:bCs/>
          <w:color w:val="000000"/>
          <w:szCs w:val="21"/>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pPr>
        <w:spacing w:line="360" w:lineRule="auto"/>
        <w:ind w:firstLine="420"/>
        <w:rPr>
          <w:bCs/>
          <w:color w:val="000000"/>
          <w:szCs w:val="21"/>
        </w:rPr>
      </w:pPr>
      <w:r>
        <w:rPr>
          <w:bCs/>
          <w:color w:val="000000"/>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pacing w:line="360" w:lineRule="auto"/>
        <w:ind w:firstLine="420"/>
        <w:rPr>
          <w:bCs/>
          <w:color w:val="000000"/>
          <w:szCs w:val="21"/>
        </w:rPr>
      </w:pPr>
      <w:r>
        <w:rPr>
          <w:bCs/>
          <w:color w:val="000000"/>
          <w:szCs w:val="21"/>
        </w:rPr>
        <w:t>二、基金合同不能生效时募集资金的处理方式</w:t>
      </w:r>
    </w:p>
    <w:p>
      <w:pPr>
        <w:spacing w:line="360" w:lineRule="auto"/>
        <w:ind w:firstLine="420"/>
        <w:rPr>
          <w:bCs/>
          <w:color w:val="000000"/>
          <w:szCs w:val="21"/>
        </w:rPr>
      </w:pPr>
      <w:r>
        <w:rPr>
          <w:bCs/>
          <w:color w:val="000000"/>
          <w:szCs w:val="21"/>
        </w:rPr>
        <w:t>如果募集期限届满，未满足基金备案条件，基金管理人应当承担下列责任：</w:t>
      </w:r>
    </w:p>
    <w:p>
      <w:pPr>
        <w:spacing w:line="360" w:lineRule="auto"/>
        <w:ind w:firstLine="420"/>
        <w:rPr>
          <w:bCs/>
          <w:color w:val="000000"/>
          <w:szCs w:val="21"/>
        </w:rPr>
      </w:pPr>
      <w:r>
        <w:rPr>
          <w:bCs/>
          <w:color w:val="000000"/>
          <w:szCs w:val="21"/>
        </w:rPr>
        <w:t>1、以其固有财产承担因募集行为而产生的债务和费用。</w:t>
      </w:r>
    </w:p>
    <w:p>
      <w:pPr>
        <w:spacing w:line="360" w:lineRule="auto"/>
        <w:ind w:firstLine="420"/>
        <w:rPr>
          <w:bCs/>
          <w:color w:val="000000"/>
          <w:szCs w:val="21"/>
        </w:rPr>
      </w:pPr>
      <w:r>
        <w:rPr>
          <w:bCs/>
          <w:color w:val="000000"/>
          <w:szCs w:val="21"/>
        </w:rPr>
        <w:t>2、在基金募集期限届满后30日内返还投资者已缴纳的款项，并加计银行同期存款利息。</w:t>
      </w:r>
    </w:p>
    <w:p>
      <w:pPr>
        <w:spacing w:line="360" w:lineRule="auto"/>
        <w:ind w:firstLine="420"/>
        <w:rPr>
          <w:bCs/>
          <w:color w:val="000000"/>
          <w:szCs w:val="21"/>
        </w:rPr>
      </w:pPr>
      <w:r>
        <w:rPr>
          <w:bCs/>
          <w:color w:val="000000"/>
          <w:szCs w:val="21"/>
        </w:rPr>
        <w:t>3、如基金募集失败，基金管理人、基金托管人及销售机构不得请求报酬。基金管理人、基金托管人和销售机构为基金募集支付之一切费用应由各方各自承担。</w:t>
      </w:r>
    </w:p>
    <w:p>
      <w:pPr>
        <w:spacing w:line="360" w:lineRule="auto"/>
        <w:ind w:firstLine="420"/>
        <w:rPr>
          <w:bCs/>
          <w:color w:val="000000"/>
          <w:szCs w:val="21"/>
        </w:rPr>
      </w:pPr>
      <w:r>
        <w:rPr>
          <w:bCs/>
          <w:color w:val="000000"/>
          <w:szCs w:val="21"/>
        </w:rPr>
        <w:t>三、基金存续期内的基金份额持有人数量和资产规模</w:t>
      </w:r>
    </w:p>
    <w:p>
      <w:pPr>
        <w:spacing w:line="360" w:lineRule="auto"/>
        <w:ind w:firstLine="420"/>
        <w:rPr>
          <w:bCs/>
          <w:color w:val="000000"/>
          <w:szCs w:val="21"/>
        </w:rPr>
      </w:pPr>
      <w:r>
        <w:rPr>
          <w:bCs/>
          <w:color w:val="000000"/>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spacing w:line="360" w:lineRule="auto"/>
        <w:ind w:firstLine="420"/>
        <w:rPr>
          <w:bCs/>
          <w:color w:val="000000"/>
          <w:szCs w:val="21"/>
        </w:rPr>
      </w:pPr>
      <w:r>
        <w:rPr>
          <w:bCs/>
          <w:color w:val="000000"/>
          <w:szCs w:val="21"/>
        </w:rPr>
        <w:t>法律法规或中国证监会另有规定时，从其规定。</w:t>
      </w: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100" w:name="_Toc1270"/>
      <w:bookmarkStart w:id="101" w:name="_Toc23822"/>
      <w:bookmarkStart w:id="102" w:name="_Toc10463"/>
      <w:bookmarkStart w:id="103" w:name="_Toc123051452"/>
      <w:bookmarkStart w:id="104" w:name="_Toc79392606"/>
      <w:bookmarkStart w:id="105" w:name="_Toc11081"/>
      <w:bookmarkStart w:id="106" w:name="_Toc20733"/>
      <w:bookmarkStart w:id="107" w:name="_Toc98560352"/>
      <w:bookmarkStart w:id="108" w:name="_Toc123102453"/>
      <w:bookmarkStart w:id="109" w:name="_Toc4003"/>
      <w:bookmarkStart w:id="110" w:name="_Toc48649707"/>
      <w:bookmarkStart w:id="111" w:name="_Toc1427"/>
      <w:bookmarkStart w:id="112" w:name="_Toc17244"/>
      <w:bookmarkStart w:id="113" w:name="_Toc610"/>
      <w:bookmarkStart w:id="114" w:name="_Toc141703886"/>
      <w:bookmarkStart w:id="115" w:name="_Toc70507724"/>
      <w:bookmarkStart w:id="116" w:name="_Toc139991736"/>
      <w:bookmarkStart w:id="117" w:name="_Toc123112234"/>
      <w:bookmarkStart w:id="118" w:name="_Toc7920"/>
      <w:bookmarkStart w:id="119" w:name="_Toc23261"/>
      <w:r>
        <w:rPr>
          <w:rFonts w:eastAsiaTheme="minorEastAsia"/>
          <w:b/>
          <w:color w:val="000000" w:themeColor="text1"/>
          <w:szCs w:val="21"/>
          <w14:textFill>
            <w14:solidFill>
              <w14:schemeClr w14:val="tx1"/>
            </w14:solidFill>
          </w14:textFill>
        </w:rPr>
        <w:t>第六部分  基金份额的申购与赎回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360" w:lineRule="auto"/>
        <w:ind w:firstLine="54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一、申购和赎回场所</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本基金的申购与赎回将通过销售机构进行。具体的销售</w:t>
      </w:r>
      <w:r>
        <w:rPr>
          <w:rFonts w:hint="eastAsia" w:eastAsiaTheme="minorEastAsia"/>
          <w:bCs/>
          <w:color w:val="000000" w:themeColor="text1"/>
          <w:szCs w:val="21"/>
          <w14:textFill>
            <w14:solidFill>
              <w14:schemeClr w14:val="tx1"/>
            </w14:solidFill>
          </w14:textFill>
        </w:rPr>
        <w:t>机构</w:t>
      </w:r>
      <w:r>
        <w:rPr>
          <w:rFonts w:eastAsiaTheme="minorEastAsia"/>
          <w:bCs/>
          <w:color w:val="000000" w:themeColor="text1"/>
          <w:szCs w:val="21"/>
          <w14:textFill>
            <w14:solidFill>
              <w14:schemeClr w14:val="tx1"/>
            </w14:solidFill>
          </w14:textFill>
        </w:rPr>
        <w:t>将由基金管理人在招募说明书或其他相关公告中列明。基金管理人可根据情况变更或增减销售机构，并</w:t>
      </w:r>
      <w:bookmarkStart w:id="120" w:name="_Hlk21522707"/>
      <w:r>
        <w:rPr>
          <w:rFonts w:eastAsiaTheme="minorEastAsia"/>
          <w:bCs/>
          <w:color w:val="000000" w:themeColor="text1"/>
          <w:szCs w:val="21"/>
          <w14:textFill>
            <w14:solidFill>
              <w14:schemeClr w14:val="tx1"/>
            </w14:solidFill>
          </w14:textFill>
        </w:rPr>
        <w:t>在基金管理人网站公示</w:t>
      </w:r>
      <w:bookmarkEnd w:id="120"/>
      <w:r>
        <w:rPr>
          <w:rFonts w:eastAsiaTheme="minorEastAsia"/>
          <w:bCs/>
          <w:color w:val="000000" w:themeColor="text1"/>
          <w:szCs w:val="21"/>
          <w14:textFill>
            <w14:solidFill>
              <w14:schemeClr w14:val="tx1"/>
            </w14:solidFill>
          </w14:textFill>
        </w:rPr>
        <w:t>。基金投资者应当在销售机构办理基金销售业务的营业场所或按销售机构提供的其他方式办理基金份额的申购与赎回。</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二、申购和赎回的开放日及时间</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1、开放日及开放时间</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2、申购、赎回开始日及业务办理时间</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基金管理人自基金合同生效之日起不超过3个月开始办理申购，具体业务办理时间在申购开始公告中规定。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基金管理人自基金合同生效之日起不超过3个月开始办理赎回，具体业务办理时间在赎回开始公告中规定。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在确定申购开始与赎回开始时间后，基金管理人应在申购、赎回开放日前依照《信息披露办法》的有关规定在规定媒介上公告申购与赎回的开始时间。</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三、申购与赎回的原则</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1、“未知价”原则，即申购、赎回价格以申请当日收市后计算的各类基金份额净值为基准进行计算；</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2、“金额申购、份额赎回”原则，即申购以金额申请，赎回以份额申请；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3、当日的申购与赎回申请可以在基金管理人规定的时间以内撤销</w:t>
      </w:r>
      <w:r>
        <w:rPr>
          <w:rFonts w:hint="eastAsia" w:eastAsiaTheme="minorEastAsia"/>
          <w:bCs/>
          <w:color w:val="000000" w:themeColor="text1"/>
          <w:szCs w:val="21"/>
          <w14:textFill>
            <w14:solidFill>
              <w14:schemeClr w14:val="tx1"/>
            </w14:solidFill>
          </w14:textFill>
        </w:rPr>
        <w:t>，但申请一经被受理则不得撤销</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4、赎回遵循“先进先出”原则，即按照投资人认购、申购的先后次序进行顺序赎回；</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5、本基金份额分为多个类别，适用不同的申购费或销售服务费，投资者在申购时可自行选择基金份额类别；</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6、投资者办理申购、赎回等业务时应提交的文件和办理手续、办理时间、处理规则等在遵守基金合同和招募说明书规定的前提下，以各销售机构的具体规定为准。</w:t>
      </w:r>
    </w:p>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7、办理申购、赎回业务时，应当遵循基金份额持有人利益优先原则，确保投资者的合法权益不受损害并得到公平对待。</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基金管理人可在法律法规允许的情况下，对上述原则进行调整。基金管理人必须在新规则开始实施前依照《信息披露办法》的有关规定在规定媒介上公告。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四、申购与赎回的程序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1、申购和赎回的申请方式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投资人必须根据销售机构规定的程序，在开放日的具体业务办理时间内提出申购或赎回的申请。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2、申购和赎回的款项支付</w:t>
      </w:r>
    </w:p>
    <w:p>
      <w:pPr>
        <w:spacing w:line="360" w:lineRule="auto"/>
        <w:ind w:firstLine="420" w:firstLineChars="200"/>
        <w:rPr>
          <w:rFonts w:eastAsiaTheme="minorEastAsia"/>
          <w:color w:val="000000" w:themeColor="text1"/>
          <w:szCs w:val="21"/>
          <w:lang w:val="zh-CN"/>
          <w14:textFill>
            <w14:solidFill>
              <w14:schemeClr w14:val="tx1"/>
            </w14:solidFill>
          </w14:textFill>
        </w:rPr>
      </w:pPr>
      <w:r>
        <w:rPr>
          <w:rFonts w:eastAsiaTheme="minorEastAsia"/>
          <w:bCs/>
          <w:color w:val="000000" w:themeColor="text1"/>
          <w:szCs w:val="21"/>
          <w:lang w:val="zh-CN"/>
          <w14:textFill>
            <w14:solidFill>
              <w14:schemeClr w14:val="tx1"/>
            </w14:solidFill>
          </w14:textFill>
        </w:rPr>
        <w:t>投资人申购基金份额时，必须全额交付申购款项，投资人交付申购款项，申购成立；基金份额登记机构确认基金份额时，申购生效。</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基金份额持有人递交赎回申请，赎回成立；基金份额登记机构确认</w:t>
      </w:r>
      <w:r>
        <w:rPr>
          <w:rFonts w:eastAsiaTheme="minorEastAsia"/>
          <w:color w:val="000000" w:themeColor="text1"/>
          <w:szCs w:val="21"/>
          <w14:textFill>
            <w14:solidFill>
              <w14:schemeClr w14:val="tx1"/>
            </w14:solidFill>
          </w14:textFill>
        </w:rPr>
        <w:t>赎回时，赎回生效。</w:t>
      </w:r>
      <w:r>
        <w:rPr>
          <w:rFonts w:eastAsiaTheme="minorEastAsia"/>
          <w:bCs/>
          <w:color w:val="000000" w:themeColor="text1"/>
          <w:szCs w:val="21"/>
          <w14:textFill>
            <w14:solidFill>
              <w14:schemeClr w14:val="tx1"/>
            </w14:solidFill>
          </w14:textFill>
        </w:rPr>
        <w:t>投资者赎回申请生效后，基金管理人将在T＋7日(包括该日)内支付赎回款项。在发生巨额赎回</w:t>
      </w:r>
      <w:r>
        <w:rPr>
          <w:rFonts w:hint="eastAsia" w:eastAsiaTheme="minorEastAsia"/>
          <w:bCs/>
          <w:color w:val="000000" w:themeColor="text1"/>
          <w:szCs w:val="21"/>
          <w14:textFill>
            <w14:solidFill>
              <w14:schemeClr w14:val="tx1"/>
            </w14:solidFill>
          </w14:textFill>
        </w:rPr>
        <w:t>或本基金合同约定的其他暂停赎回或延缓支付赎回款项的情形</w:t>
      </w:r>
      <w:r>
        <w:rPr>
          <w:rFonts w:eastAsiaTheme="minorEastAsia"/>
          <w:bCs/>
          <w:color w:val="000000" w:themeColor="text1"/>
          <w:szCs w:val="21"/>
          <w14:textFill>
            <w14:solidFill>
              <w14:schemeClr w14:val="tx1"/>
            </w14:solidFill>
          </w14:textFill>
        </w:rPr>
        <w:t>时，款项的支付办法参照本基金合同有关条款处理。</w:t>
      </w:r>
      <w:r>
        <w:rPr>
          <w:rFonts w:hint="eastAsia" w:eastAsiaTheme="minorEastAsia"/>
          <w:bCs/>
          <w:color w:val="000000" w:themeColor="text1"/>
          <w:szCs w:val="21"/>
          <w14:textFill>
            <w14:solidFill>
              <w14:schemeClr w14:val="tx1"/>
            </w14:solidFill>
          </w14:textFill>
        </w:rPr>
        <w:t>遇交易所或交易市场数据传输延迟、通讯系统故障、银行数据交换系统故障或其它非基金管理人及基金托管人所能控制的因素影响业务处理流程时，赎回款项顺延至上述情形消除后的下一个工作日划出。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3、申购和赎回申请的确认</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基金管理人应以交易时间结束前受理有效申购和赎回申请的当天作为申购或赎回申请日(T日)，在正常情况下，本基金登记机构在T+1日（包括该日）内对该交易的有效性进行确认。T日提交的有效申请，投资人</w:t>
      </w:r>
      <w:r>
        <w:rPr>
          <w:rFonts w:hint="eastAsia" w:eastAsiaTheme="minorEastAsia"/>
          <w:bCs/>
          <w:color w:val="000000" w:themeColor="text1"/>
          <w:szCs w:val="21"/>
          <w14:textFill>
            <w14:solidFill>
              <w14:schemeClr w14:val="tx1"/>
            </w14:solidFill>
          </w14:textFill>
        </w:rPr>
        <w:t>可</w:t>
      </w:r>
      <w:r>
        <w:rPr>
          <w:rFonts w:eastAsiaTheme="minorEastAsia"/>
          <w:bCs/>
          <w:color w:val="000000" w:themeColor="text1"/>
          <w:szCs w:val="21"/>
          <w14:textFill>
            <w14:solidFill>
              <w14:schemeClr w14:val="tx1"/>
            </w14:solidFill>
          </w14:textFill>
        </w:rPr>
        <w:t>在T+2日后(包括该日)及时到销售网点柜台或以销售机构规定的其他方式查询申请的确认情况。</w:t>
      </w:r>
    </w:p>
    <w:p>
      <w:pPr>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基金销售机构对申购、赎回申请的受理并不代表申请一定成功，而仅代表销售机构确实接收到申请。申请的确认以登记机构的确认结果为准。对于申请的确认情况，投资者应及时查询。若申购不成功，则申购款项退还给投资人。</w:t>
      </w:r>
    </w:p>
    <w:p>
      <w:pPr>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4、基金管理人可以在不违反法律法规的前提下，对上述业务办理时间进行调整，并提前公告。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五、申购和赎回的</w:t>
      </w:r>
      <w:r>
        <w:rPr>
          <w:rFonts w:hint="eastAsia" w:eastAsiaTheme="minorEastAsia"/>
          <w:bCs/>
          <w:color w:val="000000" w:themeColor="text1"/>
          <w:szCs w:val="21"/>
          <w14:textFill>
            <w14:solidFill>
              <w14:schemeClr w14:val="tx1"/>
            </w14:solidFill>
          </w14:textFill>
        </w:rPr>
        <w:t>数额</w:t>
      </w:r>
      <w:r>
        <w:rPr>
          <w:rFonts w:eastAsiaTheme="minorEastAsia"/>
          <w:bCs/>
          <w:color w:val="000000" w:themeColor="text1"/>
          <w:szCs w:val="21"/>
          <w14:textFill>
            <w14:solidFill>
              <w14:schemeClr w14:val="tx1"/>
            </w14:solidFill>
          </w14:textFill>
        </w:rPr>
        <w:t>限制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1、基金管理人可以规定投资人首次申购和每次申购的</w:t>
      </w:r>
      <w:r>
        <w:rPr>
          <w:rFonts w:hint="eastAsia" w:eastAsiaTheme="minorEastAsia"/>
          <w:bCs/>
          <w:color w:val="000000" w:themeColor="text1"/>
          <w:szCs w:val="21"/>
          <w14:textFill>
            <w14:solidFill>
              <w14:schemeClr w14:val="tx1"/>
            </w14:solidFill>
          </w14:textFill>
        </w:rPr>
        <w:t>金额限制</w:t>
      </w:r>
      <w:r>
        <w:rPr>
          <w:rFonts w:eastAsiaTheme="minorEastAsia"/>
          <w:bCs/>
          <w:color w:val="000000" w:themeColor="text1"/>
          <w:szCs w:val="21"/>
          <w14:textFill>
            <w14:solidFill>
              <w14:schemeClr w14:val="tx1"/>
            </w14:solidFill>
          </w14:textFill>
        </w:rPr>
        <w:t>以及每次赎回的</w:t>
      </w:r>
      <w:r>
        <w:rPr>
          <w:rFonts w:hint="eastAsia" w:eastAsiaTheme="minorEastAsia"/>
          <w:bCs/>
          <w:color w:val="000000" w:themeColor="text1"/>
          <w:szCs w:val="21"/>
          <w14:textFill>
            <w14:solidFill>
              <w14:schemeClr w14:val="tx1"/>
            </w14:solidFill>
          </w14:textFill>
        </w:rPr>
        <w:t>份额限制</w:t>
      </w:r>
      <w:r>
        <w:rPr>
          <w:rFonts w:eastAsiaTheme="minorEastAsia"/>
          <w:bCs/>
          <w:color w:val="000000" w:themeColor="text1"/>
          <w:szCs w:val="21"/>
          <w14:textFill>
            <w14:solidFill>
              <w14:schemeClr w14:val="tx1"/>
            </w14:solidFill>
          </w14:textFill>
        </w:rPr>
        <w:t>，具体规定请参见招募说明书或相关公告。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2、基金管理人可以规定投资人每个基金交易账户的最低基金份额余额，具体规定请参见招募说明书或相关公告。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3、基金管理人可以规定单个投资人累计持有的基金份额上限</w:t>
      </w:r>
      <w:r>
        <w:rPr>
          <w:bCs/>
          <w:color w:val="000000" w:themeColor="text1"/>
          <w:szCs w:val="21"/>
          <w14:textFill>
            <w14:solidFill>
              <w14:schemeClr w14:val="tx1"/>
            </w14:solidFill>
          </w14:textFill>
        </w:rPr>
        <w:t>或单日申购金额上限</w:t>
      </w:r>
      <w:r>
        <w:rPr>
          <w:rFonts w:eastAsiaTheme="minorEastAsia"/>
          <w:bCs/>
          <w:color w:val="000000" w:themeColor="text1"/>
          <w:szCs w:val="21"/>
          <w14:textFill>
            <w14:solidFill>
              <w14:schemeClr w14:val="tx1"/>
            </w14:solidFill>
          </w14:textFill>
        </w:rPr>
        <w:t>，具体规定请参见招募说明书或相关公告。</w:t>
      </w:r>
    </w:p>
    <w:p>
      <w:pPr>
        <w:spacing w:line="360" w:lineRule="auto"/>
        <w:ind w:firstLine="420" w:firstLineChars="200"/>
        <w:rPr>
          <w:rFonts w:eastAsiaTheme="minorEastAsia"/>
          <w:bCs/>
          <w:color w:val="000000" w:themeColor="text1"/>
          <w:szCs w:val="21"/>
          <w14:textFill>
            <w14:solidFill>
              <w14:schemeClr w14:val="tx1"/>
            </w14:solidFill>
          </w14:textFill>
        </w:rPr>
      </w:pPr>
      <w:r>
        <w:rPr>
          <w:bCs/>
          <w:color w:val="000000" w:themeColor="text1"/>
          <w:szCs w:val="21"/>
          <w14:textFill>
            <w14:solidFill>
              <w14:schemeClr w14:val="tx1"/>
            </w14:solidFill>
          </w14:textFill>
        </w:rPr>
        <w:t>4、基金管理人有权规定本基金的总规模限额或基金单日净申购比例上限，具体规定请参见招募说明书或相关公告。</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6、基金管理人可在法律法规允许的情况下，调整上述规定申购金额和赎回份额等数量限制。基金管理人必须在调整实施前依照《信息披露办法》的有关规定在规定媒介上公告。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六、申购和赎回的价格、费用及其用途</w:t>
      </w:r>
    </w:p>
    <w:p>
      <w:pPr>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本基金分为A类和C类两类基金份额，两类基金份额单独设置基金代码，分别计算和公告基金份额净值。本基金各类基金份额净值的计算，均保留到小数点后4位，小数点后第5位四舍五入，由此产生的收益或损失由基金财产承担。T日的各类基金份额净值在当天收市后计算，并</w:t>
      </w:r>
      <w:r>
        <w:rPr>
          <w:rFonts w:hint="eastAsia"/>
          <w:bCs/>
          <w:color w:val="000000" w:themeColor="text1"/>
          <w:szCs w:val="21"/>
          <w14:textFill>
            <w14:solidFill>
              <w14:schemeClr w14:val="tx1"/>
            </w14:solidFill>
          </w14:textFill>
        </w:rPr>
        <w:t>按照</w:t>
      </w:r>
      <w:r>
        <w:rPr>
          <w:bCs/>
          <w:color w:val="000000" w:themeColor="text1"/>
          <w:szCs w:val="21"/>
          <w14:textFill>
            <w14:solidFill>
              <w14:schemeClr w14:val="tx1"/>
            </w14:solidFill>
          </w14:textFill>
        </w:rPr>
        <w:t>基金合同的约定进行公告。遇特殊情况，经履行适当程序，可以适当延迟计算或公告。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2、申购份额的计算及余额的处理方式：本基金申购份额的计算详见《招募说明书》。本基金A类基金份额的申购费率由基金管理人决定，并在招募说明书</w:t>
      </w:r>
      <w:r>
        <w:rPr>
          <w:bCs/>
          <w:color w:val="000000" w:themeColor="text1"/>
          <w:szCs w:val="21"/>
          <w14:textFill>
            <w14:solidFill>
              <w14:schemeClr w14:val="tx1"/>
            </w14:solidFill>
          </w14:textFill>
        </w:rPr>
        <w:t>及基金产品资料概要</w:t>
      </w:r>
      <w:r>
        <w:rPr>
          <w:rFonts w:eastAsiaTheme="minorEastAsia"/>
          <w:bCs/>
          <w:color w:val="000000" w:themeColor="text1"/>
          <w:szCs w:val="21"/>
          <w14:textFill>
            <w14:solidFill>
              <w14:schemeClr w14:val="tx1"/>
            </w14:solidFill>
          </w14:textFill>
        </w:rPr>
        <w:t>中列示。申购的有效份额为净申购金额除以当日该类基金份额净值，有效份额单位为份，上述计算结果均按四舍五入方法，保留到小数点后2位，由此产生的收益或损失由基金财产承担。</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3、赎回金额的计算及处理方式：本基金赎回金额的计算详见《招募说明书》。本基金的赎回费率由基金管理人决定，并在招募说明书</w:t>
      </w:r>
      <w:r>
        <w:rPr>
          <w:bCs/>
          <w:color w:val="000000" w:themeColor="text1"/>
          <w:szCs w:val="21"/>
          <w14:textFill>
            <w14:solidFill>
              <w14:schemeClr w14:val="tx1"/>
            </w14:solidFill>
          </w14:textFill>
        </w:rPr>
        <w:t>及基金产品资料概要</w:t>
      </w:r>
      <w:r>
        <w:rPr>
          <w:rFonts w:eastAsiaTheme="minorEastAsia"/>
          <w:bCs/>
          <w:color w:val="000000" w:themeColor="text1"/>
          <w:szCs w:val="21"/>
          <w14:textFill>
            <w14:solidFill>
              <w14:schemeClr w14:val="tx1"/>
            </w14:solidFill>
          </w14:textFill>
        </w:rPr>
        <w:t>中列示。赎回金额为按实际确认的有效赎回份额乘以当日该类基金份额净值并扣除相应的费用，赎回金额单位为元。上述计算结果均按四舍五入方法，保留到小数点后2位，由此产生的收益或损失由基金财产承担。</w:t>
      </w:r>
    </w:p>
    <w:p>
      <w:pPr>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本基金A类基金份额的申购费用由投资人承担，不列入基金财产。申购费可在投资者申购基金份额和/或在投资者赎回基金份额时收取。在申购时收取的申购费称为前端申购费，在赎回时收取的申购费称为后端申购费。实际执行的收费方式在招募说明书中载明。C类基金份额不收取申购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5、赎回费用由赎回基金份额的基金份额持有人承担，在基金份额持有人赎回基金份额时收取</w:t>
      </w:r>
      <w:r>
        <w:rPr>
          <w:rFonts w:eastAsiaTheme="minorEastAsia"/>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赎回费用归入基金财产的比例依照相关法律法规设定，具体见招募说明书的规定。其中，对持续持有期少于7日的投资者收取不低于1.5%的赎回费，并全额计入基金财产。法律法规或监管机构另有规定的，从其规定。</w:t>
      </w:r>
    </w:p>
    <w:p>
      <w:pPr>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6、本基金的申购费率、申购份额具体的计算方法、赎回费率、赎回金额具体的计算方法和收费方式由基金管理人根据基金合同的规定确定，并在招募说明书中列示。基金管理人可以在基金合同约定的范围内且对基金份额持有人无实质性不利影响的情况下，调整费率或收费方式，并最迟应于新的费率或收费方式实施日前依</w:t>
      </w:r>
      <w:bookmarkStart w:id="121" w:name="_Hlk176010449"/>
      <w:r>
        <w:rPr>
          <w:bCs/>
          <w:color w:val="000000" w:themeColor="text1"/>
          <w:szCs w:val="21"/>
          <w14:textFill>
            <w14:solidFill>
              <w14:schemeClr w14:val="tx1"/>
            </w14:solidFill>
          </w14:textFill>
        </w:rPr>
        <w:t>照《信息披露办法》的有关规定在</w:t>
      </w:r>
      <w:bookmarkEnd w:id="121"/>
      <w:r>
        <w:rPr>
          <w:bCs/>
          <w:color w:val="000000" w:themeColor="text1"/>
          <w:szCs w:val="21"/>
          <w14:textFill>
            <w14:solidFill>
              <w14:schemeClr w14:val="tx1"/>
            </w14:solidFill>
          </w14:textFill>
        </w:rPr>
        <w:t>规定媒介上公告。</w:t>
      </w:r>
    </w:p>
    <w:p>
      <w:pPr>
        <w:spacing w:line="360" w:lineRule="auto"/>
        <w:ind w:firstLine="420" w:firstLineChars="200"/>
        <w:rPr>
          <w:rFonts w:eastAsiaTheme="minorEastAsia"/>
          <w:bCs/>
          <w:color w:val="000000" w:themeColor="text1"/>
          <w:szCs w:val="21"/>
          <w14:textFill>
            <w14:solidFill>
              <w14:schemeClr w14:val="tx1"/>
            </w14:solidFill>
          </w14:textFill>
        </w:rPr>
      </w:pPr>
      <w:r>
        <w:rPr>
          <w:bCs/>
          <w:color w:val="000000" w:themeColor="text1"/>
          <w:szCs w:val="21"/>
          <w14:textFill>
            <w14:solidFill>
              <w14:schemeClr w14:val="tx1"/>
            </w14:solidFill>
          </w14:textFill>
        </w:rPr>
        <w:t>7、基金管理人可以在不违反法律法规规定及基金合同约定且对基金份额持有人利益无实质不利影响的情形下根据市场情况制定基金促销计划，针对投资者定期或不定期地开展基金促销活动。在基金促销活动期间，按相关监管部门要求履行必要手续后，基金管理人可以适当调低基金申购费率和销售服务费率。</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8、当本基金发生大额申购或赎回情形时，基金管理人可以采用摆动定价机制，以确保基金估值的公平性。具体处理原则与操作规范遵循相关法律法规以及监管部门、自律规则的规定。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七、拒绝或暂停申购的情形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发生下列情况时，基金管理人可拒绝或暂停接受投资人的申购申请：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1、因不可抗力导致基金无法正常运作。</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2、发生基金合同规定的暂停基金资产估值情况时，基金管理人可暂停</w:t>
      </w:r>
      <w:r>
        <w:rPr>
          <w:rFonts w:eastAsiaTheme="minorEastAsia"/>
          <w:bCs/>
          <w:color w:val="000000" w:themeColor="text1"/>
          <w:szCs w:val="21"/>
          <w14:textFill>
            <w14:solidFill>
              <w14:schemeClr w14:val="tx1"/>
            </w14:solidFill>
          </w14:textFill>
        </w:rPr>
        <w:t>接受投资人的申购申请。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3、证券交易所交易时间非正常停市，导致基金管理人无法计算当日基金资产净值。</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122" w:name="_Hlt70481650"/>
      <w:bookmarkEnd w:id="122"/>
      <w:r>
        <w:rPr>
          <w:rFonts w:eastAsiaTheme="minorEastAsia"/>
          <w:bCs/>
          <w:color w:val="000000" w:themeColor="text1"/>
          <w:szCs w:val="21"/>
          <w14:textFill>
            <w14:solidFill>
              <w14:schemeClr w14:val="tx1"/>
            </w14:solidFill>
          </w14:textFill>
        </w:rPr>
        <w:t>4、接受某笔或某些申购申请可能会影响或损害现有基金份额持有人利益时。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5、基金资产规模过大，使基金管理人无法找到合适的投资品种，或其他可能对基金业绩产生负面影响，或发生其他损害现有基金份额持有人利益的情形。</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w:t>
      </w:r>
      <w:r>
        <w:rPr>
          <w:rFonts w:eastAsiaTheme="minorEastAsia"/>
          <w:color w:val="000000" w:themeColor="text1"/>
          <w:szCs w:val="21"/>
          <w14:textFill>
            <w14:solidFill>
              <w14:schemeClr w14:val="tx1"/>
            </w14:solidFill>
          </w14:textFill>
        </w:rPr>
        <w:t>当</w:t>
      </w:r>
      <w:r>
        <w:rPr>
          <w:rFonts w:hint="eastAsia" w:eastAsiaTheme="minorEastAsia"/>
          <w:color w:val="000000" w:themeColor="text1"/>
          <w:szCs w:val="21"/>
          <w14:textFill>
            <w14:solidFill>
              <w14:schemeClr w14:val="tx1"/>
            </w14:solidFill>
          </w14:textFill>
        </w:rPr>
        <w:t>特定资产占</w:t>
      </w:r>
      <w:r>
        <w:rPr>
          <w:rFonts w:eastAsiaTheme="minorEastAsia"/>
          <w:color w:val="000000" w:themeColor="text1"/>
          <w:szCs w:val="21"/>
          <w14:textFill>
            <w14:solidFill>
              <w14:schemeClr w14:val="tx1"/>
            </w14:solidFill>
          </w14:textFill>
        </w:rPr>
        <w:t>前一估值日基金资产净值50%以上的，经与基金托管人协商确认后，基金管理人应当暂停接受基金申购申请。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7、占相当比例的被投资基金暂停上市或二级市场交易停牌。</w:t>
      </w:r>
    </w:p>
    <w:p>
      <w:pPr>
        <w:spacing w:line="360" w:lineRule="auto"/>
        <w:ind w:firstLine="420" w:firstLineChars="200"/>
        <w:rPr>
          <w:rFonts w:hint="eastAsia" w:hAnsi="宋体"/>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8、</w:t>
      </w:r>
      <w:r>
        <w:rPr>
          <w:rFonts w:hint="eastAsia"/>
        </w:rPr>
        <w:t>占相当比例的被投资基金暂停公告收盘价、暂停估值</w:t>
      </w:r>
      <w:r>
        <w:rPr>
          <w:rFonts w:hint="eastAsia" w:hAnsi="宋体"/>
          <w:color w:val="000000" w:themeColor="text1"/>
          <w:szCs w:val="21"/>
          <w14:textFill>
            <w14:solidFill>
              <w14:schemeClr w14:val="tx1"/>
            </w14:solidFill>
          </w14:textFill>
        </w:rPr>
        <w:t>、暂停公告基金份额净值。</w:t>
      </w:r>
    </w:p>
    <w:p>
      <w:pPr>
        <w:spacing w:line="360" w:lineRule="auto"/>
        <w:ind w:firstLine="420" w:firstLineChars="200"/>
        <w:rPr>
          <w:rFonts w:eastAsiaTheme="minorEastAsia"/>
          <w:bCs/>
          <w:color w:val="000000" w:themeColor="text1"/>
          <w:szCs w:val="21"/>
          <w14:textFill>
            <w14:solidFill>
              <w14:schemeClr w14:val="tx1"/>
            </w14:solidFill>
          </w14:textFill>
        </w:rPr>
      </w:pPr>
      <w:r>
        <w:rPr>
          <w:bCs/>
          <w:color w:val="000000" w:themeColor="text1"/>
          <w:szCs w:val="21"/>
          <w14:textFill>
            <w14:solidFill>
              <w14:schemeClr w14:val="tx1"/>
            </w14:solidFill>
          </w14:textFill>
        </w:rPr>
        <w:t>9、</w:t>
      </w:r>
      <w:r>
        <w:rPr>
          <w:rFonts w:eastAsiaTheme="minorEastAsia"/>
          <w:bCs/>
          <w:color w:val="000000" w:themeColor="text1"/>
          <w:szCs w:val="21"/>
          <w14:textFill>
            <w14:solidFill>
              <w14:schemeClr w14:val="tx1"/>
            </w14:solidFill>
          </w14:textFill>
        </w:rPr>
        <w:t>基金管理人接受某笔或者某些申购申请有可能导致单一投资者持有基金份额的比例达到或者超过50%，或者变相规避50%集中度的情形。</w:t>
      </w:r>
    </w:p>
    <w:p>
      <w:pPr>
        <w:spacing w:line="360" w:lineRule="auto"/>
        <w:ind w:firstLine="420" w:firstLineChars="200"/>
        <w:rPr>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10</w:t>
      </w:r>
      <w:r>
        <w:rPr>
          <w:rFonts w:hint="eastAsia" w:eastAsiaTheme="minor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基金管理人、基金托管人、登记机构、销售机构等因异常情况无法办理申购业务。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11、</w:t>
      </w:r>
      <w:r>
        <w:rPr>
          <w:rFonts w:hint="eastAsia" w:eastAsiaTheme="minorEastAsia"/>
          <w:bCs/>
          <w:color w:val="000000" w:themeColor="text1"/>
          <w:szCs w:val="21"/>
          <w14:textFill>
            <w14:solidFill>
              <w14:schemeClr w14:val="tx1"/>
            </w14:solidFill>
          </w14:textFill>
        </w:rPr>
        <w:t>标的指数成份券流动性不足。</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12、法律法规规定或中国证监会认定的其他情形。</w:t>
      </w:r>
    </w:p>
    <w:p>
      <w:pPr>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发生上述第1、2、3、5、6、10、11</w:t>
      </w:r>
      <w:r>
        <w:rPr>
          <w:rFonts w:hint="eastAsia"/>
          <w:bCs/>
          <w:color w:val="000000" w:themeColor="text1"/>
          <w:szCs w:val="21"/>
          <w14:textFill>
            <w14:solidFill>
              <w14:schemeClr w14:val="tx1"/>
            </w14:solidFill>
          </w14:textFill>
        </w:rPr>
        <w:t>、1</w:t>
      </w:r>
      <w:r>
        <w:rPr>
          <w:bCs/>
          <w:color w:val="000000" w:themeColor="text1"/>
          <w:szCs w:val="21"/>
          <w14:textFill>
            <w14:solidFill>
              <w14:schemeClr w14:val="tx1"/>
            </w14:solidFill>
          </w14:textFill>
        </w:rPr>
        <w:t>2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具体时间以基金管理人届时公告为准。</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八、暂停赎回或延缓支付赎回款项的情形</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发生下列情形时，基金管理人可暂停接受投资人的赎回申请或延缓支付赎回款项：</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1、因不可抗力导致基金管理人不能支付赎回款项。</w:t>
      </w:r>
    </w:p>
    <w:p>
      <w:pPr>
        <w:spacing w:line="360" w:lineRule="auto"/>
        <w:ind w:firstLine="422" w:firstLineChars="20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2、发生基金合同规定的暂停基金资产估值情况时，基金管理人可暂停</w:t>
      </w:r>
      <w:r>
        <w:rPr>
          <w:rFonts w:eastAsiaTheme="minorEastAsia"/>
          <w:b/>
          <w:bCs/>
          <w:color w:val="000000" w:themeColor="text1"/>
          <w:szCs w:val="21"/>
          <w14:textFill>
            <w14:solidFill>
              <w14:schemeClr w14:val="tx1"/>
            </w14:solidFill>
          </w14:textFill>
        </w:rPr>
        <w:t>接受投资人的赎回申请或延缓支付赎回款项。</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3、证券交易所交易时间非正常停市，导致基金管理人无法计算当日基金资产</w:t>
      </w:r>
      <w:bookmarkStart w:id="123" w:name="_Hlt152500890"/>
      <w:r>
        <w:rPr>
          <w:rFonts w:eastAsiaTheme="minorEastAsia"/>
          <w:b/>
          <w:bCs/>
          <w:color w:val="000000" w:themeColor="text1"/>
          <w:szCs w:val="21"/>
          <w14:textFill>
            <w14:solidFill>
              <w14:schemeClr w14:val="tx1"/>
            </w14:solidFill>
          </w14:textFill>
        </w:rPr>
        <w:t>净值。</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4、连续两个或两个以上开放日发生巨额赎回。</w:t>
      </w:r>
    </w:p>
    <w:bookmarkEnd w:id="123"/>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5、发生继续接受赎回申请将损害现有基金份额持有人利益的情形时，基金管理人可暂停接受基金份额持有人的赎回申请。</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6、当</w:t>
      </w:r>
      <w:r>
        <w:rPr>
          <w:rFonts w:hint="eastAsia" w:eastAsiaTheme="minorEastAsia"/>
          <w:b/>
          <w:bCs/>
          <w:color w:val="000000" w:themeColor="text1"/>
          <w:szCs w:val="21"/>
          <w14:textFill>
            <w14:solidFill>
              <w14:schemeClr w14:val="tx1"/>
            </w14:solidFill>
          </w14:textFill>
        </w:rPr>
        <w:t>特定资产占</w:t>
      </w:r>
      <w:r>
        <w:rPr>
          <w:rFonts w:eastAsiaTheme="minorEastAsia"/>
          <w:b/>
          <w:bCs/>
          <w:color w:val="000000" w:themeColor="text1"/>
          <w:szCs w:val="21"/>
          <w14:textFill>
            <w14:solidFill>
              <w14:schemeClr w14:val="tx1"/>
            </w14:solidFill>
          </w14:textFill>
        </w:rPr>
        <w:t>前一估值日基金资产净值50%以上的，经与基金托管人协商确认后，基金管理人应当延缓支付赎回款项或暂停接受基金赎回申请。</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7、</w:t>
      </w:r>
      <w:r>
        <w:rPr>
          <w:rFonts w:hint="eastAsia" w:eastAsiaTheme="minorEastAsia"/>
          <w:b/>
          <w:bCs/>
          <w:color w:val="000000" w:themeColor="text1"/>
          <w:szCs w:val="21"/>
          <w14:textFill>
            <w14:solidFill>
              <w14:schemeClr w14:val="tx1"/>
            </w14:solidFill>
          </w14:textFill>
        </w:rPr>
        <w:t>标的指数成份券流动性不足。</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8</w:t>
      </w:r>
      <w:r>
        <w:rPr>
          <w:rFonts w:hint="eastAsia" w:eastAsiaTheme="minorEastAsia"/>
          <w:b/>
          <w:bCs/>
          <w:color w:val="000000" w:themeColor="text1"/>
          <w:szCs w:val="21"/>
          <w14:textFill>
            <w14:solidFill>
              <w14:schemeClr w14:val="tx1"/>
            </w14:solidFill>
          </w14:textFill>
        </w:rPr>
        <w:t>、占相当比例的被投资基金处于限售期、暂停公告收盘价、暂停估值、暂停公告基金份额净值。</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9</w:t>
      </w:r>
      <w:r>
        <w:rPr>
          <w:rFonts w:eastAsiaTheme="minorEastAsia"/>
          <w:b/>
          <w:bCs/>
          <w:color w:val="000000" w:themeColor="text1"/>
          <w:szCs w:val="21"/>
          <w14:textFill>
            <w14:solidFill>
              <w14:schemeClr w14:val="tx1"/>
            </w14:solidFill>
          </w14:textFill>
        </w:rPr>
        <w:t>、法律法规规定或中国证监会认定的其他情形。</w:t>
      </w:r>
    </w:p>
    <w:p>
      <w:pPr>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发生上述情形之一且基金管理人决定暂停赎回或延缓支付赎回款项时，基金管理人应</w:t>
      </w:r>
      <w:r>
        <w:rPr>
          <w:rFonts w:hint="eastAsia"/>
          <w:b/>
          <w:bCs/>
          <w:color w:val="000000" w:themeColor="text1"/>
          <w:szCs w:val="21"/>
          <w14:textFill>
            <w14:solidFill>
              <w14:schemeClr w14:val="tx1"/>
            </w14:solidFill>
          </w14:textFill>
        </w:rPr>
        <w:t>按规定</w:t>
      </w:r>
      <w:r>
        <w:rPr>
          <w:b/>
          <w:bCs/>
          <w:color w:val="000000" w:themeColor="text1"/>
          <w:szCs w:val="21"/>
          <w14:textFill>
            <w14:solidFill>
              <w14:schemeClr w14:val="tx1"/>
            </w14:solidFill>
          </w14:textFill>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且具体时间以基金管理人届时公告为准。</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九、巨额赎回的情形及处理方式</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1、巨额赎回的认定</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2、巨额赎回的处理方式</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当基金出现巨额赎回时，基金管理人可以根据基金当时的资产组合状况决定全额赎回</w:t>
      </w:r>
      <w:r>
        <w:rPr>
          <w:rFonts w:hint="eastAsia" w:eastAsiaTheme="minorEastAsia"/>
          <w:b/>
          <w:bCs/>
          <w:color w:val="000000" w:themeColor="text1"/>
          <w:szCs w:val="21"/>
          <w14:textFill>
            <w14:solidFill>
              <w14:schemeClr w14:val="tx1"/>
            </w14:solidFill>
          </w14:textFill>
        </w:rPr>
        <w:t>、</w:t>
      </w:r>
      <w:r>
        <w:rPr>
          <w:rFonts w:eastAsiaTheme="minorEastAsia"/>
          <w:b/>
          <w:bCs/>
          <w:color w:val="000000" w:themeColor="text1"/>
          <w:szCs w:val="21"/>
          <w14:textFill>
            <w14:solidFill>
              <w14:schemeClr w14:val="tx1"/>
            </w14:solidFill>
          </w14:textFill>
        </w:rPr>
        <w:t>部分延期赎回</w:t>
      </w:r>
      <w:r>
        <w:rPr>
          <w:rFonts w:hint="eastAsia" w:eastAsiaTheme="minorEastAsia"/>
          <w:b/>
          <w:bCs/>
          <w:color w:val="000000" w:themeColor="text1"/>
          <w:szCs w:val="21"/>
          <w14:textFill>
            <w14:solidFill>
              <w14:schemeClr w14:val="tx1"/>
            </w14:solidFill>
          </w14:textFill>
        </w:rPr>
        <w:t>或暂停赎回</w:t>
      </w:r>
      <w:r>
        <w:rPr>
          <w:rFonts w:eastAsiaTheme="minorEastAsia"/>
          <w:b/>
          <w:bCs/>
          <w:color w:val="000000" w:themeColor="text1"/>
          <w:szCs w:val="21"/>
          <w14:textFill>
            <w14:solidFill>
              <w14:schemeClr w14:val="tx1"/>
            </w14:solidFill>
          </w14:textFill>
        </w:rPr>
        <w:t>。</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（1）全额赎回：当基金管理人认为有能力支付投资人的全部赎回申请时，按正常赎回程序执行。</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4）在基金发生巨额赎回且存在单个基金份额持有人超过前一开放日基金总份额20%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①</w:t>
      </w:r>
      <w:r>
        <w:rPr>
          <w:rFonts w:eastAsiaTheme="minorEastAsia"/>
          <w:b/>
          <w:bCs/>
          <w:color w:val="000000" w:themeColor="text1"/>
          <w:szCs w:val="21"/>
          <w14:textFill>
            <w14:solidFill>
              <w14:schemeClr w14:val="tx1"/>
            </w14:solidFill>
          </w14:textFill>
        </w:rPr>
        <w:t>如果基金管理人认为有能力支付其他投资人的全部赎回申请，为了保护其他赎回投资人的利益，对于其他投资人的赎回申请按正常程序进行。对于单个投资人超过前一开放日基金总份额20%以上的大额赎回申请，基金管理人在剩余支付能力范围内对其按比例确认当日受理的赎回份额，未确认的赎回部分作自动延期处理。延期的赎回申请与下一开放日赎回申请一并处理，无优先权并以下一开放日的该类基金份额净值为基础计算赎回金额，以此类推，直到全部赎回为止。如投资人在提交赎回申请时选择取消赎回的，则当日未获受理的部分赎回申请将被撤销。</w:t>
      </w:r>
    </w:p>
    <w:p>
      <w:pPr>
        <w:spacing w:line="360" w:lineRule="auto"/>
        <w:ind w:firstLine="422" w:firstLineChars="200"/>
        <w:rPr>
          <w:rFonts w:eastAsiaTheme="minorEastAsia"/>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②</w:t>
      </w:r>
      <w:r>
        <w:rPr>
          <w:rFonts w:eastAsiaTheme="minorEastAsia"/>
          <w:b/>
          <w:bCs/>
          <w:color w:val="000000" w:themeColor="text1"/>
          <w:szCs w:val="21"/>
          <w14:textFill>
            <w14:solidFill>
              <w14:schemeClr w14:val="tx1"/>
            </w14:solidFill>
          </w14:textFill>
        </w:rPr>
        <w:t>如果基金管理人认为仅支付其他投资人的赎回申请也有困难时，则所有投资人的赎回申请（包括单个投资人超过基金总份额20%以上的大额赎回申请和其他投资人的赎回申请）都按照上述“（2）部分延期赎回”的约定一并办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3、巨额赎回的公告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当发生上述巨额赎回并延期办理时，基金管理人应当通过邮寄、传真或者招募说明书规定的其他方式在3个交易日内通知基金份额持有人，说明有关处理方法，并在2日内在规定媒介上刊登公告。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十、暂停申购或赎回的公告和重新开放申购或赎回的公告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1、发生上述暂停申购或赎回情况的，基金管理人应在规定期限内在规定媒介上刊登暂停公告。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2、上述暂停申购或赎回情况消除的，基金管理人应于重新开放日公布最近1个开放日的各类基金份额净值。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w:t>
      </w:r>
      <w:r>
        <w:rPr>
          <w:rFonts w:eastAsiaTheme="minorEastAsia"/>
          <w:color w:val="000000" w:themeColor="text1"/>
          <w:szCs w:val="21"/>
          <w14:textFill>
            <w14:solidFill>
              <w14:schemeClr w14:val="tx1"/>
            </w14:solidFill>
          </w14:textFill>
        </w:rPr>
        <w:t>基金管理</w:t>
      </w:r>
      <w:r>
        <w:rPr>
          <w:rFonts w:eastAsiaTheme="minorEastAsia"/>
          <w:bCs/>
          <w:color w:val="000000" w:themeColor="text1"/>
          <w:szCs w:val="21"/>
          <w14:textFill>
            <w14:solidFill>
              <w14:schemeClr w14:val="tx1"/>
            </w14:solidFill>
          </w14:textFill>
        </w:rPr>
        <w:t>人</w:t>
      </w:r>
      <w:r>
        <w:rPr>
          <w:rFonts w:eastAsiaTheme="minorEastAsia"/>
          <w:color w:val="000000" w:themeColor="text1"/>
          <w:szCs w:val="21"/>
          <w14:textFill>
            <w14:solidFill>
              <w14:schemeClr w14:val="tx1"/>
            </w14:solidFill>
          </w14:textFill>
        </w:rPr>
        <w:t>可以根据</w:t>
      </w:r>
      <w:r>
        <w:rPr>
          <w:rFonts w:eastAsiaTheme="minorEastAsia"/>
          <w:bCs/>
          <w:color w:val="000000" w:themeColor="text1"/>
          <w:szCs w:val="21"/>
          <w14:textFill>
            <w14:solidFill>
              <w14:schemeClr w14:val="tx1"/>
            </w14:solidFill>
          </w14:textFill>
        </w:rPr>
        <w:t>暂停申购或赎回的时间，最迟于重新开放日在规定媒介上刊登重新开放申购或赎回的</w:t>
      </w:r>
      <w:r>
        <w:rPr>
          <w:rFonts w:eastAsiaTheme="minorEastAsia"/>
          <w:color w:val="000000" w:themeColor="text1"/>
          <w:szCs w:val="21"/>
          <w14:textFill>
            <w14:solidFill>
              <w14:schemeClr w14:val="tx1"/>
            </w14:solidFill>
          </w14:textFill>
        </w:rPr>
        <w:t>公告</w:t>
      </w:r>
      <w:r>
        <w:rPr>
          <w:rFonts w:eastAsiaTheme="minorEastAsia"/>
          <w:bCs/>
          <w:color w:val="000000" w:themeColor="text1"/>
          <w:szCs w:val="21"/>
          <w14:textFill>
            <w14:solidFill>
              <w14:schemeClr w14:val="tx1"/>
            </w14:solidFill>
          </w14:textFill>
        </w:rPr>
        <w:t>；也可以</w:t>
      </w:r>
      <w:r>
        <w:rPr>
          <w:rFonts w:eastAsiaTheme="minorEastAsia"/>
          <w:color w:val="000000" w:themeColor="text1"/>
          <w:szCs w:val="21"/>
          <w14:textFill>
            <w14:solidFill>
              <w14:schemeClr w14:val="tx1"/>
            </w14:solidFill>
          </w14:textFill>
        </w:rPr>
        <w:t>根据</w:t>
      </w:r>
      <w:r>
        <w:rPr>
          <w:rFonts w:eastAsiaTheme="minorEastAsia"/>
          <w:bCs/>
          <w:color w:val="000000" w:themeColor="text1"/>
          <w:szCs w:val="21"/>
          <w14:textFill>
            <w14:solidFill>
              <w14:schemeClr w14:val="tx1"/>
            </w14:solidFill>
          </w14:textFill>
        </w:rPr>
        <w:t>实际情况在暂停公告中明确重新开放申购或赎回的时间，届时不再另行发布重新开放的公告</w:t>
      </w:r>
      <w:r>
        <w:rPr>
          <w:rFonts w:eastAsiaTheme="minorEastAsia"/>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十一、基金转换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十二、基金的非交易过户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基金的非交易过户是指基金登记机构受理继承、捐赠和司法强制执行等情形而产生的非交易过户以及登记机构认可、符合法律法规的其</w:t>
      </w:r>
      <w:r>
        <w:rPr>
          <w:rFonts w:hint="eastAsia" w:eastAsiaTheme="minorEastAsia"/>
          <w:bCs/>
          <w:color w:val="000000" w:themeColor="text1"/>
          <w:szCs w:val="21"/>
          <w14:textFill>
            <w14:solidFill>
              <w14:schemeClr w14:val="tx1"/>
            </w14:solidFill>
          </w14:textFill>
        </w:rPr>
        <w:t>它</w:t>
      </w:r>
      <w:r>
        <w:rPr>
          <w:rFonts w:eastAsiaTheme="minorEastAsia"/>
          <w:bCs/>
          <w:color w:val="000000" w:themeColor="text1"/>
          <w:szCs w:val="21"/>
          <w14:textFill>
            <w14:solidFill>
              <w14:schemeClr w14:val="tx1"/>
            </w14:solidFill>
          </w14:textFill>
        </w:rPr>
        <w:t>非交易过户。无论在上述何种情况下，接受划转的主体必须是依法可以持有本基金基金份额的投资人。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w:t>
      </w:r>
      <w:r>
        <w:rPr>
          <w:color w:val="000000" w:themeColor="text1"/>
          <w:szCs w:val="21"/>
          <w14:textFill>
            <w14:solidFill>
              <w14:schemeClr w14:val="tx1"/>
            </w14:solidFill>
          </w14:textFill>
        </w:rPr>
        <w:t>（包括司法强制赎回）</w:t>
      </w:r>
      <w:r>
        <w:rPr>
          <w:rFonts w:eastAsiaTheme="minorEastAsia"/>
          <w:color w:val="000000" w:themeColor="text1"/>
          <w:szCs w:val="21"/>
          <w14:textFill>
            <w14:solidFill>
              <w14:schemeClr w14:val="tx1"/>
            </w14:solidFill>
          </w14:textFill>
        </w:rPr>
        <w:t>。办理非交易过户必须提供基金登记机构要求提供的相关资料，对于符合条件的非交易过户申请按基金登记机构的规定办理，并按基金登记机构规定的标准收费。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十三、基金的转托管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基金份额持有人可办理已持有基金份额在不同销售机构之间的转托管，基金销售机构可以按照规定的标准收取转托管费。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十四、定期定额投资计划</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十五、基金份额的冻结、解冻和扣划</w:t>
      </w:r>
    </w:p>
    <w:p>
      <w:pPr>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基金登记机构只受理国家有权机关依法要求的基金份额的冻结、解冻和扣划，以及登记机构认可、符合法律法规的其他情况下的冻结、解冻和扣划。基金份额被冻结的，被冻结部分产生的权益根据有权机关要求及登记机构业务规则决定是否一并冻结，法律法规或监管机构另有规定的除外。</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十六、基金份额的转让</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在条件允许的情况下，基金管理人可以根据相关业务规则受理基金份额持有人通过中国证监会认可的交易场所或者交易方式进行份额转让的申请。具体规则由基金管理人提前发布公告。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 xml:space="preserve">十七、其他业务 </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在不违反相关法律法规且对基金份额持有人的权益无实质性不利影响的前提下，基金管理人可办理份额的质押或其他基金业务，基金管理人可制定相应的业务规则，届时无需召开基金份额持有人大会审议但须提前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十</w:t>
      </w:r>
      <w:r>
        <w:rPr>
          <w:rFonts w:hint="eastAsia" w:eastAsiaTheme="minorEastAsia"/>
          <w:bCs/>
          <w:color w:val="000000" w:themeColor="text1"/>
          <w:szCs w:val="21"/>
          <w14:textFill>
            <w14:solidFill>
              <w14:schemeClr w14:val="tx1"/>
            </w14:solidFill>
          </w14:textFill>
        </w:rPr>
        <w:t>八</w:t>
      </w: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实施侧袋机制期间本基金的申购与赎回</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本基金实施侧袋机制的，本基金的申购和赎回安排详见招募说明书或相关公告。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十九、</w:t>
      </w:r>
      <w:r>
        <w:rPr>
          <w:rFonts w:eastAsiaTheme="minorEastAsia"/>
          <w:bCs/>
          <w:color w:val="000000" w:themeColor="text1"/>
          <w:szCs w:val="21"/>
          <w14:textFill>
            <w14:solidFill>
              <w14:schemeClr w14:val="tx1"/>
            </w14:solidFill>
          </w14:textFill>
        </w:rPr>
        <w:t>基金管理人可在法律法规允许的范围内，在不影响基金份额持有人实质利益的前提下，根据市场情况对上述申购和赎回的安排进行补充和调整</w:t>
      </w:r>
      <w:r>
        <w:rPr>
          <w:rFonts w:hint="eastAsia" w:asciiTheme="minorEastAsia" w:hAnsiTheme="minorEastAsia" w:eastAsiaTheme="minorEastAsia"/>
        </w:rPr>
        <w:t>，或安排本基金的一类或多类基金份额在证券交易所上市交易、申购和赎回，届时无需召开基金份额持有人大会审议但须提前公告</w:t>
      </w:r>
      <w:r>
        <w:rPr>
          <w:rFonts w:asciiTheme="minorEastAsia" w:hAnsiTheme="minorEastAsia" w:eastAsiaTheme="minorEastAsia"/>
        </w:rPr>
        <w:t>。</w:t>
      </w: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124" w:name="_Toc70507725"/>
      <w:bookmarkStart w:id="125" w:name="_Toc16859"/>
      <w:bookmarkStart w:id="126" w:name="_Toc141703887"/>
      <w:bookmarkStart w:id="127" w:name="_Toc15143"/>
      <w:bookmarkStart w:id="128" w:name="_Toc98560353"/>
      <w:bookmarkStart w:id="129" w:name="_Toc123112235"/>
      <w:bookmarkStart w:id="130" w:name="_Toc139991737"/>
      <w:bookmarkStart w:id="131" w:name="_Toc31235"/>
      <w:bookmarkStart w:id="132" w:name="_Toc29251"/>
      <w:bookmarkStart w:id="133" w:name="_Toc3601"/>
      <w:bookmarkStart w:id="134" w:name="_Toc31653"/>
      <w:bookmarkStart w:id="135" w:name="_Toc6405"/>
      <w:bookmarkStart w:id="136" w:name="_Toc12245"/>
      <w:bookmarkStart w:id="137" w:name="_Toc123051453"/>
      <w:bookmarkStart w:id="138" w:name="_Toc14835"/>
      <w:bookmarkStart w:id="139" w:name="_Toc26207"/>
      <w:bookmarkStart w:id="140" w:name="_Toc31644"/>
      <w:bookmarkStart w:id="141" w:name="_Toc123102454"/>
      <w:r>
        <w:rPr>
          <w:rFonts w:eastAsiaTheme="minorEastAsia"/>
          <w:b/>
          <w:color w:val="000000" w:themeColor="text1"/>
          <w:szCs w:val="21"/>
          <w14:textFill>
            <w14:solidFill>
              <w14:schemeClr w14:val="tx1"/>
            </w14:solidFill>
          </w14:textFill>
        </w:rPr>
        <w:t>第七部分  基金合同当事人及权利义务</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Start w:id="142" w:name="_Hlt55355235"/>
      <w:bookmarkEnd w:id="142"/>
      <w:bookmarkStart w:id="143" w:name="_Toc523711668"/>
      <w:bookmarkStart w:id="144" w:name="_Toc79392580"/>
      <w:bookmarkStart w:id="145" w:name="_Toc15118234"/>
      <w:bookmarkStart w:id="146" w:name="_Toc57530239"/>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bookmarkStart w:id="147" w:name="_Hlk178015767"/>
      <w:r>
        <w:rPr>
          <w:rFonts w:eastAsiaTheme="minorEastAsia"/>
          <w:bCs/>
          <w:color w:val="000000" w:themeColor="text1"/>
          <w:szCs w:val="21"/>
          <w14:textFill>
            <w14:solidFill>
              <w14:schemeClr w14:val="tx1"/>
            </w14:solidFill>
          </w14:textFill>
        </w:rPr>
        <w:t>一、基金</w:t>
      </w:r>
      <w:bookmarkEnd w:id="143"/>
      <w:r>
        <w:rPr>
          <w:rFonts w:eastAsiaTheme="minorEastAsia"/>
          <w:bCs/>
          <w:color w:val="000000" w:themeColor="text1"/>
          <w:szCs w:val="21"/>
          <w14:textFill>
            <w14:solidFill>
              <w14:schemeClr w14:val="tx1"/>
            </w14:solidFill>
          </w14:textFill>
        </w:rPr>
        <w:t>管理人</w:t>
      </w:r>
      <w:bookmarkEnd w:id="144"/>
      <w:bookmarkEnd w:id="145"/>
      <w:bookmarkEnd w:id="146"/>
    </w:p>
    <w:p>
      <w:pPr>
        <w:spacing w:line="360" w:lineRule="auto"/>
        <w:ind w:firstLine="420" w:firstLineChars="200"/>
        <w:rPr>
          <w:rFonts w:eastAsiaTheme="minorEastAsia"/>
          <w:bCs/>
          <w:color w:val="000000" w:themeColor="text1"/>
          <w:szCs w:val="21"/>
          <w14:textFill>
            <w14:solidFill>
              <w14:schemeClr w14:val="tx1"/>
            </w14:solidFill>
          </w14:textFill>
        </w:rPr>
      </w:pPr>
      <w:bookmarkStart w:id="148" w:name="_Toc15118235"/>
      <w:r>
        <w:rPr>
          <w:rFonts w:eastAsiaTheme="minorEastAsia"/>
          <w:bCs/>
          <w:color w:val="000000" w:themeColor="text1"/>
          <w:szCs w:val="21"/>
          <w14:textFill>
            <w14:solidFill>
              <w14:schemeClr w14:val="tx1"/>
            </w14:solidFill>
          </w14:textFill>
        </w:rPr>
        <w:t>（一）基金管理人简况</w:t>
      </w:r>
      <w:bookmarkEnd w:id="148"/>
    </w:p>
    <w:p>
      <w:pPr>
        <w:spacing w:line="360" w:lineRule="auto"/>
        <w:ind w:firstLine="420" w:firstLineChars="200"/>
        <w:rPr>
          <w:rFonts w:eastAsiaTheme="minorEastAsia"/>
          <w:bCs/>
          <w:color w:val="000000" w:themeColor="text1"/>
          <w:szCs w:val="21"/>
          <w14:textFill>
            <w14:solidFill>
              <w14:schemeClr w14:val="tx1"/>
            </w14:solidFill>
          </w14:textFill>
        </w:rPr>
      </w:pPr>
      <w:bookmarkStart w:id="149" w:name="_Toc15118236"/>
      <w:bookmarkStart w:id="150" w:name="_Toc15118237"/>
      <w:r>
        <w:rPr>
          <w:rFonts w:eastAsiaTheme="minorEastAsia"/>
          <w:bCs/>
          <w:color w:val="000000" w:themeColor="text1"/>
          <w:szCs w:val="21"/>
          <w14:textFill>
            <w14:solidFill>
              <w14:schemeClr w14:val="tx1"/>
            </w14:solidFill>
          </w14:textFill>
        </w:rPr>
        <w:t>名称：</w:t>
      </w:r>
      <w:bookmarkEnd w:id="149"/>
      <w:r>
        <w:rPr>
          <w:rFonts w:eastAsiaTheme="minorEastAsia"/>
          <w:bCs/>
          <w:color w:val="000000" w:themeColor="text1"/>
          <w:szCs w:val="21"/>
          <w14:textFill>
            <w14:solidFill>
              <w14:schemeClr w14:val="tx1"/>
            </w14:solidFill>
          </w14:textFill>
        </w:rPr>
        <w:t>华夏基金管理有限公司</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住所：</w:t>
      </w:r>
      <w:r>
        <w:rPr>
          <w:rFonts w:hint="eastAsia" w:eastAsiaTheme="minorEastAsia"/>
          <w:bCs/>
          <w:color w:val="000000" w:themeColor="text1"/>
          <w:szCs w:val="21"/>
          <w14:textFill>
            <w14:solidFill>
              <w14:schemeClr w14:val="tx1"/>
            </w14:solidFill>
          </w14:textFill>
        </w:rPr>
        <w:t>北京市顺义区安庆大街甲3号院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法定代表人：</w:t>
      </w:r>
      <w:r>
        <w:rPr>
          <w:rFonts w:hint="eastAsia" w:eastAsiaTheme="minorEastAsia"/>
          <w:bCs/>
          <w:color w:val="000000" w:themeColor="text1"/>
          <w:szCs w:val="21"/>
          <w14:textFill>
            <w14:solidFill>
              <w14:schemeClr w14:val="tx1"/>
            </w14:solidFill>
          </w14:textFill>
        </w:rPr>
        <w:t>邹迎光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设立日期：1998年4月9日</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批准设立机关及批准设立文号：中国证监会证监基字[1998]16号文</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组织形式：有限责任公司</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注册资本：2.38亿元人民币</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存续期限：100年</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联系电话：400-818-6666</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（二）基金管理人的权利与义务</w:t>
      </w:r>
      <w:bookmarkEnd w:id="150"/>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1、根据《基金法》、《运作办法》及其他有关规定，基金管理人的权利包括但不限于：</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（1）依法募集资金；</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（2）自《基金合同》生效之日起，根据法律法规和《基金合同》独立运用并管理基金财产；</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（3）依照《基金合同》收取基金管理费以及法律法规规定或中国证监会批准的其他费用；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（4）销售基金份额；</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w:t>
      </w:r>
      <w:bookmarkStart w:id="151" w:name="_Hlt88896155"/>
      <w:r>
        <w:rPr>
          <w:rFonts w:eastAsiaTheme="minorEastAsia"/>
          <w:bCs/>
          <w:color w:val="000000" w:themeColor="text1"/>
          <w:szCs w:val="21"/>
          <w14:textFill>
            <w14:solidFill>
              <w14:schemeClr w14:val="tx1"/>
            </w14:solidFill>
          </w14:textFill>
        </w:rPr>
        <w:t>按照规定召集</w:t>
      </w:r>
      <w:bookmarkEnd w:id="151"/>
      <w:r>
        <w:rPr>
          <w:rFonts w:eastAsiaTheme="minorEastAsia"/>
          <w:bCs/>
          <w:color w:val="000000" w:themeColor="text1"/>
          <w:szCs w:val="21"/>
          <w14:textFill>
            <w14:solidFill>
              <w14:schemeClr w14:val="tx1"/>
            </w14:solidFill>
          </w14:textFill>
        </w:rPr>
        <w:t>基金份额持有人大会；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（7）在基金托管人更换时，提名新的基金托管人；</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 xml:space="preserve">（8）选择、更换基金销售机构，对基金销售机构的相关行为进行监督和处理； </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 xml:space="preserve">（9）担任或委托其他符合条件的机构担任基金登记机构办理基金登记业务并获得《基金合同》规定的费用； </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（10）依据《基金合同》及有关法律规定决定基金收益的分配方案；</w:t>
      </w:r>
      <w:r>
        <w:rPr>
          <w:rFonts w:eastAsiaTheme="minorEastAsia"/>
          <w:bCs/>
          <w:color w:val="000000" w:themeColor="text1"/>
          <w:szCs w:val="21"/>
          <w14:textFill>
            <w14:solidFill>
              <w14:schemeClr w14:val="tx1"/>
            </w14:solidFill>
          </w14:textFill>
        </w:rPr>
        <w:tab/>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 xml:space="preserve">（11）在《基金合同》约定的范围内，拒绝或暂停受理申购与赎回申请； </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（12）依照法律法规为基金的利益对被投资公司行使股东权利，为基金的利益行使因基金财产投资于证券、基金所产生的权利；</w:t>
      </w:r>
      <w:r>
        <w:rPr>
          <w:rFonts w:hint="eastAsia" w:eastAsiaTheme="minorEastAsia"/>
          <w:bCs/>
          <w:color w:val="000000" w:themeColor="text1"/>
          <w:szCs w:val="21"/>
          <w14:textFill>
            <w14:solidFill>
              <w14:schemeClr w14:val="tx1"/>
            </w14:solidFill>
          </w14:textFill>
        </w:rPr>
        <w:t>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表决意见在定期报告中予以披露，法律法规另有规定的除外；</w:t>
      </w:r>
      <w:r>
        <w:rPr>
          <w:rFonts w:eastAsiaTheme="minorEastAsia"/>
          <w:bCs/>
          <w:color w:val="000000" w:themeColor="text1"/>
          <w:szCs w:val="21"/>
          <w14:textFill>
            <w14:solidFill>
              <w14:schemeClr w14:val="tx1"/>
            </w14:solidFill>
          </w14:textFill>
        </w:rPr>
        <w:tab/>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（13）在法律法规允许的前提下，为基金的利益依法为基金进行融资</w:t>
      </w:r>
      <w:bookmarkStart w:id="152" w:name="_Hlk17711800"/>
      <w:r>
        <w:rPr>
          <w:rFonts w:eastAsiaTheme="minorEastAsia"/>
          <w:bCs/>
          <w:color w:val="000000" w:themeColor="text1"/>
          <w:szCs w:val="21"/>
          <w14:textFill>
            <w14:solidFill>
              <w14:schemeClr w14:val="tx1"/>
            </w14:solidFill>
          </w14:textFill>
        </w:rPr>
        <w:t>、转融通证券出借业务</w:t>
      </w:r>
      <w:bookmarkEnd w:id="152"/>
      <w:r>
        <w:rPr>
          <w:rFonts w:eastAsiaTheme="minorEastAsia"/>
          <w:bCs/>
          <w:color w:val="000000" w:themeColor="text1"/>
          <w:szCs w:val="21"/>
          <w14:textFill>
            <w14:solidFill>
              <w14:schemeClr w14:val="tx1"/>
            </w14:solidFill>
          </w14:textFill>
        </w:rPr>
        <w:t xml:space="preserve">； </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（14）以基金管理人的名义，代表基金份额持有人的利益行使诉讼权利或者实施其他法律行为；</w:t>
      </w:r>
      <w:r>
        <w:rPr>
          <w:rFonts w:eastAsiaTheme="minorEastAsia"/>
          <w:bCs/>
          <w:color w:val="000000" w:themeColor="text1"/>
          <w:szCs w:val="21"/>
          <w14:textFill>
            <w14:solidFill>
              <w14:schemeClr w14:val="tx1"/>
            </w14:solidFill>
          </w14:textFill>
        </w:rPr>
        <w:tab/>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（15）选择、更换律师事务所、会计师事务所、</w:t>
      </w:r>
      <w:r>
        <w:rPr>
          <w:rFonts w:hint="eastAsia" w:eastAsiaTheme="minorEastAsia"/>
          <w:bCs/>
          <w:color w:val="000000" w:themeColor="text1"/>
          <w:szCs w:val="21"/>
          <w14:textFill>
            <w14:solidFill>
              <w14:schemeClr w14:val="tx1"/>
            </w14:solidFill>
          </w14:textFill>
        </w:rPr>
        <w:t>证券</w:t>
      </w:r>
      <w:r>
        <w:rPr>
          <w:rFonts w:eastAsiaTheme="minorEastAsia"/>
          <w:bCs/>
          <w:color w:val="000000" w:themeColor="text1"/>
          <w:szCs w:val="21"/>
          <w14:textFill>
            <w14:solidFill>
              <w14:schemeClr w14:val="tx1"/>
            </w14:solidFill>
          </w14:textFill>
        </w:rPr>
        <w:t>经营机构或其他为基金提供服务的外部机构；</w:t>
      </w:r>
      <w:r>
        <w:rPr>
          <w:rFonts w:eastAsiaTheme="minorEastAsia"/>
          <w:bCs/>
          <w:color w:val="000000" w:themeColor="text1"/>
          <w:szCs w:val="21"/>
          <w14:textFill>
            <w14:solidFill>
              <w14:schemeClr w14:val="tx1"/>
            </w14:solidFill>
          </w14:textFill>
        </w:rPr>
        <w:tab/>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（16）在符合有关法律、法规的前提下，制订和调整有关基金认购、申购、赎回、转换</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非交易过户</w:t>
      </w:r>
      <w:r>
        <w:rPr>
          <w:bCs/>
          <w:color w:val="000000" w:themeColor="text1"/>
          <w:szCs w:val="21"/>
          <w14:textFill>
            <w14:solidFill>
              <w14:schemeClr w14:val="tx1"/>
            </w14:solidFill>
          </w14:textFill>
        </w:rPr>
        <w:t>、收益分配、转托管及定期定额投资</w:t>
      </w:r>
      <w:r>
        <w:rPr>
          <w:rFonts w:eastAsiaTheme="minorEastAsia"/>
          <w:bCs/>
          <w:color w:val="000000" w:themeColor="text1"/>
          <w:szCs w:val="21"/>
          <w14:textFill>
            <w14:solidFill>
              <w14:schemeClr w14:val="tx1"/>
            </w14:solidFill>
          </w14:textFill>
        </w:rPr>
        <w:t>等</w:t>
      </w:r>
      <w:r>
        <w:rPr>
          <w:rFonts w:hint="eastAsia" w:eastAsiaTheme="minorEastAsia"/>
          <w:bCs/>
          <w:color w:val="000000" w:themeColor="text1"/>
          <w:szCs w:val="21"/>
          <w14:textFill>
            <w14:solidFill>
              <w14:schemeClr w14:val="tx1"/>
            </w14:solidFill>
          </w14:textFill>
        </w:rPr>
        <w:t>的</w:t>
      </w:r>
      <w:r>
        <w:rPr>
          <w:rFonts w:eastAsiaTheme="minorEastAsia"/>
          <w:bCs/>
          <w:color w:val="000000" w:themeColor="text1"/>
          <w:szCs w:val="21"/>
          <w14:textFill>
            <w14:solidFill>
              <w14:schemeClr w14:val="tx1"/>
            </w14:solidFill>
          </w14:textFill>
        </w:rPr>
        <w:t>业务规则；</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（17）基金管理人有权根据反洗钱法律法规的相关规定，结合基金份额持有人洗钱风险状况，采取相应合理的控制措施；</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18</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法律法规及中国证监会规定的和《基金合同》约定的其他权利。</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2、根据《基金法》、《运作办法》及其他有关规定，基金管理人的义务包括但不限于：</w:t>
      </w:r>
    </w:p>
    <w:p>
      <w:pPr>
        <w:spacing w:line="440" w:lineRule="atLeast"/>
        <w:ind w:firstLine="420" w:firstLineChars="200"/>
        <w:rPr>
          <w:rFonts w:eastAsiaTheme="minorEastAsia"/>
          <w:bCs/>
          <w:color w:val="000000" w:themeColor="text1"/>
          <w:szCs w:val="21"/>
          <w14:textFill>
            <w14:solidFill>
              <w14:schemeClr w14:val="tx1"/>
            </w14:solidFill>
          </w14:textFill>
        </w:rPr>
      </w:pPr>
      <w:bookmarkStart w:id="153" w:name="_Toc523711669"/>
      <w:r>
        <w:rPr>
          <w:rFonts w:eastAsiaTheme="minorEastAsia"/>
          <w:bCs/>
          <w:color w:val="000000" w:themeColor="text1"/>
          <w:szCs w:val="21"/>
          <w14:textFill>
            <w14:solidFill>
              <w14:schemeClr w14:val="tx1"/>
            </w14:solidFill>
          </w14:textFill>
        </w:rPr>
        <w:t>（1）依法募集资金，办理或者委托经中国证监会认定的其他机构代为办理基金份额的发售、申购、赎回和登记事宜；</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（2）办理基金备案手续；</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（3）自《基金合同》生效之日起，以诚实信用、谨慎勤勉的原则管理和运用基金财产；</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（4）配备足够的具有专业资格的人员进行基金投资分析、决策，以专业化的经营方式管理和运作基金财产；</w:t>
      </w:r>
    </w:p>
    <w:p>
      <w:pPr>
        <w:spacing w:line="440" w:lineRule="atLeast"/>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（5）建立健全内部风险控制、监察与稽核、财务管理及人事管理等制度，保证所管理的基金财产和基金管理人的财产相互独立，对所管理的不同基金分别管理，分别记账，进行</w:t>
      </w:r>
      <w:r>
        <w:rPr>
          <w:rFonts w:hint="eastAsia" w:eastAsiaTheme="minorEastAsia"/>
          <w:bCs/>
          <w:color w:val="000000" w:themeColor="text1"/>
          <w:szCs w:val="21"/>
          <w14:textFill>
            <w14:solidFill>
              <w14:schemeClr w14:val="tx1"/>
            </w14:solidFill>
          </w14:textFill>
        </w:rPr>
        <w:t>基金、</w:t>
      </w:r>
      <w:r>
        <w:rPr>
          <w:rFonts w:eastAsiaTheme="minorEastAsia"/>
          <w:bCs/>
          <w:color w:val="000000" w:themeColor="text1"/>
          <w:szCs w:val="21"/>
          <w14:textFill>
            <w14:solidFill>
              <w14:schemeClr w14:val="tx1"/>
            </w14:solidFill>
          </w14:textFill>
        </w:rPr>
        <w:t>证券投资；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（6）除依据《基金法》、《基金合同》及其他有关规定外，不得利用基金财产为自己及任何第三人谋取利益，不得委托第三人运作基金财产；</w:t>
      </w:r>
      <w:bookmarkStart w:id="154" w:name="_Hlt88897298"/>
      <w:bookmarkEnd w:id="154"/>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（7）依法接受基金托管人的监督；</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（8）采取适当合理的措施使计算基金份额认购、申购、赎回和注销价格的方法符合《基金合同》等法律文件的规定，按有关规定计算并公告基金净值信息，确定基金份额申购、赎回的价格；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（9）进行基金会计核算并编制基金财务会计报告；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（10）编制季度、中期报告和年度报告；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（11）严格按照《基金法》、《基金合同》及其他有关规定，履行信息披露及报告义务；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（12）保守基金商业秘密，不泄露基金投资计划、投资意向等。除《基金法》、《基金合同》及其他有关规定另有规定外，在基金信息公开披露前应予保密，不向他人泄露</w:t>
      </w:r>
      <w:r>
        <w:rPr>
          <w:bCs/>
          <w:color w:val="000000" w:themeColor="text1"/>
          <w:szCs w:val="21"/>
          <w14:textFill>
            <w14:solidFill>
              <w14:schemeClr w14:val="tx1"/>
            </w14:solidFill>
          </w14:textFill>
        </w:rPr>
        <w:t>，但因监管机构、司法机关等有权机关的要求或因审计、法律等外部专业顾问提供服务需要提供的情况除外</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（13）按《基金合同》的约定确定基金收益分配方案，及时向基金份额持有人分配基金收益；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（14）按规定受理申购与赎回申请，及时、足额支付赎回款项；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（15）依据《基金法》、《基金合同》及其他有关规定召集基金份额持有人大会或配合基金托管人、基金份额持有人依法召集基金份额持有人大会；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（16）按规定保存基金财产管理业务活动的会计账册、报表、记录和其他相关资料</w:t>
      </w:r>
      <w:r>
        <w:rPr>
          <w:bCs/>
          <w:color w:val="000000" w:themeColor="text1"/>
          <w:szCs w:val="21"/>
          <w14:textFill>
            <w14:solidFill>
              <w14:schemeClr w14:val="tx1"/>
            </w14:solidFill>
          </w14:textFill>
        </w:rPr>
        <w:t>，保存期限不低于法律法规规定的最低期限</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（18）组织并参加基金财产清算小组，参与基金财产的保管、清理、估价、变现和分配；</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（19）面临解散、依法被撤销或者被依法宣告破产时，及时报告中国证监会并通知基金托管人；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（20）因违反《基金合同》导致基金财产的损失或损害基金份额持有人合法权益时，应当承担赔偿责任，其赔偿责任不因其退任而免除；</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（22）当基金管理人将其义务委托第三方处理时，应当对第三方处理有关基金事务的行为承担责任；</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（23）以基金管理人名义，代表基金份额持有人利益行使诉讼权利或实施其他法律行为；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（24）基金管理人在募集期间未能达到基金</w:t>
      </w:r>
      <w:bookmarkStart w:id="155" w:name="_Hlt88823209"/>
      <w:bookmarkEnd w:id="155"/>
      <w:r>
        <w:rPr>
          <w:rFonts w:eastAsiaTheme="minorEastAsia"/>
          <w:bCs/>
          <w:color w:val="000000" w:themeColor="text1"/>
          <w:szCs w:val="21"/>
          <w14:textFill>
            <w14:solidFill>
              <w14:schemeClr w14:val="tx1"/>
            </w14:solidFill>
          </w14:textFill>
        </w:rPr>
        <w:t>的备案条件，《基金合同》不能生效，基金管理人承担因募集行为而产生的费用，将已募集资金并加计银行同期活期存款利息在基金募集期结束后30日内退还基金认购人；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（25）执行生效的基金份额持有人大会的决议；</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（26）建立并保存基金份额持有人名册；</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（27）法律法规及中国证监会规定的和《基金合同》约定的其他义务。</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156" w:name="_Toc15118238"/>
      <w:bookmarkStart w:id="157" w:name="_Toc57530240"/>
      <w:bookmarkStart w:id="158" w:name="_Toc79392581"/>
      <w:r>
        <w:rPr>
          <w:rFonts w:eastAsiaTheme="minorEastAsia"/>
          <w:bCs/>
          <w:color w:val="000000" w:themeColor="text1"/>
          <w:szCs w:val="21"/>
          <w14:textFill>
            <w14:solidFill>
              <w14:schemeClr w14:val="tx1"/>
            </w14:solidFill>
          </w14:textFill>
        </w:rPr>
        <w:t>二、基金托管人</w:t>
      </w:r>
      <w:bookmarkEnd w:id="153"/>
      <w:bookmarkEnd w:id="156"/>
      <w:bookmarkEnd w:id="157"/>
      <w:bookmarkEnd w:id="158"/>
    </w:p>
    <w:p>
      <w:pPr>
        <w:spacing w:line="360" w:lineRule="auto"/>
        <w:ind w:firstLine="420" w:firstLineChars="200"/>
        <w:rPr>
          <w:rFonts w:eastAsiaTheme="minorEastAsia"/>
          <w:bCs/>
          <w:color w:val="000000" w:themeColor="text1"/>
          <w:szCs w:val="21"/>
          <w14:textFill>
            <w14:solidFill>
              <w14:schemeClr w14:val="tx1"/>
            </w14:solidFill>
          </w14:textFill>
        </w:rPr>
      </w:pPr>
      <w:bookmarkStart w:id="159" w:name="_Toc15118239"/>
      <w:r>
        <w:rPr>
          <w:rFonts w:eastAsiaTheme="minorEastAsia"/>
          <w:bCs/>
          <w:color w:val="000000" w:themeColor="text1"/>
          <w:szCs w:val="21"/>
          <w14:textFill>
            <w14:solidFill>
              <w14:schemeClr w14:val="tx1"/>
            </w14:solidFill>
          </w14:textFill>
        </w:rPr>
        <w:t>（一）基金托管人简况</w:t>
      </w:r>
      <w:bookmarkEnd w:id="159"/>
    </w:p>
    <w:p>
      <w:pPr>
        <w:spacing w:line="360" w:lineRule="auto"/>
        <w:ind w:firstLine="420" w:firstLineChars="200"/>
        <w:rPr>
          <w:rFonts w:eastAsiaTheme="minorEastAsia"/>
          <w:bCs/>
          <w:color w:val="000000" w:themeColor="text1"/>
          <w:szCs w:val="21"/>
          <w14:textFill>
            <w14:solidFill>
              <w14:schemeClr w14:val="tx1"/>
            </w14:solidFill>
          </w14:textFill>
        </w:rPr>
      </w:pPr>
      <w:bookmarkStart w:id="160" w:name="_Toc15118240"/>
      <w:r>
        <w:rPr>
          <w:rFonts w:hint="eastAsia" w:eastAsiaTheme="minorEastAsia"/>
          <w:bCs/>
          <w:color w:val="000000" w:themeColor="text1"/>
          <w:szCs w:val="21"/>
          <w14:textFill>
            <w14:solidFill>
              <w14:schemeClr w14:val="tx1"/>
            </w14:solidFill>
          </w14:textFill>
        </w:rPr>
        <w:t>名称：中国建设银行股份有限公司</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住所：北京市西城区金融大街25号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法定代表人：张金良</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成立日期：2004年09月17日</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批准设立机关和批准设立文号：中国银行业监督管理委员会复【2004】143号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基金托管资格批文及文号：中国证监会证监基字[1998]12号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组织形式：股份有限公司</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注册资本：贰仟陆佰壹拾陆亿零叁拾捌万壹仟肆佰伍拾玖元整</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（二）基金托管人的权利与义务</w:t>
      </w:r>
      <w:bookmarkEnd w:id="160"/>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1、根据《基金法》、《运作办法》及其他有关规定，基金托管人的权利包括但不限于：</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（1）自《基金合同》生效之日起，依法律法规和《基金合同》的规定安全保管基金财产；</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（2）依《基金合同》约定获得基金托管费以及法律法规规定或监管部门批准的其他费用；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（4）根据相关市场规则，为基金开设资金账户、证券账户等投资所需账户，为基金办理</w:t>
      </w:r>
      <w:r>
        <w:rPr>
          <w:rFonts w:hint="eastAsia" w:eastAsiaTheme="minorEastAsia"/>
          <w:bCs/>
          <w:color w:val="000000" w:themeColor="text1"/>
          <w:szCs w:val="21"/>
          <w14:textFill>
            <w14:solidFill>
              <w14:schemeClr w14:val="tx1"/>
            </w14:solidFill>
          </w14:textFill>
        </w:rPr>
        <w:t>基金、</w:t>
      </w:r>
      <w:r>
        <w:rPr>
          <w:rFonts w:eastAsiaTheme="minorEastAsia"/>
          <w:bCs/>
          <w:color w:val="000000" w:themeColor="text1"/>
          <w:szCs w:val="21"/>
          <w14:textFill>
            <w14:solidFill>
              <w14:schemeClr w14:val="tx1"/>
            </w14:solidFill>
          </w14:textFill>
        </w:rPr>
        <w:t>证券交易资金清算；</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（5）提议召开或召集基金份额持有人大会；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（6）在基金管理人更换时，提名新的基金管理人；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（7）法律法规及中国证监会规定的和《基金合同》约定的其他权利。</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2、根据《基金法》、《运作办法》及其他有关规定，基金托管人的义务包括但不限于：</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（1）以诚实信用、勤勉尽责的原则持有并安全保管基金财产；</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（2）设立专门的基金托管部门，具有符合要求的营业场所，配备足够的、合格的熟悉基金托管业务的专职人员，负责基金财产托管事宜；</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（4）除依据《基金法》、《基金合同》及其他有关规定外，不得利用基金财产为自己及任何第三人谋取利益，不得委托第三人托管基金财产；</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（5）保管由基金管理人代表基金签订的与基金有关的重大合同及有关凭证；</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（6）按规定开设基金财产的资金账户</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证券账户等投资所需账户，按照《基金合同》的约定，根据基金管理人的投资指令，及时办理清算、交割事宜；</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（7）保守基金商业秘密，除《基金法》、《基金合同》及其他有关规定另有规定外，在基金信息公开披露前予以保密，不得向他人泄露，</w:t>
      </w:r>
      <w:r>
        <w:rPr>
          <w:bCs/>
          <w:color w:val="000000" w:themeColor="text1"/>
          <w:szCs w:val="21"/>
          <w14:textFill>
            <w14:solidFill>
              <w14:schemeClr w14:val="tx1"/>
            </w14:solidFill>
          </w14:textFill>
        </w:rPr>
        <w:t>但因监管机构、司法机关等有权机关的要求，或</w:t>
      </w:r>
      <w:r>
        <w:rPr>
          <w:rFonts w:eastAsiaTheme="minorEastAsia"/>
          <w:bCs/>
          <w:color w:val="000000" w:themeColor="text1"/>
          <w:szCs w:val="21"/>
          <w14:textFill>
            <w14:solidFill>
              <w14:schemeClr w14:val="tx1"/>
            </w14:solidFill>
          </w14:textFill>
        </w:rPr>
        <w:t>因审计、法律等外部专业顾问</w:t>
      </w:r>
      <w:r>
        <w:rPr>
          <w:rFonts w:hint="eastAsia" w:eastAsiaTheme="minorEastAsia"/>
          <w:bCs/>
          <w:color w:val="000000" w:themeColor="text1"/>
          <w:szCs w:val="21"/>
          <w14:textFill>
            <w14:solidFill>
              <w14:schemeClr w14:val="tx1"/>
            </w14:solidFill>
          </w14:textFill>
        </w:rPr>
        <w:t>提供服务需要</w:t>
      </w:r>
      <w:r>
        <w:rPr>
          <w:rFonts w:eastAsiaTheme="minorEastAsia"/>
          <w:bCs/>
          <w:color w:val="000000" w:themeColor="text1"/>
          <w:szCs w:val="21"/>
          <w14:textFill>
            <w14:solidFill>
              <w14:schemeClr w14:val="tx1"/>
            </w14:solidFill>
          </w14:textFill>
        </w:rPr>
        <w:t>提供的情况除外；</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（8）复核、审查基金管理人计算的基金资产净值、各类基金份额净值、基金份额申购、赎回价格；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（9）办理与基金托管业务活动有关的信息披露事项；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（11）保存基金托管业务活动的记录、账册、报表和其他相关资料</w:t>
      </w:r>
      <w:r>
        <w:rPr>
          <w:rFonts w:hint="eastAsia" w:eastAsiaTheme="minorEastAsia"/>
          <w:color w:val="000000" w:themeColor="text1"/>
          <w:szCs w:val="21"/>
          <w14:textFill>
            <w14:solidFill>
              <w14:schemeClr w14:val="tx1"/>
            </w14:solidFill>
          </w14:textFill>
        </w:rPr>
        <w:t>，保存期限按照法律法规的规定执行</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（12）从基金管理人或其委托的登记机构处接收</w:t>
      </w:r>
      <w:r>
        <w:rPr>
          <w:rFonts w:hint="eastAsia" w:eastAsiaTheme="minorEastAsia"/>
          <w:bCs/>
          <w:color w:val="000000" w:themeColor="text1"/>
          <w:szCs w:val="21"/>
          <w14:textFill>
            <w14:solidFill>
              <w14:schemeClr w14:val="tx1"/>
            </w14:solidFill>
          </w14:textFill>
        </w:rPr>
        <w:t>并保存</w:t>
      </w:r>
      <w:r>
        <w:rPr>
          <w:rFonts w:eastAsiaTheme="minorEastAsia"/>
          <w:bCs/>
          <w:color w:val="000000" w:themeColor="text1"/>
          <w:szCs w:val="21"/>
          <w14:textFill>
            <w14:solidFill>
              <w14:schemeClr w14:val="tx1"/>
            </w14:solidFill>
          </w14:textFill>
        </w:rPr>
        <w:t>基金份额持有人名册；</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（13）按规定制作相关账册并与基金管理人核对；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（14）依据基金管理人的指令或有关规定向基金份额持有人支付基金收益和赎回款项；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（15）依据《基金法》、《基金合同》及其他有关规定，召集基金份额持有人大会或配合基金管理人、基金份额持有人依法召集基金份额持有人大会；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（16）按照法律法规和《基金合同》的规定监督基金管理人的投资运作；</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（17）参加基金财产清算小组，参与基金财产的保管、清理、估价、变现和分配；</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（18）面临解散、依法被撤销或者被依法宣告破产时，及时报告中国证监会</w:t>
      </w:r>
      <w:r>
        <w:rPr>
          <w:rFonts w:hint="eastAsia" w:eastAsiaTheme="minorEastAsia"/>
          <w:bCs/>
          <w:color w:val="000000" w:themeColor="text1"/>
          <w:szCs w:val="21"/>
          <w14:textFill>
            <w14:solidFill>
              <w14:schemeClr w14:val="tx1"/>
            </w14:solidFill>
          </w14:textFill>
        </w:rPr>
        <w:t>和银行业监督管理机构</w:t>
      </w:r>
      <w:r>
        <w:rPr>
          <w:rFonts w:eastAsiaTheme="minorEastAsia"/>
          <w:bCs/>
          <w:color w:val="000000" w:themeColor="text1"/>
          <w:szCs w:val="21"/>
          <w14:textFill>
            <w14:solidFill>
              <w14:schemeClr w14:val="tx1"/>
            </w14:solidFill>
          </w14:textFill>
        </w:rPr>
        <w:t>，并通知基金管理人；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（19）因违反《基金合同》导致基金财产损失时，应承担赔偿责任，其赔偿责任不因其退任而免除；</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（20）按规定监督基金管理人按法律法规和《基金合同》规定履行自己的义务，基金管理人因违反《基金合同》造成基金财产损失时，应为基金份额持有人利益向基金管理人追偿</w:t>
      </w:r>
      <w:bookmarkStart w:id="161" w:name="_Hlt88825668"/>
      <w:bookmarkEnd w:id="161"/>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（21）执行生效的基金份额持有人大会的决议；</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（22）</w:t>
      </w:r>
      <w:bookmarkStart w:id="162" w:name="_Toc523711670"/>
      <w:r>
        <w:rPr>
          <w:rFonts w:eastAsiaTheme="minorEastAsia"/>
          <w:bCs/>
          <w:color w:val="000000" w:themeColor="text1"/>
          <w:szCs w:val="21"/>
          <w14:textFill>
            <w14:solidFill>
              <w14:schemeClr w14:val="tx1"/>
            </w14:solidFill>
          </w14:textFill>
        </w:rPr>
        <w:t>法律法规及中国证监会规定的和《基金合同》约定的其他义务。</w:t>
      </w:r>
    </w:p>
    <w:bookmarkEnd w:id="162"/>
    <w:p>
      <w:pPr>
        <w:spacing w:line="360" w:lineRule="auto"/>
        <w:ind w:firstLine="420" w:firstLineChars="200"/>
        <w:rPr>
          <w:rFonts w:eastAsiaTheme="minorEastAsia"/>
          <w:bCs/>
          <w:color w:val="000000" w:themeColor="text1"/>
          <w:szCs w:val="21"/>
          <w14:textFill>
            <w14:solidFill>
              <w14:schemeClr w14:val="tx1"/>
            </w14:solidFill>
          </w14:textFill>
        </w:rPr>
      </w:pPr>
      <w:bookmarkStart w:id="163" w:name="_Toc79392582"/>
      <w:r>
        <w:rPr>
          <w:rFonts w:eastAsiaTheme="minorEastAsia"/>
          <w:bCs/>
          <w:color w:val="000000" w:themeColor="text1"/>
          <w:szCs w:val="21"/>
          <w14:textFill>
            <w14:solidFill>
              <w14:schemeClr w14:val="tx1"/>
            </w14:solidFill>
          </w14:textFill>
        </w:rPr>
        <w:t>三、基金份额持有人</w:t>
      </w:r>
      <w:bookmarkEnd w:id="163"/>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基金投资者持有本基金</w:t>
      </w:r>
      <w:bookmarkStart w:id="164" w:name="_Hlt88899909"/>
      <w:bookmarkEnd w:id="164"/>
      <w:r>
        <w:rPr>
          <w:rFonts w:eastAsiaTheme="minorEastAsia"/>
          <w:b/>
          <w:bCs/>
          <w:color w:val="000000" w:themeColor="text1"/>
          <w:szCs w:val="21"/>
          <w14:textFill>
            <w14:solidFill>
              <w14:schemeClr w14:val="tx1"/>
            </w14:solidFill>
          </w14:textFill>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除法律法规另有规定或基金合同另有约定外，</w:t>
      </w:r>
      <w:r>
        <w:rPr>
          <w:rFonts w:eastAsiaTheme="minorEastAsia"/>
          <w:bCs/>
          <w:color w:val="000000" w:themeColor="text1"/>
          <w:szCs w:val="21"/>
          <w14:textFill>
            <w14:solidFill>
              <w14:schemeClr w14:val="tx1"/>
            </w14:solidFill>
          </w14:textFill>
        </w:rPr>
        <w:t>同一类别</w:t>
      </w:r>
      <w:r>
        <w:rPr>
          <w:rFonts w:hint="eastAsia" w:eastAsiaTheme="minorEastAsia"/>
          <w:bCs/>
          <w:color w:val="000000" w:themeColor="text1"/>
          <w:szCs w:val="21"/>
          <w14:textFill>
            <w14:solidFill>
              <w14:schemeClr w14:val="tx1"/>
            </w14:solidFill>
          </w14:textFill>
        </w:rPr>
        <w:t>的</w:t>
      </w:r>
      <w:r>
        <w:rPr>
          <w:rFonts w:eastAsiaTheme="minorEastAsia"/>
          <w:bCs/>
          <w:color w:val="000000" w:themeColor="text1"/>
          <w:szCs w:val="21"/>
          <w14:textFill>
            <w14:solidFill>
              <w14:schemeClr w14:val="tx1"/>
            </w14:solidFill>
          </w14:textFill>
        </w:rPr>
        <w:t>每份基金份额具有同等的合法权益。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1、根据《基金法》、《运作办法》及其他有关规定，基金份额持有人的权利包括但不限于：</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（1）分享基金财产收益；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（2）参与分配清算后的剩余基金财产；</w:t>
      </w:r>
      <w:bookmarkStart w:id="165" w:name="_Hlt88825574"/>
      <w:bookmarkEnd w:id="165"/>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（3）依法转让或者申请赎回其持有的基金份额；</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（4）按照规定要求召开基金份额持有人大会或者召集基金份额持有人大会；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（5）出席或者委派代表出席基金份额持有人大会，对基金份额持有人大会审议事项行使表决权；</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（6）查阅或者复制公开披露的基金信息资料；</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（7）监督基金管理人的投资运作；</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（8）对基金管理人、基金托管人、基金服务机构损害其合法权益的行为依法提起诉讼或仲裁；</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（9）法律法规及中国证监会规定的和《基金合同》约定的其他权利。</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2、根据《基金法》、《运作办法》及其他有关规定，基金份额持有人的义务包括但不限于：</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（1）认真阅读并遵守《基金合同》、招募说明书、基金产品资料概要等信息披露文件；</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（2）了解所投资基金产品，了解自身风险承受能力，自主判断基金的投资价值，自主做出投资决策，自行承担投资风险；</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（3）关注基金信息披露，及时行使权利和履行义务；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（4）交纳基金认购、申购款项及法律法规和《基金合同》所规定的费用；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（5）在其持有的基金份额范围内，承担基金亏损或者《基金合同》终止的有限责任；</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（6）不从事任何有损基金及其他《基金合同》当事人合法权益的活动；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（7）执行生效的基金份额持有人大会的决议；</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（8）返还在基金交易过程中因任何原因获得的不当得利；</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（9）遵守基金管理人、基金托管人、销售机构和登记机构的相关交易及业务规则；</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（10）提供基金管理人和监管机构依法要求提供的信息，以及不时地更新和补充，并保证其真实性；</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（1</w:t>
      </w:r>
      <w:r>
        <w:rPr>
          <w:rFonts w:eastAsiaTheme="minorEastAsia"/>
          <w:bCs/>
          <w:color w:val="000000" w:themeColor="text1"/>
          <w:szCs w:val="21"/>
          <w14:textFill>
            <w14:solidFill>
              <w14:schemeClr w14:val="tx1"/>
            </w14:solidFill>
          </w14:textFill>
        </w:rPr>
        <w:t>1</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法律法规及中国证监会规定的和《基金合同》约定的其他义务。</w:t>
      </w:r>
    </w:p>
    <w:bookmarkEnd w:id="147"/>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166" w:name="_Toc10650"/>
      <w:bookmarkStart w:id="167" w:name="_Toc123102455"/>
      <w:bookmarkStart w:id="168" w:name="_Toc98560354"/>
      <w:bookmarkStart w:id="169" w:name="_Toc70507726"/>
      <w:bookmarkStart w:id="170" w:name="_Toc79392583"/>
      <w:bookmarkStart w:id="171" w:name="_Toc3771"/>
      <w:bookmarkStart w:id="172" w:name="_Toc4559"/>
      <w:bookmarkStart w:id="173" w:name="_Toc3321"/>
      <w:bookmarkStart w:id="174" w:name="_Toc123112236"/>
      <w:bookmarkStart w:id="175" w:name="_Toc7058"/>
      <w:bookmarkStart w:id="176" w:name="_Toc6447"/>
      <w:bookmarkStart w:id="177" w:name="_Toc20768"/>
      <w:bookmarkStart w:id="178" w:name="_Toc123051454"/>
      <w:bookmarkStart w:id="179" w:name="_Toc11030"/>
      <w:bookmarkStart w:id="180" w:name="_Toc9706"/>
      <w:bookmarkStart w:id="181" w:name="_Toc141703888"/>
      <w:bookmarkStart w:id="182" w:name="_Toc25783"/>
      <w:bookmarkStart w:id="183" w:name="_Toc139991738"/>
      <w:bookmarkStart w:id="184" w:name="_Toc18567"/>
      <w:r>
        <w:rPr>
          <w:rFonts w:eastAsiaTheme="minorEastAsia"/>
          <w:b/>
          <w:color w:val="000000" w:themeColor="text1"/>
          <w:szCs w:val="21"/>
          <w14:textFill>
            <w14:solidFill>
              <w14:schemeClr w14:val="tx1"/>
            </w14:solidFill>
          </w14:textFill>
        </w:rPr>
        <w:t>第八部分  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tabs>
          <w:tab w:val="left" w:pos="1080"/>
        </w:tabs>
        <w:spacing w:line="360" w:lineRule="auto"/>
        <w:ind w:left="993" w:leftChars="199" w:hanging="575" w:hangingChars="274"/>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bookmarkStart w:id="185" w:name="_Hlk178017181"/>
      <w:bookmarkStart w:id="186" w:name="_Hlk61283010"/>
      <w:r>
        <w:rPr>
          <w:rFonts w:eastAsiaTheme="minorEastAsia"/>
          <w:bCs/>
          <w:color w:val="000000" w:themeColor="text1"/>
          <w:szCs w:val="21"/>
          <w14:textFill>
            <w14:solidFill>
              <w14:schemeClr w14:val="tx1"/>
            </w14:solidFill>
          </w14:textFill>
        </w:rPr>
        <w:t>基金份额持有人大会由基金份额持有人组成，基金份额持有人的合法授权代表有权代表基金份额持有人出席会议并表决。</w:t>
      </w:r>
      <w:r>
        <w:rPr>
          <w:rFonts w:hint="eastAsia" w:eastAsiaTheme="minorEastAsia"/>
          <w:bCs/>
          <w:color w:val="000000" w:themeColor="text1"/>
          <w:szCs w:val="21"/>
          <w14:textFill>
            <w14:solidFill>
              <w14:schemeClr w14:val="tx1"/>
            </w14:solidFill>
          </w14:textFill>
        </w:rPr>
        <w:t>除法律法规另有规定或基金合同另有约定外，</w:t>
      </w:r>
      <w:r>
        <w:rPr>
          <w:rFonts w:eastAsiaTheme="minorEastAsia"/>
          <w:bCs/>
          <w:color w:val="000000" w:themeColor="text1"/>
          <w:szCs w:val="21"/>
          <w14:textFill>
            <w14:solidFill>
              <w14:schemeClr w14:val="tx1"/>
            </w14:solidFill>
          </w14:textFill>
        </w:rPr>
        <w:t>基金份额持有人持有的每一基金份额拥有平等的投票权。</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本基金份额持有人大会不设日常机构。</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187" w:name="_Toc79392584"/>
      <w:bookmarkStart w:id="188" w:name="_Toc15641220"/>
      <w:bookmarkStart w:id="189" w:name="_Toc57530243"/>
      <w:r>
        <w:rPr>
          <w:rFonts w:eastAsiaTheme="minorEastAsia"/>
          <w:bCs/>
          <w:color w:val="000000" w:themeColor="text1"/>
          <w:szCs w:val="21"/>
          <w14:textFill>
            <w14:solidFill>
              <w14:schemeClr w14:val="tx1"/>
            </w14:solidFill>
          </w14:textFill>
        </w:rPr>
        <w:t>一、召开事由</w:t>
      </w:r>
      <w:bookmarkEnd w:id="187"/>
      <w:bookmarkEnd w:id="188"/>
      <w:bookmarkEnd w:id="189"/>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1、当出现或需要决定下列事由之一的，应当召开基金份额持有人大会，但法律法规和中国证监会另有规定</w:t>
      </w:r>
      <w:r>
        <w:rPr>
          <w:bCs/>
          <w:color w:val="000000" w:themeColor="text1"/>
          <w:szCs w:val="21"/>
          <w14:textFill>
            <w14:solidFill>
              <w14:schemeClr w14:val="tx1"/>
            </w14:solidFill>
          </w14:textFill>
        </w:rPr>
        <w:t>或基金合同另有约定</w:t>
      </w:r>
      <w:r>
        <w:rPr>
          <w:rFonts w:eastAsiaTheme="minorEastAsia"/>
          <w:bCs/>
          <w:color w:val="000000" w:themeColor="text1"/>
          <w:szCs w:val="21"/>
          <w14:textFill>
            <w14:solidFill>
              <w14:schemeClr w14:val="tx1"/>
            </w14:solidFill>
          </w14:textFill>
        </w:rPr>
        <w:t>的除外：</w:t>
      </w:r>
    </w:p>
    <w:p>
      <w:pPr>
        <w:spacing w:line="440" w:lineRule="atLeast"/>
        <w:ind w:firstLine="420" w:firstLineChars="200"/>
        <w:rPr>
          <w:bCs/>
          <w:color w:val="000000"/>
          <w:szCs w:val="21"/>
        </w:rPr>
      </w:pPr>
      <w:r>
        <w:rPr>
          <w:bCs/>
          <w:color w:val="000000"/>
          <w:szCs w:val="21"/>
        </w:rPr>
        <w:t>（1）终止《基金合同》。</w:t>
      </w:r>
    </w:p>
    <w:p>
      <w:pPr>
        <w:spacing w:line="440" w:lineRule="atLeast"/>
        <w:ind w:firstLine="420" w:firstLineChars="200"/>
        <w:rPr>
          <w:bCs/>
          <w:color w:val="000000"/>
          <w:szCs w:val="21"/>
        </w:rPr>
      </w:pPr>
      <w:r>
        <w:rPr>
          <w:bCs/>
          <w:color w:val="000000"/>
          <w:szCs w:val="21"/>
        </w:rPr>
        <w:t>（2）更换基金管理人。</w:t>
      </w:r>
    </w:p>
    <w:p>
      <w:pPr>
        <w:spacing w:line="440" w:lineRule="atLeast"/>
        <w:ind w:firstLine="420" w:firstLineChars="200"/>
        <w:rPr>
          <w:bCs/>
          <w:color w:val="000000"/>
          <w:szCs w:val="21"/>
        </w:rPr>
      </w:pPr>
      <w:r>
        <w:rPr>
          <w:bCs/>
          <w:color w:val="000000"/>
          <w:szCs w:val="21"/>
        </w:rPr>
        <w:t>（3）更换基金托管人。</w:t>
      </w:r>
    </w:p>
    <w:p>
      <w:pPr>
        <w:spacing w:line="440" w:lineRule="atLeast"/>
        <w:ind w:firstLine="420" w:firstLineChars="200"/>
        <w:rPr>
          <w:bCs/>
          <w:color w:val="000000"/>
          <w:szCs w:val="21"/>
        </w:rPr>
      </w:pPr>
      <w:r>
        <w:rPr>
          <w:bCs/>
          <w:color w:val="000000"/>
          <w:szCs w:val="21"/>
        </w:rPr>
        <w:t>（4）转换基金运作方式。</w:t>
      </w:r>
    </w:p>
    <w:p>
      <w:pPr>
        <w:spacing w:line="440" w:lineRule="atLeast"/>
        <w:ind w:firstLine="420" w:firstLineChars="200"/>
        <w:rPr>
          <w:bCs/>
          <w:color w:val="000000"/>
          <w:szCs w:val="21"/>
        </w:rPr>
      </w:pPr>
      <w:r>
        <w:rPr>
          <w:bCs/>
          <w:color w:val="000000"/>
          <w:szCs w:val="21"/>
        </w:rPr>
        <w:t>（5）</w:t>
      </w:r>
      <w:r>
        <w:rPr>
          <w:rFonts w:hint="eastAsia"/>
          <w:bCs/>
          <w:color w:val="000000"/>
          <w:szCs w:val="21"/>
        </w:rPr>
        <w:t>调整</w:t>
      </w:r>
      <w:r>
        <w:rPr>
          <w:bCs/>
          <w:color w:val="000000"/>
          <w:szCs w:val="21"/>
        </w:rPr>
        <w:t>基金管理人、基金托管人的报酬标准</w:t>
      </w:r>
      <w:r>
        <w:rPr>
          <w:rFonts w:hint="eastAsia"/>
          <w:bCs/>
          <w:color w:val="000000"/>
          <w:szCs w:val="21"/>
        </w:rPr>
        <w:t>或提高销售服务费率</w:t>
      </w:r>
      <w:r>
        <w:rPr>
          <w:bCs/>
          <w:color w:val="000000"/>
          <w:szCs w:val="21"/>
        </w:rPr>
        <w:t>。</w:t>
      </w:r>
    </w:p>
    <w:p>
      <w:pPr>
        <w:spacing w:line="440" w:lineRule="atLeast"/>
        <w:ind w:firstLine="420" w:firstLineChars="200"/>
        <w:rPr>
          <w:bCs/>
          <w:color w:val="000000"/>
          <w:szCs w:val="21"/>
        </w:rPr>
      </w:pPr>
      <w:r>
        <w:rPr>
          <w:bCs/>
          <w:color w:val="000000"/>
          <w:szCs w:val="21"/>
        </w:rPr>
        <w:t>（6）变更基金类别。</w:t>
      </w:r>
    </w:p>
    <w:p>
      <w:pPr>
        <w:spacing w:line="440" w:lineRule="atLeast"/>
        <w:ind w:firstLine="420" w:firstLineChars="200"/>
        <w:rPr>
          <w:bCs/>
          <w:color w:val="000000"/>
          <w:szCs w:val="21"/>
        </w:rPr>
      </w:pPr>
      <w:r>
        <w:rPr>
          <w:bCs/>
          <w:color w:val="000000"/>
          <w:szCs w:val="21"/>
        </w:rPr>
        <w:t>（7）本基金与其他基金的合并。</w:t>
      </w:r>
    </w:p>
    <w:p>
      <w:pPr>
        <w:spacing w:line="440" w:lineRule="atLeast"/>
        <w:ind w:firstLine="420" w:firstLineChars="200"/>
        <w:rPr>
          <w:bCs/>
          <w:color w:val="000000"/>
          <w:szCs w:val="21"/>
        </w:rPr>
      </w:pPr>
      <w:r>
        <w:rPr>
          <w:bCs/>
          <w:color w:val="000000"/>
          <w:szCs w:val="21"/>
        </w:rPr>
        <w:t>（8）变更基金投资目标、范围或策略。</w:t>
      </w:r>
    </w:p>
    <w:p>
      <w:pPr>
        <w:spacing w:line="440" w:lineRule="atLeast"/>
        <w:ind w:firstLine="420" w:firstLineChars="200"/>
        <w:rPr>
          <w:bCs/>
          <w:color w:val="000000"/>
          <w:szCs w:val="21"/>
        </w:rPr>
      </w:pPr>
      <w:r>
        <w:rPr>
          <w:bCs/>
          <w:color w:val="000000"/>
          <w:szCs w:val="21"/>
        </w:rPr>
        <w:t>（9）变更基金份额持有人大会程序。</w:t>
      </w:r>
    </w:p>
    <w:p>
      <w:pPr>
        <w:spacing w:line="440" w:lineRule="atLeast"/>
        <w:ind w:firstLine="420" w:firstLineChars="200"/>
        <w:rPr>
          <w:bCs/>
          <w:color w:val="000000"/>
          <w:szCs w:val="21"/>
        </w:rPr>
      </w:pPr>
      <w:r>
        <w:rPr>
          <w:bCs/>
          <w:color w:val="000000"/>
          <w:szCs w:val="21"/>
        </w:rPr>
        <w:t>（10）基金管理人或基金托管人要求召开基金份额持有人大会。</w:t>
      </w:r>
    </w:p>
    <w:p>
      <w:pPr>
        <w:spacing w:line="440" w:lineRule="atLeast"/>
        <w:ind w:firstLine="420" w:firstLineChars="200"/>
        <w:rPr>
          <w:bCs/>
          <w:color w:val="000000"/>
          <w:szCs w:val="21"/>
        </w:rPr>
      </w:pPr>
      <w:r>
        <w:rPr>
          <w:bCs/>
          <w:color w:val="000000"/>
          <w:szCs w:val="21"/>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20" w:firstLineChars="200"/>
        <w:rPr>
          <w:bCs/>
          <w:color w:val="000000"/>
          <w:szCs w:val="21"/>
        </w:rPr>
      </w:pPr>
      <w:r>
        <w:rPr>
          <w:bCs/>
          <w:color w:val="000000"/>
          <w:szCs w:val="21"/>
        </w:rPr>
        <w:t>（12）对基金合同当事人权利和义务产生重大影响的其他事项。</w:t>
      </w:r>
    </w:p>
    <w:p>
      <w:pPr>
        <w:spacing w:line="440" w:lineRule="atLeast"/>
        <w:ind w:firstLine="420" w:firstLineChars="200"/>
        <w:rPr>
          <w:bCs/>
          <w:color w:val="000000"/>
          <w:szCs w:val="21"/>
        </w:rPr>
      </w:pPr>
      <w:r>
        <w:rPr>
          <w:bCs/>
          <w:color w:val="000000"/>
          <w:szCs w:val="21"/>
        </w:rPr>
        <w:t>（13）法律法规、《基金合同》或中国证监会规定的其他应当召开基金份额持有人大会的事项。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2、在不违反法律法规规定和《基金合同》约定，且对现有基金份额持有人利益无实质性不利影响的前提下，以下情况可由基金管理人和基金托管人协商后修改，不需召开基金份额持有人大会：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（1）法律法规要求增加的基金费用的收取；</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（2）调整本基金的申购费率、调低销售服务费率或</w:t>
      </w:r>
      <w:r>
        <w:rPr>
          <w:rFonts w:hint="eastAsia" w:eastAsiaTheme="minorEastAsia"/>
          <w:bCs/>
          <w:color w:val="000000" w:themeColor="text1"/>
          <w:szCs w:val="21"/>
          <w14:textFill>
            <w14:solidFill>
              <w14:schemeClr w14:val="tx1"/>
            </w14:solidFill>
          </w14:textFill>
        </w:rPr>
        <w:t>调整</w:t>
      </w:r>
      <w:r>
        <w:rPr>
          <w:rFonts w:eastAsiaTheme="minorEastAsia"/>
          <w:bCs/>
          <w:color w:val="000000" w:themeColor="text1"/>
          <w:szCs w:val="21"/>
          <w14:textFill>
            <w14:solidFill>
              <w14:schemeClr w14:val="tx1"/>
            </w14:solidFill>
          </w14:textFill>
        </w:rPr>
        <w:t>收费方式；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（3）增加、减少、调整基金份额类别设置；</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（4）基金管理人、登记机构、销售机构调整有关基金认购、申购、赎回、转换、非交易过户、转托管、定期定额投资等业务的规则；</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w:t>
      </w:r>
      <w:r>
        <w:rPr>
          <w:rFonts w:hint="eastAsia" w:eastAsiaTheme="minorEastAsia"/>
          <w:bCs/>
          <w:color w:val="000000" w:themeColor="text1"/>
          <w:szCs w:val="21"/>
          <w14:textFill>
            <w14:solidFill>
              <w14:schemeClr w14:val="tx1"/>
            </w14:solidFill>
          </w14:textFill>
        </w:rPr>
        <w:t>经履行适当程序后，</w:t>
      </w:r>
      <w:r>
        <w:rPr>
          <w:rFonts w:eastAsiaTheme="minorEastAsia"/>
          <w:bCs/>
          <w:color w:val="000000" w:themeColor="text1"/>
          <w:szCs w:val="21"/>
          <w14:textFill>
            <w14:solidFill>
              <w14:schemeClr w14:val="tx1"/>
            </w14:solidFill>
          </w14:textFill>
        </w:rPr>
        <w:t>基金推出新业务或服务；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（6）因相应的法律法规发生变动而应当对《基金合同》进行修改；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（7）对《基金合同》的修改对基金份额持有人利益无实质性不利影响或修改不涉及《基金合同》当事人权利义务关系发生重大变化；</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（8）按照法律法规和《基金合同》规定不需召开基金份额持有人大会的其他情形。</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190" w:name="_Toc15641221"/>
      <w:bookmarkStart w:id="191" w:name="_Toc57530244"/>
      <w:bookmarkStart w:id="192" w:name="_Toc79392585"/>
      <w:r>
        <w:rPr>
          <w:rFonts w:eastAsiaTheme="minorEastAsia"/>
          <w:bCs/>
          <w:color w:val="000000" w:themeColor="text1"/>
          <w:szCs w:val="21"/>
          <w14:textFill>
            <w14:solidFill>
              <w14:schemeClr w14:val="tx1"/>
            </w14:solidFill>
          </w14:textFill>
        </w:rPr>
        <w:t>二、会议召集人及召集方式</w:t>
      </w:r>
      <w:bookmarkEnd w:id="190"/>
      <w:bookmarkEnd w:id="191"/>
      <w:bookmarkEnd w:id="192"/>
    </w:p>
    <w:p>
      <w:pPr>
        <w:spacing w:line="360" w:lineRule="auto"/>
        <w:ind w:firstLine="420" w:firstLineChars="200"/>
        <w:rPr>
          <w:rFonts w:eastAsiaTheme="minorEastAsia"/>
          <w:bCs/>
          <w:color w:val="000000" w:themeColor="text1"/>
          <w:szCs w:val="21"/>
          <w14:textFill>
            <w14:solidFill>
              <w14:schemeClr w14:val="tx1"/>
            </w14:solidFill>
          </w14:textFill>
        </w:rPr>
      </w:pPr>
      <w:bookmarkStart w:id="193" w:name="_Toc57530245"/>
      <w:bookmarkStart w:id="194" w:name="_Toc15641222"/>
      <w:r>
        <w:rPr>
          <w:rFonts w:eastAsiaTheme="minorEastAsia"/>
          <w:bCs/>
          <w:color w:val="000000" w:themeColor="text1"/>
          <w:szCs w:val="21"/>
          <w14:textFill>
            <w14:solidFill>
              <w14:schemeClr w14:val="tx1"/>
            </w14:solidFill>
          </w14:textFill>
        </w:rPr>
        <w:t>1、除法律法规规定或《基金合同》另有约定外，基金份额持有人大会由基金管理人召集。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2、基金管理人未按规定召集或不能召集时，由基金托管人召集。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6、基金份额持有人会议的召集人负责选择确定开会时间、地点、方式和权益登记日。</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195" w:name="_Toc79392586"/>
      <w:r>
        <w:rPr>
          <w:rFonts w:eastAsiaTheme="minorEastAsia"/>
          <w:bCs/>
          <w:color w:val="000000" w:themeColor="text1"/>
          <w:szCs w:val="21"/>
          <w14:textFill>
            <w14:solidFill>
              <w14:schemeClr w14:val="tx1"/>
            </w14:solidFill>
          </w14:textFill>
        </w:rPr>
        <w:t>三、召开基金份额持有人大会的通知时间、通知内容、通知方式</w:t>
      </w:r>
      <w:bookmarkEnd w:id="193"/>
      <w:bookmarkEnd w:id="194"/>
      <w:bookmarkEnd w:id="195"/>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1、召开基金份额持有人大会，召集人应于会议召开前30日，在规定媒介公告。基金份额持有人大会通知应至少载明以下内容：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（1）会议召开的时间、地点和会议形式；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（2）会议拟审议的事项、议事程序和表决方式；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（3）有权出席基金份额持有人大会的基金份额持有人的权益登记日；</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（4）授权委托证明的内容要求（包括但不限于代理人身份，代理权限和代理有效期限等）、送达时间和地点；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（5）会务常设联系人姓名及联系电话；</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（6）出席会议者必须准备的文件和必须履行的手续；</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（7）召集人需要通知的其他事项。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pPr>
        <w:spacing w:line="360" w:lineRule="auto"/>
        <w:ind w:firstLine="420" w:firstLineChars="200"/>
        <w:rPr>
          <w:rFonts w:eastAsiaTheme="minorEastAsia"/>
          <w:bCs/>
          <w:szCs w:val="21"/>
        </w:rPr>
      </w:pPr>
      <w:bookmarkStart w:id="196" w:name="_Toc57530246"/>
      <w:bookmarkStart w:id="197" w:name="_Toc79392587"/>
      <w:bookmarkStart w:id="198" w:name="_Toc15641223"/>
      <w:r>
        <w:rPr>
          <w:rFonts w:eastAsiaTheme="minorEastAsia"/>
          <w:bCs/>
          <w:szCs w:val="21"/>
        </w:rPr>
        <w:t>四、基金份额持有人出席会议的方式</w:t>
      </w:r>
    </w:p>
    <w:p>
      <w:pPr>
        <w:spacing w:line="360" w:lineRule="auto"/>
        <w:ind w:firstLine="420" w:firstLineChars="200"/>
        <w:rPr>
          <w:rFonts w:eastAsiaTheme="minorEastAsia"/>
          <w:bCs/>
          <w:szCs w:val="21"/>
        </w:rPr>
      </w:pPr>
      <w:r>
        <w:rPr>
          <w:rFonts w:eastAsiaTheme="minorEastAsia"/>
          <w:bCs/>
          <w:szCs w:val="21"/>
        </w:rPr>
        <w:t>基金份额持有人大会可通过现场开会方式、通讯开会方式</w:t>
      </w:r>
      <w:r>
        <w:rPr>
          <w:rFonts w:eastAsiaTheme="minorEastAsia"/>
          <w:szCs w:val="21"/>
        </w:rPr>
        <w:t>或法律法规、监管机构允许的其他方式</w:t>
      </w:r>
      <w:r>
        <w:rPr>
          <w:rFonts w:eastAsiaTheme="minorEastAsia"/>
          <w:bCs/>
          <w:szCs w:val="21"/>
        </w:rPr>
        <w:t>召开，会议的召开方式由会议召集人确定。</w:t>
      </w:r>
    </w:p>
    <w:p>
      <w:pPr>
        <w:spacing w:line="360" w:lineRule="auto"/>
        <w:ind w:firstLine="420" w:firstLineChars="200"/>
        <w:rPr>
          <w:rFonts w:eastAsiaTheme="minorEastAsia"/>
          <w:bCs/>
          <w:szCs w:val="21"/>
        </w:rPr>
      </w:pPr>
      <w:r>
        <w:rPr>
          <w:rFonts w:eastAsiaTheme="minorEastAsia"/>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pacing w:line="360" w:lineRule="auto"/>
        <w:ind w:firstLine="420" w:firstLineChars="200"/>
        <w:rPr>
          <w:rFonts w:eastAsiaTheme="minorEastAsia"/>
          <w:bCs/>
          <w:szCs w:val="21"/>
        </w:rPr>
      </w:pPr>
      <w:r>
        <w:rPr>
          <w:rFonts w:eastAsiaTheme="minorEastAsia"/>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20" w:firstLineChars="200"/>
        <w:rPr>
          <w:rFonts w:eastAsiaTheme="minorEastAsia"/>
          <w:bCs/>
          <w:szCs w:val="21"/>
        </w:rPr>
      </w:pPr>
      <w:r>
        <w:rPr>
          <w:rFonts w:eastAsiaTheme="minorEastAsia"/>
          <w:bCs/>
          <w:szCs w:val="21"/>
        </w:rPr>
        <w:t>（2）经核对，汇总到会者出示的在权益登记日持有基金份额的凭证显示，有效的基金份额不少于本基金在权益登记日基金总份额的</w:t>
      </w:r>
      <w:r>
        <w:rPr>
          <w:rFonts w:eastAsiaTheme="minorEastAsia"/>
          <w:szCs w:val="21"/>
        </w:rPr>
        <w:t>二分之一（含二分之一）</w:t>
      </w:r>
      <w:r>
        <w:rPr>
          <w:rFonts w:eastAsiaTheme="minorEastAsia"/>
          <w:bCs/>
          <w:szCs w:val="21"/>
        </w:rPr>
        <w:t>。若到会者在权益登记日代表的有效的基金份额少于本基金在权益登记日基金总份额的</w:t>
      </w:r>
      <w:r>
        <w:rPr>
          <w:rFonts w:eastAsiaTheme="minorEastAsia"/>
          <w:szCs w:val="21"/>
        </w:rPr>
        <w:t>二分之一</w:t>
      </w:r>
      <w:r>
        <w:rPr>
          <w:rFonts w:eastAsiaTheme="minorEastAsia"/>
          <w:bCs/>
          <w:szCs w:val="21"/>
        </w:rPr>
        <w:t>，召集人可以在原公告的基金份额持有人大会召开时间的</w:t>
      </w:r>
      <w:r>
        <w:rPr>
          <w:rFonts w:eastAsiaTheme="minorEastAsia"/>
          <w:szCs w:val="21"/>
        </w:rPr>
        <w:t>3个月以后、6个月以内</w:t>
      </w:r>
      <w:r>
        <w:rPr>
          <w:rFonts w:eastAsiaTheme="minorEastAsia"/>
          <w:bCs/>
          <w:szCs w:val="21"/>
        </w:rPr>
        <w:t>，就原定审议事项重新召集基金份额持有人大会。重新召集的基金份额持有人大会到会者在权益登记日代表的有效的基金份额应不少于本基金在权益登记日基金总份额的</w:t>
      </w:r>
      <w:r>
        <w:rPr>
          <w:rFonts w:eastAsiaTheme="minorEastAsia"/>
          <w:szCs w:val="21"/>
        </w:rPr>
        <w:t>三分之一（含三分之一）</w:t>
      </w:r>
      <w:r>
        <w:rPr>
          <w:rFonts w:eastAsiaTheme="minorEastAsia"/>
          <w:bCs/>
          <w:szCs w:val="21"/>
        </w:rPr>
        <w:t>。</w:t>
      </w:r>
    </w:p>
    <w:p>
      <w:pPr>
        <w:spacing w:line="360" w:lineRule="auto"/>
        <w:ind w:firstLine="420" w:firstLineChars="200"/>
        <w:rPr>
          <w:rFonts w:eastAsiaTheme="minorEastAsia"/>
          <w:bCs/>
          <w:szCs w:val="21"/>
        </w:rPr>
      </w:pPr>
      <w:r>
        <w:rPr>
          <w:rFonts w:eastAsiaTheme="minorEastAsia"/>
          <w:bCs/>
          <w:szCs w:val="21"/>
        </w:rPr>
        <w:t>2、通讯开会。通讯开会系指基金份额持有人将其对表决事项的投票以</w:t>
      </w:r>
      <w:r>
        <w:rPr>
          <w:rFonts w:eastAsiaTheme="minorEastAsia"/>
          <w:szCs w:val="21"/>
        </w:rPr>
        <w:t>书面形式或会议通知约定的其他方式</w:t>
      </w:r>
      <w:r>
        <w:rPr>
          <w:rFonts w:eastAsiaTheme="minorEastAsia"/>
          <w:bCs/>
          <w:szCs w:val="21"/>
        </w:rPr>
        <w:t>在表决截止日以前送达至召集人指定的地址</w:t>
      </w:r>
      <w:r>
        <w:rPr>
          <w:rFonts w:hint="eastAsia"/>
          <w:bCs/>
          <w:szCs w:val="21"/>
        </w:rPr>
        <w:t>或系统</w:t>
      </w:r>
      <w:r>
        <w:rPr>
          <w:rFonts w:eastAsiaTheme="minorEastAsia"/>
          <w:bCs/>
          <w:szCs w:val="21"/>
        </w:rPr>
        <w:t>。通讯开会应以</w:t>
      </w:r>
      <w:r>
        <w:rPr>
          <w:rFonts w:eastAsiaTheme="minorEastAsia"/>
          <w:szCs w:val="21"/>
        </w:rPr>
        <w:t>书面方式或会议通知约定的其他方式</w:t>
      </w:r>
      <w:r>
        <w:rPr>
          <w:rFonts w:eastAsiaTheme="minorEastAsia"/>
          <w:bCs/>
          <w:szCs w:val="21"/>
        </w:rPr>
        <w:t>进行表决。</w:t>
      </w:r>
    </w:p>
    <w:p>
      <w:pPr>
        <w:spacing w:line="360" w:lineRule="auto"/>
        <w:ind w:firstLine="420" w:firstLineChars="200"/>
        <w:rPr>
          <w:rFonts w:eastAsiaTheme="minorEastAsia"/>
          <w:bCs/>
          <w:szCs w:val="21"/>
        </w:rPr>
      </w:pPr>
      <w:r>
        <w:rPr>
          <w:rFonts w:eastAsiaTheme="minorEastAsia"/>
          <w:bCs/>
          <w:szCs w:val="21"/>
        </w:rPr>
        <w:t>在同时符合以下条件时，通讯开会的方式视为有效：</w:t>
      </w:r>
    </w:p>
    <w:p>
      <w:pPr>
        <w:spacing w:line="360" w:lineRule="auto"/>
        <w:ind w:firstLine="420" w:firstLineChars="200"/>
        <w:rPr>
          <w:rFonts w:eastAsiaTheme="minorEastAsia"/>
          <w:bCs/>
          <w:szCs w:val="21"/>
        </w:rPr>
      </w:pPr>
      <w:r>
        <w:rPr>
          <w:rFonts w:eastAsiaTheme="minorEastAsia"/>
          <w:bCs/>
          <w:szCs w:val="21"/>
        </w:rPr>
        <w:t>（1）会议召集人按《基金合同》约定公布会议通知后，在</w:t>
      </w:r>
      <w:r>
        <w:rPr>
          <w:rFonts w:eastAsiaTheme="minorEastAsia"/>
          <w:szCs w:val="21"/>
        </w:rPr>
        <w:t>2个工作日</w:t>
      </w:r>
      <w:r>
        <w:rPr>
          <w:rFonts w:eastAsiaTheme="minorEastAsia"/>
          <w:bCs/>
          <w:szCs w:val="21"/>
        </w:rPr>
        <w:t>内连续公布相关提示性公告</w:t>
      </w:r>
      <w:r>
        <w:rPr>
          <w:rFonts w:hint="eastAsia" w:eastAsiaTheme="minorEastAsia"/>
          <w:bCs/>
          <w:szCs w:val="21"/>
        </w:rPr>
        <w:t>，法律法规及监管机构另有规定的除外</w:t>
      </w:r>
      <w:r>
        <w:rPr>
          <w:rFonts w:eastAsiaTheme="minorEastAsia"/>
          <w:bCs/>
          <w:szCs w:val="21"/>
        </w:rPr>
        <w:t>；</w:t>
      </w:r>
    </w:p>
    <w:p>
      <w:pPr>
        <w:spacing w:line="360" w:lineRule="auto"/>
        <w:ind w:firstLine="420" w:firstLineChars="200"/>
        <w:rPr>
          <w:rFonts w:eastAsiaTheme="minorEastAsia"/>
          <w:bCs/>
          <w:szCs w:val="21"/>
        </w:rPr>
      </w:pPr>
      <w:r>
        <w:rPr>
          <w:rFonts w:eastAsiaTheme="minorEastAsia"/>
          <w:bCs/>
          <w:szCs w:val="21"/>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72" w:firstLineChars="225"/>
        <w:rPr>
          <w:rFonts w:eastAsiaTheme="minorEastAsia"/>
          <w:bCs/>
          <w:szCs w:val="21"/>
        </w:rPr>
      </w:pPr>
      <w:r>
        <w:rPr>
          <w:rFonts w:eastAsiaTheme="minorEastAsia"/>
          <w:bCs/>
          <w:szCs w:val="21"/>
        </w:rPr>
        <w:t>（3）本人直接出具</w:t>
      </w:r>
      <w:r>
        <w:rPr>
          <w:rFonts w:hint="eastAsia"/>
          <w:bCs/>
          <w:szCs w:val="21"/>
        </w:rPr>
        <w:t>表决</w:t>
      </w:r>
      <w:r>
        <w:rPr>
          <w:rFonts w:eastAsiaTheme="minorEastAsia"/>
          <w:bCs/>
          <w:szCs w:val="21"/>
        </w:rPr>
        <w:t>意见或授权他人代表出具</w:t>
      </w:r>
      <w:r>
        <w:rPr>
          <w:rFonts w:hint="eastAsia"/>
          <w:bCs/>
          <w:szCs w:val="21"/>
        </w:rPr>
        <w:t>表决</w:t>
      </w:r>
      <w:r>
        <w:rPr>
          <w:rFonts w:eastAsiaTheme="minorEastAsia"/>
          <w:bCs/>
          <w:szCs w:val="21"/>
        </w:rPr>
        <w:t>意见的，基金份额持有人所持有的基金份额不小于在权益登记日基金总份额的</w:t>
      </w:r>
      <w:r>
        <w:rPr>
          <w:rFonts w:eastAsiaTheme="minorEastAsia"/>
          <w:szCs w:val="21"/>
        </w:rPr>
        <w:t>二分之一（含二分之一）</w:t>
      </w:r>
      <w:r>
        <w:rPr>
          <w:rFonts w:eastAsiaTheme="minorEastAsia"/>
          <w:bCs/>
          <w:szCs w:val="21"/>
        </w:rPr>
        <w:t>；若本人直接出具</w:t>
      </w:r>
      <w:r>
        <w:rPr>
          <w:rFonts w:hint="eastAsia"/>
          <w:bCs/>
          <w:szCs w:val="21"/>
        </w:rPr>
        <w:t>表决</w:t>
      </w:r>
      <w:r>
        <w:rPr>
          <w:rFonts w:eastAsiaTheme="minorEastAsia"/>
          <w:bCs/>
          <w:szCs w:val="21"/>
        </w:rPr>
        <w:t>意见或授权他人代表出具</w:t>
      </w:r>
      <w:r>
        <w:rPr>
          <w:rFonts w:hint="eastAsia"/>
          <w:bCs/>
          <w:szCs w:val="21"/>
        </w:rPr>
        <w:t>表决</w:t>
      </w:r>
      <w:r>
        <w:rPr>
          <w:rFonts w:eastAsiaTheme="minorEastAsia"/>
          <w:bCs/>
          <w:szCs w:val="21"/>
        </w:rPr>
        <w:t>意见</w:t>
      </w:r>
      <w:r>
        <w:rPr>
          <w:rFonts w:hint="eastAsia" w:eastAsiaTheme="minorEastAsia"/>
          <w:bCs/>
          <w:szCs w:val="21"/>
        </w:rPr>
        <w:t>的</w:t>
      </w:r>
      <w:r>
        <w:rPr>
          <w:rFonts w:eastAsiaTheme="minorEastAsia"/>
          <w:bCs/>
          <w:szCs w:val="21"/>
        </w:rPr>
        <w:t>基金份额持有人所持有的基金份额小于在权益登记日基金总份额的</w:t>
      </w:r>
      <w:r>
        <w:rPr>
          <w:rFonts w:eastAsiaTheme="minorEastAsia"/>
          <w:szCs w:val="21"/>
        </w:rPr>
        <w:t>二分之一</w:t>
      </w:r>
      <w:r>
        <w:rPr>
          <w:rFonts w:eastAsiaTheme="minorEastAsia"/>
          <w:bCs/>
          <w:szCs w:val="21"/>
        </w:rPr>
        <w:t>，召集人可以在原公告的基金份额持有人大会召开时间的</w:t>
      </w:r>
      <w:r>
        <w:rPr>
          <w:rFonts w:eastAsiaTheme="minorEastAsia"/>
          <w:szCs w:val="21"/>
        </w:rPr>
        <w:t>3个月以后、6个月以内</w:t>
      </w:r>
      <w:r>
        <w:rPr>
          <w:rFonts w:eastAsiaTheme="minorEastAsia"/>
          <w:bCs/>
          <w:szCs w:val="21"/>
        </w:rPr>
        <w:t>，就原定审议事项重新召集基金份额持有人大会。重新召集的基金份额持有人大会应当有代表</w:t>
      </w:r>
      <w:r>
        <w:rPr>
          <w:rFonts w:eastAsiaTheme="minorEastAsia"/>
          <w:szCs w:val="21"/>
        </w:rPr>
        <w:t>三分之一以上（含三分之一）</w:t>
      </w:r>
      <w:r>
        <w:rPr>
          <w:rFonts w:eastAsiaTheme="minorEastAsia"/>
          <w:bCs/>
          <w:szCs w:val="21"/>
        </w:rPr>
        <w:t>基金份额的持有人直接出具</w:t>
      </w:r>
      <w:r>
        <w:rPr>
          <w:rFonts w:hint="eastAsia"/>
          <w:bCs/>
          <w:szCs w:val="21"/>
        </w:rPr>
        <w:t>表决</w:t>
      </w:r>
      <w:r>
        <w:rPr>
          <w:rFonts w:eastAsiaTheme="minorEastAsia"/>
          <w:bCs/>
          <w:szCs w:val="21"/>
        </w:rPr>
        <w:t>意见或授权他人代表出具</w:t>
      </w:r>
      <w:r>
        <w:rPr>
          <w:rFonts w:hint="eastAsia"/>
          <w:bCs/>
          <w:szCs w:val="21"/>
        </w:rPr>
        <w:t>表决</w:t>
      </w:r>
      <w:r>
        <w:rPr>
          <w:rFonts w:eastAsiaTheme="minorEastAsia"/>
          <w:bCs/>
          <w:szCs w:val="21"/>
        </w:rPr>
        <w:t>意见；</w:t>
      </w:r>
    </w:p>
    <w:p>
      <w:pPr>
        <w:spacing w:line="360" w:lineRule="auto"/>
        <w:ind w:firstLine="420" w:firstLineChars="200"/>
        <w:rPr>
          <w:rFonts w:eastAsiaTheme="minorEastAsia"/>
          <w:bCs/>
          <w:szCs w:val="21"/>
        </w:rPr>
      </w:pPr>
      <w:r>
        <w:rPr>
          <w:rFonts w:eastAsiaTheme="minorEastAsia"/>
          <w:bCs/>
          <w:szCs w:val="21"/>
        </w:rPr>
        <w:t>（4）上述第（3）项中直接出具</w:t>
      </w:r>
      <w:r>
        <w:rPr>
          <w:rFonts w:hint="eastAsia"/>
          <w:bCs/>
          <w:szCs w:val="21"/>
        </w:rPr>
        <w:t>表决</w:t>
      </w:r>
      <w:r>
        <w:rPr>
          <w:rFonts w:eastAsiaTheme="minorEastAsia"/>
          <w:bCs/>
          <w:szCs w:val="21"/>
        </w:rPr>
        <w:t>意见的基金份额持有人或受托代表他人出具</w:t>
      </w:r>
      <w:r>
        <w:rPr>
          <w:rFonts w:hint="eastAsia"/>
          <w:bCs/>
          <w:szCs w:val="21"/>
        </w:rPr>
        <w:t>表决</w:t>
      </w:r>
      <w:r>
        <w:rPr>
          <w:rFonts w:eastAsiaTheme="minorEastAsia"/>
          <w:bCs/>
          <w:szCs w:val="21"/>
        </w:rPr>
        <w:t>意见的代理人，同时提交的持有基金份额的凭证、受托出具</w:t>
      </w:r>
      <w:r>
        <w:rPr>
          <w:rFonts w:hint="eastAsia"/>
          <w:bCs/>
          <w:szCs w:val="21"/>
        </w:rPr>
        <w:t>表决</w:t>
      </w:r>
      <w:r>
        <w:rPr>
          <w:rFonts w:eastAsiaTheme="minorEastAsia"/>
          <w:bCs/>
          <w:szCs w:val="21"/>
        </w:rPr>
        <w:t>意见的代理人出具的委托人持有基金份额的凭证及委托人的代理投票授权委托证明符合法律法规、《基金合同》和会议通知的规定，并与基金登记机构记录相符。</w:t>
      </w:r>
    </w:p>
    <w:p>
      <w:pPr>
        <w:spacing w:line="360" w:lineRule="auto"/>
        <w:ind w:firstLine="420" w:firstLineChars="200"/>
        <w:rPr>
          <w:rFonts w:eastAsiaTheme="minorEastAsia"/>
          <w:bCs/>
          <w:szCs w:val="21"/>
        </w:rPr>
      </w:pPr>
      <w:r>
        <w:rPr>
          <w:rFonts w:eastAsiaTheme="minorEastAsia"/>
          <w:bCs/>
          <w:szCs w:val="21"/>
        </w:rPr>
        <w:t>3、在法律法规或监管机构允许的情况下，经会议通知载明，基金份额持有人也可以采用网络、电话或其他</w:t>
      </w:r>
      <w:r>
        <w:rPr>
          <w:bCs/>
          <w:szCs w:val="21"/>
        </w:rPr>
        <w:t>非现场</w:t>
      </w:r>
      <w:r>
        <w:rPr>
          <w:rFonts w:eastAsiaTheme="minorEastAsia"/>
          <w:bCs/>
          <w:szCs w:val="21"/>
        </w:rPr>
        <w:t>方式进行表决，或者采用网络、电话或其他</w:t>
      </w:r>
      <w:r>
        <w:rPr>
          <w:bCs/>
          <w:szCs w:val="21"/>
        </w:rPr>
        <w:t>非书面</w:t>
      </w:r>
      <w:r>
        <w:rPr>
          <w:rFonts w:eastAsiaTheme="minorEastAsia"/>
          <w:bCs/>
          <w:szCs w:val="21"/>
        </w:rPr>
        <w:t>方式授权他人代为出席会议并表决</w:t>
      </w:r>
      <w:r>
        <w:rPr>
          <w:rFonts w:hint="eastAsia" w:eastAsiaTheme="minorEastAsia"/>
          <w:bCs/>
          <w:szCs w:val="21"/>
        </w:rPr>
        <w:t>，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r>
        <w:rPr>
          <w:rFonts w:eastAsiaTheme="minorEastAsia"/>
          <w:bCs/>
          <w:szCs w:val="21"/>
        </w:rPr>
        <w:t>。</w:t>
      </w:r>
    </w:p>
    <w:p>
      <w:pPr>
        <w:spacing w:line="360" w:lineRule="auto"/>
        <w:ind w:firstLine="420" w:firstLineChars="200"/>
        <w:rPr>
          <w:rFonts w:eastAsiaTheme="minorEastAsia"/>
          <w:bCs/>
          <w:szCs w:val="21"/>
        </w:rPr>
      </w:pPr>
      <w:r>
        <w:rPr>
          <w:rFonts w:eastAsiaTheme="minorEastAsia"/>
          <w:bCs/>
          <w:szCs w:val="21"/>
        </w:rPr>
        <w:t>五、议事内容与程序</w:t>
      </w:r>
    </w:p>
    <w:p>
      <w:pPr>
        <w:spacing w:line="360" w:lineRule="auto"/>
        <w:ind w:firstLine="420" w:firstLineChars="200"/>
        <w:rPr>
          <w:rFonts w:eastAsiaTheme="minorEastAsia"/>
          <w:bCs/>
          <w:szCs w:val="21"/>
        </w:rPr>
      </w:pPr>
      <w:r>
        <w:rPr>
          <w:rFonts w:eastAsiaTheme="minorEastAsia"/>
          <w:bCs/>
          <w:szCs w:val="21"/>
        </w:rPr>
        <w:t>1、议事内容及提案权</w:t>
      </w:r>
    </w:p>
    <w:p>
      <w:pPr>
        <w:spacing w:line="360" w:lineRule="auto"/>
        <w:ind w:firstLine="420" w:firstLineChars="200"/>
        <w:rPr>
          <w:rFonts w:eastAsiaTheme="minorEastAsia"/>
          <w:bCs/>
          <w:szCs w:val="21"/>
        </w:rPr>
      </w:pPr>
      <w:r>
        <w:rPr>
          <w:rFonts w:eastAsiaTheme="minorEastAsia"/>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spacing w:line="360" w:lineRule="auto"/>
        <w:ind w:firstLine="420" w:firstLineChars="200"/>
        <w:rPr>
          <w:rFonts w:eastAsiaTheme="minorEastAsia"/>
          <w:bCs/>
          <w:szCs w:val="21"/>
        </w:rPr>
      </w:pPr>
      <w:r>
        <w:rPr>
          <w:rFonts w:eastAsiaTheme="minorEastAsia"/>
          <w:bCs/>
          <w:szCs w:val="21"/>
        </w:rPr>
        <w:t>基金份额持有人大会的召集人发出召集会议的通知后，对原有提案的修改应当在基金份额持有人大会召开前及时公告。</w:t>
      </w:r>
    </w:p>
    <w:p>
      <w:pPr>
        <w:spacing w:line="360" w:lineRule="auto"/>
        <w:ind w:firstLine="420" w:firstLineChars="200"/>
        <w:rPr>
          <w:rFonts w:eastAsiaTheme="minorEastAsia"/>
          <w:bCs/>
          <w:szCs w:val="21"/>
        </w:rPr>
      </w:pPr>
      <w:r>
        <w:rPr>
          <w:rFonts w:eastAsiaTheme="minorEastAsia"/>
          <w:bCs/>
          <w:szCs w:val="21"/>
        </w:rPr>
        <w:t>基金份额持有人大会不得对未事先公告的议事内容进行表决。</w:t>
      </w:r>
    </w:p>
    <w:p>
      <w:pPr>
        <w:spacing w:line="360" w:lineRule="auto"/>
        <w:ind w:firstLine="420" w:firstLineChars="200"/>
        <w:rPr>
          <w:rFonts w:eastAsiaTheme="minorEastAsia"/>
          <w:bCs/>
          <w:szCs w:val="21"/>
        </w:rPr>
      </w:pPr>
      <w:r>
        <w:rPr>
          <w:rFonts w:eastAsiaTheme="minorEastAsia"/>
          <w:bCs/>
          <w:szCs w:val="21"/>
        </w:rPr>
        <w:t>2、议事程序</w:t>
      </w:r>
    </w:p>
    <w:p>
      <w:pPr>
        <w:spacing w:line="360" w:lineRule="auto"/>
        <w:ind w:firstLine="420" w:firstLineChars="200"/>
        <w:rPr>
          <w:rFonts w:eastAsiaTheme="minorEastAsia"/>
          <w:bCs/>
          <w:szCs w:val="21"/>
        </w:rPr>
      </w:pPr>
      <w:r>
        <w:rPr>
          <w:rFonts w:eastAsiaTheme="minorEastAsia"/>
          <w:bCs/>
          <w:szCs w:val="21"/>
        </w:rPr>
        <w:t>（1）现场开会</w:t>
      </w:r>
    </w:p>
    <w:p>
      <w:pPr>
        <w:spacing w:line="360" w:lineRule="auto"/>
        <w:ind w:firstLine="420" w:firstLineChars="200"/>
        <w:rPr>
          <w:rFonts w:eastAsiaTheme="minorEastAsia"/>
          <w:bCs/>
          <w:szCs w:val="21"/>
        </w:rPr>
      </w:pPr>
      <w:r>
        <w:rPr>
          <w:rFonts w:eastAsiaTheme="minor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eastAsiaTheme="minorEastAsia"/>
          <w:szCs w:val="21"/>
        </w:rPr>
        <w:t>50%以上（含50%）</w:t>
      </w:r>
      <w:r>
        <w:rPr>
          <w:rFonts w:eastAsiaTheme="minorEastAsia"/>
          <w:bCs/>
          <w:szCs w:val="21"/>
        </w:rPr>
        <w:t>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20" w:firstLineChars="200"/>
        <w:rPr>
          <w:rFonts w:eastAsiaTheme="minorEastAsia"/>
          <w:bCs/>
          <w:szCs w:val="21"/>
        </w:rPr>
      </w:pPr>
      <w:r>
        <w:rPr>
          <w:rFonts w:eastAsiaTheme="minorEastAsia"/>
          <w:bCs/>
          <w:szCs w:val="21"/>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20" w:firstLineChars="200"/>
        <w:rPr>
          <w:rFonts w:eastAsiaTheme="minorEastAsia"/>
          <w:bCs/>
          <w:szCs w:val="21"/>
        </w:rPr>
      </w:pPr>
      <w:r>
        <w:rPr>
          <w:rFonts w:eastAsiaTheme="minorEastAsia"/>
          <w:bCs/>
          <w:szCs w:val="21"/>
        </w:rPr>
        <w:t>（2）通讯开会</w:t>
      </w:r>
    </w:p>
    <w:p>
      <w:pPr>
        <w:spacing w:line="360" w:lineRule="auto"/>
        <w:ind w:firstLine="420" w:firstLineChars="200"/>
        <w:rPr>
          <w:rFonts w:eastAsiaTheme="minorEastAsia"/>
          <w:bCs/>
          <w:szCs w:val="21"/>
        </w:rPr>
      </w:pPr>
      <w:r>
        <w:rPr>
          <w:rFonts w:eastAsiaTheme="minorEastAsia"/>
          <w:bCs/>
          <w:szCs w:val="21"/>
        </w:rPr>
        <w:t>在通讯开会的情况下，首先由召集人</w:t>
      </w:r>
      <w:r>
        <w:rPr>
          <w:rFonts w:hint="eastAsia" w:eastAsiaTheme="minorEastAsia"/>
          <w:bCs/>
          <w:szCs w:val="21"/>
        </w:rPr>
        <w:t>至少</w:t>
      </w:r>
      <w:r>
        <w:rPr>
          <w:rFonts w:eastAsiaTheme="minorEastAsia"/>
          <w:bCs/>
          <w:szCs w:val="21"/>
        </w:rPr>
        <w:t>提前</w:t>
      </w:r>
      <w:r>
        <w:rPr>
          <w:rFonts w:eastAsiaTheme="minorEastAsia"/>
          <w:szCs w:val="21"/>
        </w:rPr>
        <w:t>30日</w:t>
      </w:r>
      <w:r>
        <w:rPr>
          <w:rFonts w:eastAsiaTheme="minorEastAsia"/>
          <w:bCs/>
          <w:szCs w:val="21"/>
        </w:rPr>
        <w:t>公布提案，在所通知的表决截止日期后</w:t>
      </w:r>
      <w:r>
        <w:rPr>
          <w:rFonts w:eastAsiaTheme="minorEastAsia"/>
          <w:szCs w:val="21"/>
        </w:rPr>
        <w:t>2个工作日</w:t>
      </w:r>
      <w:r>
        <w:rPr>
          <w:rFonts w:eastAsiaTheme="minorEastAsia"/>
          <w:bCs/>
          <w:szCs w:val="21"/>
        </w:rPr>
        <w:t>内在公证机关监督下由召集人统计全部有效表决，在公证机关监督下形成决议。</w:t>
      </w:r>
    </w:p>
    <w:p>
      <w:pPr>
        <w:spacing w:line="360" w:lineRule="auto"/>
        <w:ind w:firstLine="420" w:firstLineChars="200"/>
        <w:rPr>
          <w:rFonts w:eastAsiaTheme="minorEastAsia"/>
          <w:bCs/>
          <w:szCs w:val="21"/>
        </w:rPr>
      </w:pPr>
      <w:r>
        <w:rPr>
          <w:rFonts w:eastAsiaTheme="minorEastAsia"/>
          <w:bCs/>
          <w:szCs w:val="21"/>
        </w:rPr>
        <w:t>六、表决</w:t>
      </w:r>
    </w:p>
    <w:p>
      <w:pPr>
        <w:spacing w:line="360" w:lineRule="auto"/>
        <w:ind w:firstLine="420" w:firstLineChars="200"/>
        <w:rPr>
          <w:rFonts w:eastAsiaTheme="minorEastAsia"/>
          <w:bCs/>
          <w:szCs w:val="21"/>
        </w:rPr>
      </w:pPr>
      <w:r>
        <w:rPr>
          <w:rFonts w:eastAsiaTheme="minorEastAsia"/>
          <w:bCs/>
          <w:szCs w:val="21"/>
        </w:rPr>
        <w:t>基金份额持有人所持每份基金份额有一票表决权。</w:t>
      </w:r>
    </w:p>
    <w:p>
      <w:pPr>
        <w:spacing w:line="360" w:lineRule="auto"/>
        <w:ind w:firstLine="420" w:firstLineChars="200"/>
        <w:rPr>
          <w:rFonts w:eastAsiaTheme="minorEastAsia"/>
          <w:bCs/>
          <w:szCs w:val="21"/>
        </w:rPr>
      </w:pPr>
      <w:r>
        <w:rPr>
          <w:rFonts w:eastAsiaTheme="minorEastAsia"/>
          <w:bCs/>
          <w:szCs w:val="21"/>
        </w:rPr>
        <w:t>基金份额持有人大会决议分为一般决议和特别决议：</w:t>
      </w:r>
    </w:p>
    <w:p>
      <w:pPr>
        <w:spacing w:line="360" w:lineRule="auto"/>
        <w:ind w:firstLine="420" w:firstLineChars="200"/>
        <w:rPr>
          <w:rFonts w:eastAsiaTheme="minorEastAsia"/>
          <w:bCs/>
          <w:szCs w:val="21"/>
        </w:rPr>
      </w:pPr>
      <w:r>
        <w:rPr>
          <w:rFonts w:eastAsiaTheme="minorEastAsia"/>
          <w:bCs/>
          <w:szCs w:val="21"/>
        </w:rPr>
        <w:t>1、一般决议，一般决议须经参加大会的基金份额持有人或其代理人所持表决权的</w:t>
      </w:r>
      <w:r>
        <w:rPr>
          <w:rFonts w:eastAsiaTheme="minorEastAsia"/>
          <w:szCs w:val="21"/>
        </w:rPr>
        <w:t>二分之一以上（含二分之一）</w:t>
      </w:r>
      <w:r>
        <w:rPr>
          <w:rFonts w:eastAsiaTheme="minorEastAsia"/>
          <w:bCs/>
          <w:szCs w:val="21"/>
        </w:rPr>
        <w:t>通过方为有效；除下列第2项所规定的须以特别决议通过事项以外的其他事项均以一般决议的方式通过。</w:t>
      </w:r>
    </w:p>
    <w:p>
      <w:pPr>
        <w:spacing w:line="360" w:lineRule="auto"/>
        <w:ind w:firstLine="420" w:firstLineChars="200"/>
        <w:rPr>
          <w:rFonts w:eastAsiaTheme="minorEastAsia"/>
          <w:bCs/>
          <w:szCs w:val="21"/>
        </w:rPr>
      </w:pPr>
      <w:r>
        <w:rPr>
          <w:rFonts w:eastAsiaTheme="minorEastAsia"/>
          <w:bCs/>
          <w:szCs w:val="21"/>
        </w:rPr>
        <w:t>2、特别决议，特别决议应当经参加大会的基金份额持有人或其代理人所持表决权的</w:t>
      </w:r>
      <w:r>
        <w:rPr>
          <w:rFonts w:eastAsiaTheme="minorEastAsia"/>
          <w:szCs w:val="21"/>
        </w:rPr>
        <w:t>三分之二以上（含三分之二）</w:t>
      </w:r>
      <w:r>
        <w:rPr>
          <w:rFonts w:eastAsiaTheme="minorEastAsia"/>
          <w:bCs/>
          <w:szCs w:val="21"/>
        </w:rPr>
        <w:t>通过方可做出。</w:t>
      </w:r>
      <w:r>
        <w:rPr>
          <w:rFonts w:hint="eastAsia" w:eastAsiaTheme="minorEastAsia"/>
          <w:bCs/>
          <w:szCs w:val="21"/>
        </w:rPr>
        <w:t>除法律法规、中国证监会另有规定或基金合同另有约定外，</w:t>
      </w:r>
      <w:r>
        <w:rPr>
          <w:rFonts w:eastAsiaTheme="minorEastAsia"/>
          <w:bCs/>
          <w:szCs w:val="21"/>
        </w:rPr>
        <w:t>转换基金运作方式、更换基金管理人或者基金托管人、终止《基金合同》、</w:t>
      </w:r>
      <w:r>
        <w:rPr>
          <w:rFonts w:eastAsiaTheme="minorEastAsia"/>
          <w:szCs w:val="21"/>
        </w:rPr>
        <w:t>本基金与其他基金合并</w:t>
      </w:r>
      <w:r>
        <w:rPr>
          <w:rFonts w:eastAsiaTheme="minorEastAsia"/>
          <w:bCs/>
          <w:szCs w:val="21"/>
        </w:rPr>
        <w:t>以特别决议通过方为有效。</w:t>
      </w:r>
    </w:p>
    <w:p>
      <w:pPr>
        <w:spacing w:line="360" w:lineRule="auto"/>
        <w:ind w:firstLine="420" w:firstLineChars="200"/>
        <w:rPr>
          <w:rFonts w:eastAsiaTheme="minorEastAsia"/>
          <w:bCs/>
          <w:szCs w:val="21"/>
        </w:rPr>
      </w:pPr>
      <w:r>
        <w:rPr>
          <w:rFonts w:eastAsiaTheme="minorEastAsia"/>
          <w:bCs/>
          <w:szCs w:val="21"/>
        </w:rPr>
        <w:t>基金份额持有人大会采取记名方式进行投票表决。</w:t>
      </w:r>
    </w:p>
    <w:p>
      <w:pPr>
        <w:spacing w:line="360" w:lineRule="auto"/>
        <w:ind w:firstLine="420" w:firstLineChars="200"/>
        <w:rPr>
          <w:rFonts w:eastAsiaTheme="minorEastAsia"/>
          <w:bCs/>
          <w:szCs w:val="21"/>
        </w:rPr>
      </w:pPr>
      <w:r>
        <w:rPr>
          <w:rFonts w:eastAsiaTheme="minorEastAsia"/>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eastAsiaTheme="minorEastAsia"/>
          <w:bCs/>
          <w:szCs w:val="21"/>
        </w:rPr>
        <w:t>表决</w:t>
      </w:r>
      <w:r>
        <w:rPr>
          <w:rFonts w:eastAsiaTheme="minorEastAsia"/>
          <w:bCs/>
          <w:szCs w:val="21"/>
        </w:rPr>
        <w:t>意见的基金份额持有人所代表的基金份额总数。</w:t>
      </w:r>
    </w:p>
    <w:p>
      <w:pPr>
        <w:spacing w:line="360" w:lineRule="auto"/>
        <w:ind w:firstLine="420" w:firstLineChars="200"/>
        <w:rPr>
          <w:rFonts w:eastAsiaTheme="minorEastAsia"/>
          <w:bCs/>
          <w:szCs w:val="21"/>
        </w:rPr>
      </w:pPr>
      <w:r>
        <w:rPr>
          <w:rFonts w:eastAsiaTheme="minorEastAsia"/>
          <w:bCs/>
          <w:szCs w:val="21"/>
        </w:rPr>
        <w:t>基金份额持有人大会的各项提案或同一项提案内并列的各项议题应当分开审议、逐项表决。</w:t>
      </w:r>
    </w:p>
    <w:p>
      <w:pPr>
        <w:spacing w:line="360" w:lineRule="auto"/>
        <w:ind w:firstLine="420" w:firstLineChars="200"/>
        <w:rPr>
          <w:rFonts w:eastAsiaTheme="minorEastAsia"/>
          <w:bCs/>
          <w:szCs w:val="21"/>
        </w:rPr>
      </w:pPr>
      <w:r>
        <w:rPr>
          <w:rFonts w:eastAsiaTheme="minorEastAsia"/>
          <w:bCs/>
          <w:szCs w:val="21"/>
        </w:rPr>
        <w:t>七、计票</w:t>
      </w:r>
    </w:p>
    <w:p>
      <w:pPr>
        <w:spacing w:line="360" w:lineRule="auto"/>
        <w:ind w:firstLine="420" w:firstLineChars="200"/>
        <w:rPr>
          <w:rFonts w:eastAsiaTheme="minorEastAsia"/>
          <w:bCs/>
          <w:szCs w:val="21"/>
        </w:rPr>
      </w:pPr>
      <w:r>
        <w:rPr>
          <w:rFonts w:eastAsiaTheme="minorEastAsia"/>
          <w:bCs/>
          <w:szCs w:val="21"/>
        </w:rPr>
        <w:t>1、现场开会</w:t>
      </w:r>
    </w:p>
    <w:p>
      <w:pPr>
        <w:spacing w:line="360" w:lineRule="auto"/>
        <w:ind w:firstLine="420" w:firstLineChars="200"/>
        <w:rPr>
          <w:rFonts w:eastAsiaTheme="minorEastAsia"/>
          <w:bCs/>
          <w:szCs w:val="21"/>
        </w:rPr>
      </w:pPr>
      <w:r>
        <w:rPr>
          <w:rFonts w:eastAsiaTheme="minor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20" w:firstLineChars="200"/>
        <w:rPr>
          <w:rFonts w:eastAsiaTheme="minorEastAsia"/>
          <w:bCs/>
          <w:szCs w:val="21"/>
        </w:rPr>
      </w:pPr>
      <w:r>
        <w:rPr>
          <w:rFonts w:eastAsiaTheme="minorEastAsia"/>
          <w:bCs/>
          <w:szCs w:val="21"/>
        </w:rPr>
        <w:t>（2）监票人应当在基金份额持有人表决后立即进行清点并由大会主持人当场公布计票结果。</w:t>
      </w:r>
    </w:p>
    <w:p>
      <w:pPr>
        <w:spacing w:line="360" w:lineRule="auto"/>
        <w:ind w:firstLine="420" w:firstLineChars="200"/>
        <w:rPr>
          <w:rFonts w:eastAsiaTheme="minorEastAsia"/>
          <w:bCs/>
          <w:szCs w:val="21"/>
        </w:rPr>
      </w:pPr>
      <w:r>
        <w:rPr>
          <w:rFonts w:eastAsiaTheme="minorEastAsia"/>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pacing w:line="360" w:lineRule="auto"/>
        <w:ind w:firstLine="420" w:firstLineChars="200"/>
        <w:rPr>
          <w:rFonts w:eastAsiaTheme="minorEastAsia"/>
          <w:bCs/>
          <w:szCs w:val="21"/>
        </w:rPr>
      </w:pPr>
      <w:r>
        <w:rPr>
          <w:rFonts w:eastAsiaTheme="minorEastAsia"/>
          <w:bCs/>
          <w:szCs w:val="21"/>
        </w:rPr>
        <w:t>（4）计票过程应由公证机关予以公证</w:t>
      </w:r>
      <w:r>
        <w:rPr>
          <w:rFonts w:hint="eastAsia" w:eastAsiaTheme="minorEastAsia"/>
          <w:bCs/>
          <w:szCs w:val="21"/>
        </w:rPr>
        <w:t>，</w:t>
      </w:r>
      <w:r>
        <w:rPr>
          <w:rFonts w:eastAsiaTheme="minorEastAsia"/>
          <w:bCs/>
          <w:szCs w:val="21"/>
        </w:rPr>
        <w:t>基金管理人或基金托管人拒不出席大会的，不影响计票的效力。</w:t>
      </w:r>
    </w:p>
    <w:p>
      <w:pPr>
        <w:spacing w:line="360" w:lineRule="auto"/>
        <w:ind w:firstLine="420" w:firstLineChars="200"/>
        <w:rPr>
          <w:rFonts w:eastAsiaTheme="minorEastAsia"/>
          <w:bCs/>
          <w:szCs w:val="21"/>
        </w:rPr>
      </w:pPr>
      <w:r>
        <w:rPr>
          <w:rFonts w:eastAsiaTheme="minorEastAsia"/>
          <w:bCs/>
          <w:szCs w:val="21"/>
        </w:rPr>
        <w:t>2、通讯开会</w:t>
      </w:r>
    </w:p>
    <w:p>
      <w:pPr>
        <w:spacing w:line="360" w:lineRule="auto"/>
        <w:ind w:firstLine="420" w:firstLineChars="200"/>
        <w:rPr>
          <w:rFonts w:eastAsiaTheme="minorEastAsia"/>
          <w:bCs/>
          <w:szCs w:val="21"/>
        </w:rPr>
      </w:pPr>
      <w:r>
        <w:rPr>
          <w:rFonts w:eastAsiaTheme="minor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pacing w:line="360" w:lineRule="auto"/>
        <w:ind w:firstLine="420" w:firstLineChars="200"/>
        <w:rPr>
          <w:rFonts w:eastAsiaTheme="minorEastAsia"/>
          <w:bCs/>
          <w:szCs w:val="21"/>
        </w:rPr>
      </w:pPr>
      <w:r>
        <w:rPr>
          <w:rFonts w:eastAsiaTheme="minorEastAsia"/>
          <w:bCs/>
          <w:szCs w:val="21"/>
        </w:rPr>
        <w:t>八、生效与公告</w:t>
      </w:r>
    </w:p>
    <w:p>
      <w:pPr>
        <w:spacing w:line="360" w:lineRule="auto"/>
        <w:ind w:firstLine="420" w:firstLineChars="200"/>
        <w:rPr>
          <w:rFonts w:eastAsiaTheme="minorEastAsia"/>
          <w:bCs/>
          <w:szCs w:val="21"/>
        </w:rPr>
      </w:pPr>
      <w:r>
        <w:rPr>
          <w:rFonts w:eastAsiaTheme="minorEastAsia"/>
          <w:bCs/>
          <w:szCs w:val="21"/>
        </w:rPr>
        <w:t>基金份额持有人大会的决议，召集人应当自通过之日起5日内报中国证监会备案。</w:t>
      </w:r>
    </w:p>
    <w:p>
      <w:pPr>
        <w:spacing w:line="360" w:lineRule="auto"/>
        <w:ind w:firstLine="420" w:firstLineChars="200"/>
        <w:rPr>
          <w:rFonts w:eastAsiaTheme="minorEastAsia"/>
          <w:bCs/>
          <w:szCs w:val="21"/>
        </w:rPr>
      </w:pPr>
      <w:r>
        <w:rPr>
          <w:rFonts w:eastAsiaTheme="minorEastAsia"/>
          <w:bCs/>
          <w:szCs w:val="21"/>
        </w:rPr>
        <w:t>基金份额持有人大会的决议</w:t>
      </w:r>
      <w:r>
        <w:rPr>
          <w:rFonts w:eastAsiaTheme="minorEastAsia"/>
          <w:szCs w:val="21"/>
        </w:rPr>
        <w:t>自表决通过之日起生效。</w:t>
      </w:r>
    </w:p>
    <w:p>
      <w:pPr>
        <w:spacing w:line="360" w:lineRule="auto"/>
        <w:ind w:firstLine="420" w:firstLineChars="200"/>
        <w:rPr>
          <w:rFonts w:eastAsiaTheme="minorEastAsia"/>
          <w:bCs/>
          <w:szCs w:val="21"/>
        </w:rPr>
      </w:pPr>
      <w:r>
        <w:rPr>
          <w:rFonts w:eastAsiaTheme="minorEastAsia"/>
          <w:bCs/>
          <w:szCs w:val="21"/>
        </w:rPr>
        <w:t>基金份额持有人大会决议自生效之日起2</w:t>
      </w:r>
      <w:r>
        <w:rPr>
          <w:rFonts w:eastAsiaTheme="minorEastAsia"/>
          <w:szCs w:val="21"/>
        </w:rPr>
        <w:t>日内按照法律法规和中国证监会相关规定的要求</w:t>
      </w:r>
      <w:r>
        <w:rPr>
          <w:rFonts w:eastAsiaTheme="minorEastAsia"/>
          <w:bCs/>
          <w:szCs w:val="21"/>
        </w:rPr>
        <w:t>在规定媒介上公告。</w:t>
      </w:r>
    </w:p>
    <w:p>
      <w:pPr>
        <w:spacing w:line="360" w:lineRule="auto"/>
        <w:ind w:firstLine="420" w:firstLineChars="200"/>
        <w:rPr>
          <w:rFonts w:eastAsiaTheme="minorEastAsia"/>
          <w:bCs/>
          <w:szCs w:val="21"/>
        </w:rPr>
      </w:pPr>
      <w:r>
        <w:rPr>
          <w:rFonts w:eastAsiaTheme="minorEastAsia"/>
          <w:bCs/>
          <w:szCs w:val="21"/>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20" w:firstLineChars="200"/>
        <w:jc w:val="left"/>
      </w:pPr>
      <w:r>
        <w:rPr>
          <w:rFonts w:eastAsiaTheme="minorEastAsia"/>
          <w:bCs/>
          <w:szCs w:val="21"/>
        </w:rPr>
        <w:t>九、</w:t>
      </w:r>
      <w:r>
        <w:rPr>
          <w:rFonts w:hint="eastAsia"/>
        </w:rPr>
        <w:t>基金管理人代表本基金出席本基金投资的基金的基金份额持有人大会并参与表决的特别约定</w:t>
      </w:r>
    </w:p>
    <w:p>
      <w:pPr>
        <w:spacing w:line="360" w:lineRule="auto"/>
        <w:ind w:firstLine="420" w:firstLineChars="200"/>
      </w:pPr>
      <w:r>
        <w:rPr>
          <w:rFonts w:hint="eastAsia"/>
        </w:rPr>
        <w:t>本基金持有的基金召开基金份额持有人大会时，基金管理人应当代表本基金份额持有人的利益参与所持有基金的基金份额持有人大会，并在遵循本基金份额持有人利益优先原则的前提下行使相关投票权利。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法律法规或监管部门另有规定的从其规定。</w:t>
      </w:r>
    </w:p>
    <w:p>
      <w:pPr>
        <w:spacing w:line="360" w:lineRule="auto"/>
        <w:ind w:firstLine="420" w:firstLineChars="200"/>
        <w:jc w:val="left"/>
      </w:pPr>
      <w:r>
        <w:rPr>
          <w:rFonts w:hint="eastAsia"/>
        </w:rPr>
        <w:t>在遵循本基金基金份额持有人利益优先原则的前提下，本基金的基金管理人可代表本基金的基金份额持有人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或监管部门另有规定的从其规定。</w:t>
      </w:r>
    </w:p>
    <w:p>
      <w:pPr>
        <w:spacing w:line="360" w:lineRule="auto"/>
        <w:ind w:firstLine="420" w:firstLineChars="200"/>
        <w:jc w:val="left"/>
        <w:rPr>
          <w:rFonts w:eastAsiaTheme="minorEastAsia"/>
          <w:bCs/>
          <w:szCs w:val="21"/>
        </w:rPr>
      </w:pPr>
      <w:r>
        <w:rPr>
          <w:rFonts w:eastAsiaTheme="minorEastAsia"/>
          <w:bCs/>
          <w:szCs w:val="21"/>
        </w:rPr>
        <w:t>十、</w:t>
      </w:r>
      <w:r>
        <w:rPr>
          <w:rFonts w:hint="eastAsia" w:eastAsiaTheme="minorEastAsia"/>
          <w:bCs/>
          <w:szCs w:val="21"/>
        </w:rPr>
        <w:t>本部分关于基金份额持有人大会召开事由、召开条件、议事程序、表决条件等规定，凡与将来颁布的涉及基金份额持有人大会规定的法律法规不一致的，基金管理人提前公告后，可直接对本部分内容进行修改和调整，而无需召开基金份额持有人大会</w:t>
      </w:r>
      <w:r>
        <w:rPr>
          <w:rFonts w:eastAsiaTheme="minorEastAsia"/>
          <w:bCs/>
          <w:szCs w:val="21"/>
        </w:rPr>
        <w:t>。</w:t>
      </w:r>
    </w:p>
    <w:p>
      <w:pPr>
        <w:spacing w:line="360" w:lineRule="auto"/>
        <w:ind w:firstLine="420" w:firstLineChars="200"/>
        <w:jc w:val="left"/>
        <w:rPr>
          <w:rFonts w:eastAsiaTheme="minorEastAsia"/>
          <w:bCs/>
          <w:szCs w:val="21"/>
        </w:rPr>
      </w:pPr>
      <w:r>
        <w:rPr>
          <w:rFonts w:eastAsiaTheme="minorEastAsia"/>
          <w:bCs/>
          <w:szCs w:val="21"/>
        </w:rPr>
        <w:t>十一、实施侧袋机制期间基金份额持有人大会的特殊约定</w:t>
      </w:r>
    </w:p>
    <w:p>
      <w:pPr>
        <w:spacing w:line="360" w:lineRule="auto"/>
        <w:ind w:firstLine="420" w:firstLineChars="200"/>
        <w:jc w:val="left"/>
        <w:rPr>
          <w:rFonts w:eastAsiaTheme="minorEastAsia"/>
          <w:bCs/>
          <w:szCs w:val="21"/>
        </w:rPr>
      </w:pPr>
      <w:r>
        <w:rPr>
          <w:rFonts w:eastAsiaTheme="minor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20" w:firstLineChars="200"/>
        <w:jc w:val="left"/>
        <w:rPr>
          <w:rFonts w:eastAsiaTheme="minorEastAsia"/>
          <w:bCs/>
          <w:szCs w:val="21"/>
        </w:rPr>
      </w:pPr>
      <w:r>
        <w:rPr>
          <w:rFonts w:eastAsiaTheme="minorEastAsia"/>
          <w:bCs/>
          <w:szCs w:val="21"/>
        </w:rPr>
        <w:t>1、基金份额持有人行使提议权、召集权、提名权需单独或合计代表相关基金份额10%以上（含10%）；</w:t>
      </w:r>
    </w:p>
    <w:p>
      <w:pPr>
        <w:spacing w:line="360" w:lineRule="auto"/>
        <w:ind w:firstLine="420" w:firstLineChars="200"/>
        <w:jc w:val="left"/>
        <w:rPr>
          <w:rFonts w:eastAsiaTheme="minorEastAsia"/>
          <w:bCs/>
          <w:szCs w:val="21"/>
        </w:rPr>
      </w:pPr>
      <w:r>
        <w:rPr>
          <w:rFonts w:eastAsiaTheme="minorEastAsia"/>
          <w:bCs/>
          <w:szCs w:val="21"/>
        </w:rPr>
        <w:t>2、现场开会的到会者在权益登记日代表的基金份额不少于本基金在权益登记日相关基金份额的二分之一（含二分之一）；</w:t>
      </w:r>
    </w:p>
    <w:p>
      <w:pPr>
        <w:spacing w:line="360" w:lineRule="auto"/>
        <w:ind w:firstLine="420" w:firstLineChars="200"/>
        <w:jc w:val="left"/>
        <w:rPr>
          <w:rFonts w:eastAsiaTheme="minorEastAsia"/>
          <w:bCs/>
          <w:szCs w:val="21"/>
        </w:rPr>
      </w:pPr>
      <w:r>
        <w:rPr>
          <w:rFonts w:eastAsiaTheme="minorEastAsia"/>
          <w:bCs/>
          <w:szCs w:val="21"/>
        </w:rPr>
        <w:t>3、通讯开会的直接出具</w:t>
      </w:r>
      <w:r>
        <w:rPr>
          <w:rFonts w:hint="eastAsia" w:eastAsiaTheme="minorEastAsia"/>
          <w:bCs/>
          <w:szCs w:val="21"/>
        </w:rPr>
        <w:t>表决</w:t>
      </w:r>
      <w:r>
        <w:rPr>
          <w:rFonts w:eastAsiaTheme="minorEastAsia"/>
          <w:bCs/>
          <w:szCs w:val="21"/>
        </w:rPr>
        <w:t>意见或授权他人代表出具</w:t>
      </w:r>
      <w:r>
        <w:rPr>
          <w:rFonts w:hint="eastAsia" w:eastAsiaTheme="minorEastAsia"/>
          <w:bCs/>
          <w:szCs w:val="21"/>
        </w:rPr>
        <w:t>表决</w:t>
      </w:r>
      <w:r>
        <w:rPr>
          <w:rFonts w:eastAsiaTheme="minorEastAsia"/>
          <w:bCs/>
          <w:szCs w:val="21"/>
        </w:rPr>
        <w:t>意见的基金份额持有人所持有的基金份额不小于在权益登记日相关基金份额的二分之一（含二分之一）；</w:t>
      </w:r>
    </w:p>
    <w:p>
      <w:pPr>
        <w:spacing w:line="360" w:lineRule="auto"/>
        <w:ind w:firstLine="420" w:firstLineChars="200"/>
        <w:jc w:val="left"/>
        <w:rPr>
          <w:rFonts w:eastAsiaTheme="minorEastAsia"/>
          <w:bCs/>
          <w:szCs w:val="21"/>
        </w:rPr>
      </w:pPr>
      <w:r>
        <w:rPr>
          <w:rFonts w:eastAsiaTheme="minorEastAsia"/>
          <w:bCs/>
          <w:szCs w:val="21"/>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20" w:firstLineChars="200"/>
        <w:jc w:val="left"/>
        <w:rPr>
          <w:rFonts w:eastAsiaTheme="minorEastAsia"/>
          <w:bCs/>
          <w:szCs w:val="21"/>
        </w:rPr>
      </w:pPr>
      <w:r>
        <w:rPr>
          <w:rFonts w:eastAsiaTheme="minorEastAsia"/>
          <w:bCs/>
          <w:szCs w:val="21"/>
        </w:rPr>
        <w:t>5、现场开会由出席大会的基金份额持有人和代理人所持表决权的50%以上（含50%）选举产生一名基金份额持有人作为该次基金份额持有人大会的主持人；</w:t>
      </w:r>
    </w:p>
    <w:p>
      <w:pPr>
        <w:spacing w:line="360" w:lineRule="auto"/>
        <w:ind w:firstLine="420" w:firstLineChars="200"/>
        <w:jc w:val="left"/>
        <w:rPr>
          <w:rFonts w:eastAsiaTheme="minorEastAsia"/>
          <w:bCs/>
          <w:szCs w:val="21"/>
        </w:rPr>
      </w:pPr>
      <w:r>
        <w:rPr>
          <w:rFonts w:eastAsiaTheme="minorEastAsia"/>
          <w:bCs/>
          <w:szCs w:val="21"/>
        </w:rPr>
        <w:t>6、一般决议须经参加大会的基金份额持有人或其代理人所持表决权的二分之一以上（含二分之一）通过；</w:t>
      </w:r>
    </w:p>
    <w:p>
      <w:pPr>
        <w:spacing w:line="360" w:lineRule="auto"/>
        <w:ind w:firstLine="420" w:firstLineChars="200"/>
        <w:jc w:val="left"/>
        <w:rPr>
          <w:rFonts w:eastAsiaTheme="minorEastAsia"/>
          <w:bCs/>
          <w:szCs w:val="21"/>
        </w:rPr>
      </w:pPr>
      <w:r>
        <w:rPr>
          <w:rFonts w:eastAsiaTheme="minorEastAsia"/>
          <w:bCs/>
          <w:szCs w:val="21"/>
        </w:rPr>
        <w:t>7、特别决议应当经参加大会的基金份额持有人或其代理人所持表决权的三分之二以上（含三分之二）通过。</w:t>
      </w:r>
    </w:p>
    <w:p>
      <w:pPr>
        <w:spacing w:line="360" w:lineRule="auto"/>
        <w:ind w:firstLine="420" w:firstLineChars="200"/>
        <w:jc w:val="left"/>
        <w:rPr>
          <w:rFonts w:eastAsiaTheme="minorEastAsia"/>
          <w:bCs/>
          <w:szCs w:val="21"/>
        </w:rPr>
      </w:pPr>
      <w:r>
        <w:rPr>
          <w:rFonts w:eastAsiaTheme="minorEastAsia"/>
          <w:bCs/>
          <w:szCs w:val="21"/>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pPr>
        <w:spacing w:line="360" w:lineRule="auto"/>
        <w:ind w:firstLine="420" w:firstLineChars="200"/>
        <w:jc w:val="left"/>
        <w:rPr>
          <w:rFonts w:eastAsiaTheme="minorEastAsia"/>
          <w:bCs/>
          <w:szCs w:val="21"/>
        </w:rPr>
      </w:pPr>
      <w:r>
        <w:rPr>
          <w:rFonts w:eastAsiaTheme="minorEastAsia"/>
          <w:bCs/>
          <w:szCs w:val="21"/>
        </w:rPr>
        <w:t>侧袋机制实施期间，关于基金份额持有人大会的相关规定以本节特殊约定内容为准，本节没有规定的适用本部分相关约定。</w:t>
      </w:r>
    </w:p>
    <w:p>
      <w:pPr>
        <w:spacing w:line="360" w:lineRule="auto"/>
        <w:ind w:firstLine="420" w:firstLineChars="200"/>
        <w:jc w:val="left"/>
        <w:rPr>
          <w:rFonts w:eastAsiaTheme="minorEastAsia"/>
          <w:bCs/>
          <w:szCs w:val="21"/>
        </w:rPr>
      </w:pPr>
      <w:r>
        <w:rPr>
          <w:rFonts w:eastAsiaTheme="minorEastAsia"/>
          <w:bCs/>
          <w:szCs w:val="21"/>
        </w:rPr>
        <w:t>十二、法律法规或监管部门对基金份额持有人大会另有规定的，从其规定。</w:t>
      </w:r>
    </w:p>
    <w:bookmarkEnd w:id="185"/>
    <w:bookmarkEnd w:id="196"/>
    <w:bookmarkEnd w:id="197"/>
    <w:bookmarkEnd w:id="198"/>
    <w:p>
      <w:pPr>
        <w:spacing w:line="360" w:lineRule="auto"/>
        <w:ind w:firstLine="420" w:firstLineChars="200"/>
        <w:rPr>
          <w:rFonts w:eastAsiaTheme="minorEastAsia"/>
          <w:bCs/>
          <w:color w:val="000000" w:themeColor="text1"/>
          <w:szCs w:val="21"/>
          <w14:textFill>
            <w14:solidFill>
              <w14:schemeClr w14:val="tx1"/>
            </w14:solidFill>
          </w14:textFill>
        </w:rPr>
      </w:pPr>
      <w:bookmarkStart w:id="199" w:name="_Hlt88820702"/>
      <w:bookmarkEnd w:id="199"/>
      <w:bookmarkStart w:id="200" w:name="_Toc3963"/>
      <w:bookmarkStart w:id="201" w:name="_Toc18769"/>
      <w:bookmarkStart w:id="202" w:name="_Toc1745"/>
    </w:p>
    <w:bookmarkEnd w:id="186"/>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203" w:name="_Toc31821"/>
      <w:bookmarkStart w:id="204" w:name="_Toc10398"/>
      <w:bookmarkStart w:id="205" w:name="_Toc18206"/>
      <w:bookmarkStart w:id="206" w:name="_Toc21735"/>
      <w:bookmarkStart w:id="207" w:name="_Toc98560355"/>
      <w:bookmarkStart w:id="208" w:name="_Toc70507727"/>
      <w:bookmarkStart w:id="209" w:name="_Toc141703889"/>
      <w:bookmarkStart w:id="210" w:name="_Toc123112237"/>
      <w:bookmarkStart w:id="211" w:name="_Toc123102456"/>
      <w:bookmarkStart w:id="212" w:name="_Toc725"/>
      <w:bookmarkStart w:id="213" w:name="_Toc3080"/>
      <w:bookmarkStart w:id="214" w:name="_Toc16164"/>
      <w:bookmarkStart w:id="215" w:name="_Toc123051455"/>
      <w:bookmarkStart w:id="216" w:name="_Toc139991739"/>
      <w:bookmarkStart w:id="217" w:name="_Toc3572"/>
      <w:r>
        <w:rPr>
          <w:rFonts w:eastAsiaTheme="minorEastAsia"/>
          <w:b/>
          <w:color w:val="000000" w:themeColor="text1"/>
          <w:szCs w:val="21"/>
          <w14:textFill>
            <w14:solidFill>
              <w14:schemeClr w14:val="tx1"/>
            </w14:solidFill>
          </w14:textFill>
        </w:rPr>
        <w:t>第九部分  基金管理人、基金托管人的更换条件和程序</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autoSpaceDE w:val="0"/>
        <w:autoSpaceDN w:val="0"/>
        <w:spacing w:line="360" w:lineRule="auto"/>
        <w:textAlignment w:val="bottom"/>
        <w:rPr>
          <w:rFonts w:eastAsiaTheme="minorEastAsia"/>
          <w:bCs/>
          <w:color w:val="000000" w:themeColor="text1"/>
          <w:szCs w:val="21"/>
          <w14:textFill>
            <w14:solidFill>
              <w14:schemeClr w14:val="tx1"/>
            </w14:solidFill>
          </w14:textFill>
        </w:rPr>
      </w:pPr>
      <w:bookmarkStart w:id="218" w:name="_Toc57530252"/>
      <w:bookmarkStart w:id="219" w:name="_Toc15118245"/>
      <w:bookmarkStart w:id="220" w:name="_Toc79392593"/>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一、基金管理人和基金托管人职责终止的情形</w:t>
      </w:r>
      <w:bookmarkEnd w:id="218"/>
      <w:bookmarkEnd w:id="219"/>
      <w:bookmarkEnd w:id="220"/>
    </w:p>
    <w:p>
      <w:pPr>
        <w:spacing w:line="360" w:lineRule="auto"/>
        <w:ind w:firstLine="420" w:firstLineChars="200"/>
        <w:rPr>
          <w:rFonts w:eastAsiaTheme="minorEastAsia"/>
          <w:bCs/>
          <w:color w:val="000000" w:themeColor="text1"/>
          <w:szCs w:val="21"/>
          <w14:textFill>
            <w14:solidFill>
              <w14:schemeClr w14:val="tx1"/>
            </w14:solidFill>
          </w14:textFill>
        </w:rPr>
      </w:pPr>
      <w:bookmarkStart w:id="221" w:name="_Toc22005971"/>
      <w:r>
        <w:rPr>
          <w:rFonts w:eastAsiaTheme="minorEastAsia"/>
          <w:bCs/>
          <w:color w:val="000000" w:themeColor="text1"/>
          <w:szCs w:val="21"/>
          <w14:textFill>
            <w14:solidFill>
              <w14:schemeClr w14:val="tx1"/>
            </w14:solidFill>
          </w14:textFill>
        </w:rPr>
        <w:t>（一）基金管理人职责终止的情形</w:t>
      </w:r>
      <w:bookmarkEnd w:id="221"/>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有下列情形之一的，基金管理人职责终止：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1、被依法取消基金管理资格；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2、被基金份额持有人大会解任；</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3、依法解散、被依法撤销或被依法宣告破产；</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4、法律法规及中国证监会规定的和《基金合同》约定的其他情形。</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222" w:name="_Toc22005972"/>
      <w:r>
        <w:rPr>
          <w:rFonts w:eastAsiaTheme="minorEastAsia"/>
          <w:bCs/>
          <w:color w:val="000000" w:themeColor="text1"/>
          <w:szCs w:val="21"/>
          <w14:textFill>
            <w14:solidFill>
              <w14:schemeClr w14:val="tx1"/>
            </w14:solidFill>
          </w14:textFill>
        </w:rPr>
        <w:t>（二）基金托管人职责终止的情形</w:t>
      </w:r>
      <w:bookmarkEnd w:id="222"/>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有下列情形之一的，基金托管人职责终止：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1、被依法取消基金托管资格；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2、被基金份额持有人大会解任；</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3、依法解散、被依法撤销或被依法宣告破产；</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4、法律法规及中国证监会规定的和《基金合同》约定的其他情形。</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223" w:name="_Toc57530253"/>
      <w:bookmarkStart w:id="224" w:name="_Toc79392594"/>
      <w:bookmarkStart w:id="225" w:name="_Toc15118246"/>
      <w:r>
        <w:rPr>
          <w:rFonts w:eastAsiaTheme="minorEastAsia"/>
          <w:bCs/>
          <w:color w:val="000000" w:themeColor="text1"/>
          <w:szCs w:val="21"/>
          <w14:textFill>
            <w14:solidFill>
              <w14:schemeClr w14:val="tx1"/>
            </w14:solidFill>
          </w14:textFill>
        </w:rPr>
        <w:t>二、基金管理人和基金托管人的更换程序</w:t>
      </w:r>
      <w:bookmarkEnd w:id="223"/>
      <w:bookmarkEnd w:id="224"/>
      <w:bookmarkEnd w:id="225"/>
    </w:p>
    <w:p>
      <w:pPr>
        <w:spacing w:line="360" w:lineRule="auto"/>
        <w:ind w:firstLine="420" w:firstLineChars="200"/>
        <w:rPr>
          <w:rFonts w:eastAsiaTheme="minorEastAsia"/>
          <w:bCs/>
          <w:color w:val="000000" w:themeColor="text1"/>
          <w:szCs w:val="21"/>
          <w14:textFill>
            <w14:solidFill>
              <w14:schemeClr w14:val="tx1"/>
            </w14:solidFill>
          </w14:textFill>
        </w:rPr>
      </w:pPr>
      <w:bookmarkStart w:id="226" w:name="_Toc22005974"/>
      <w:r>
        <w:rPr>
          <w:rFonts w:eastAsiaTheme="minorEastAsia"/>
          <w:bCs/>
          <w:color w:val="000000" w:themeColor="text1"/>
          <w:szCs w:val="21"/>
          <w14:textFill>
            <w14:solidFill>
              <w14:schemeClr w14:val="tx1"/>
            </w14:solidFill>
          </w14:textFill>
        </w:rPr>
        <w:t>（一）基金管理人的更换程序</w:t>
      </w:r>
      <w:bookmarkEnd w:id="226"/>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1、提名：新任基金管理人由基金托管人或由单独或合计持有10%以上（含10%）基金份额的基金份额持有人提名；</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2、决议：基金份额持有人大会在基金管理人职责终止后6个月内对被提名的基金管理人形成决议，该决议需经参加大会的基金份额持有人所持表决权的三分之二以上（含三分之二）表决通过，</w:t>
      </w:r>
      <w:bookmarkStart w:id="227" w:name="_Hlk536362213"/>
      <w:r>
        <w:rPr>
          <w:rFonts w:eastAsiaTheme="minorEastAsia"/>
          <w:bCs/>
          <w:color w:val="000000" w:themeColor="text1"/>
          <w:szCs w:val="21"/>
          <w14:textFill>
            <w14:solidFill>
              <w14:schemeClr w14:val="tx1"/>
            </w14:solidFill>
          </w14:textFill>
        </w:rPr>
        <w:t>决议自表决通过之日起生效；</w:t>
      </w:r>
      <w:bookmarkEnd w:id="227"/>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3、临时基金管理人：新任基金管理人产生之前，由中国证监会指定临时基金管理人；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4、备案：基金份额持有人大会</w:t>
      </w:r>
      <w:r>
        <w:rPr>
          <w:rFonts w:hint="eastAsia" w:eastAsiaTheme="minorEastAsia"/>
          <w:bCs/>
          <w:color w:val="000000" w:themeColor="text1"/>
          <w:szCs w:val="21"/>
          <w14:textFill>
            <w14:solidFill>
              <w14:schemeClr w14:val="tx1"/>
            </w14:solidFill>
          </w14:textFill>
        </w:rPr>
        <w:t>更换</w:t>
      </w:r>
      <w:r>
        <w:rPr>
          <w:rFonts w:eastAsiaTheme="minorEastAsia"/>
          <w:bCs/>
          <w:color w:val="000000" w:themeColor="text1"/>
          <w:szCs w:val="21"/>
          <w14:textFill>
            <w14:solidFill>
              <w14:schemeClr w14:val="tx1"/>
            </w14:solidFill>
          </w14:textFill>
        </w:rPr>
        <w:t>基金管理人的决议须报中国证监会备案；</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5、公告：基金管理人更换后，由基金托管人在更换基金管理人的基金份额持有人大会决议生效后2日内在规定媒介公告；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7、审计：基金管理人职责终止的，应当按照法律法规规定聘请会计师事务所对基金财产进行审计，并将审计结果予以公告，同时报中国证监会备案，审计费由基金财产承担；</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8、基金名称变更：基金管理人更换后，如果原任或新任基金管理人要求，应按其要求替换或删除基金名称中与原基金管理人有关的名称字样。</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228" w:name="_Toc22005975"/>
      <w:r>
        <w:rPr>
          <w:rFonts w:eastAsiaTheme="minorEastAsia"/>
          <w:bCs/>
          <w:color w:val="000000" w:themeColor="text1"/>
          <w:szCs w:val="21"/>
          <w14:textFill>
            <w14:solidFill>
              <w14:schemeClr w14:val="tx1"/>
            </w14:solidFill>
          </w14:textFill>
        </w:rPr>
        <w:t>（二）基金托管人的更换程序</w:t>
      </w:r>
      <w:bookmarkEnd w:id="228"/>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1、提名：新任基金托管人由基金管理人或由单独或合计持有10%以上（含10%）基金份额的基金份额持有人提名；</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3、临时基金托管人：新任基金托管人产生之前，由中国证监会指定临时基金托管人；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4、备案：基金份额持有人大会更换基金托管人的决议须报中国证监会备案；</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5、公告：基金托管人更换后，由基金管理人在更换基金托管人的基金份额持有人大会决议生效后2日内在规定媒介公告；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6、交接：基金托管人职责终止的，应当妥善保管基金财产和基金托管业务资料，及时</w:t>
      </w:r>
      <w:r>
        <w:rPr>
          <w:rFonts w:hint="eastAsia" w:eastAsiaTheme="minorEastAsia"/>
          <w:bCs/>
          <w:color w:val="000000" w:themeColor="text1"/>
          <w:szCs w:val="21"/>
          <w14:textFill>
            <w14:solidFill>
              <w14:schemeClr w14:val="tx1"/>
            </w14:solidFill>
          </w14:textFill>
        </w:rPr>
        <w:t>向临时基金托管人或新任基金托管人</w:t>
      </w:r>
      <w:r>
        <w:rPr>
          <w:rFonts w:eastAsiaTheme="minorEastAsia"/>
          <w:bCs/>
          <w:color w:val="000000" w:themeColor="text1"/>
          <w:szCs w:val="21"/>
          <w14:textFill>
            <w14:solidFill>
              <w14:schemeClr w14:val="tx1"/>
            </w14:solidFill>
          </w14:textFill>
        </w:rPr>
        <w:t xml:space="preserve">办理基金财产和基金托管业务的移交手续，新任基金托管人或者临时基金托管人应当及时接收。新任基金托管人或者临时基金托管人应与基金管理人核对基金资产总值和净值； </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7、审计：基金托管人职责终止的，应当按照法律法规规定聘请会计师事务所对基金财产进行审计，并将审计结果予以公告，同时报中国证监会备案，审计费用由基金财产承担。</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229" w:name="_Toc1357"/>
      <w:r>
        <w:rPr>
          <w:rFonts w:eastAsiaTheme="minorEastAsia"/>
          <w:bCs/>
          <w:color w:val="000000" w:themeColor="text1"/>
          <w:szCs w:val="21"/>
          <w14:textFill>
            <w14:solidFill>
              <w14:schemeClr w14:val="tx1"/>
            </w14:solidFill>
          </w14:textFill>
        </w:rPr>
        <w:t>（三）基金管理人与基金托管人同时更换的条件和程序</w:t>
      </w:r>
      <w:bookmarkEnd w:id="229"/>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1、提名：如果基金管理人和基金托管人同时更换，由单独或合计持有基金总份额10%以上（含10%）的基金份额持有人提名新的基金管理人和基金托管人；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2、基金管理人和基金托管人的更换分别按上述程序进行；</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3、公告：新任基金管理人和新任基金托管人应在更换基金管理人和基金托管人的基金份额持有人大会决议生效后2日内在规定媒介上联合公告。</w:t>
      </w:r>
    </w:p>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三、</w:t>
      </w:r>
      <w:r>
        <w:rPr>
          <w:rFonts w:eastAsiaTheme="minorEastAsia"/>
          <w:bCs/>
          <w:color w:val="000000" w:themeColor="text1"/>
          <w:szCs w:val="21"/>
          <w14:textFill>
            <w14:solidFill>
              <w14:schemeClr w14:val="tx1"/>
            </w14:solidFill>
          </w14:textFill>
        </w:rPr>
        <w:t>新任或临时基金管理人接收基金管理业务或新任或临时基金托管人接收基金财产和基金托管业务前，原基金管理人或原基金托管人应继续履行相关职责，并保证不做出对基金份额持有人的利益造成损害的行为</w:t>
      </w:r>
      <w:r>
        <w:rPr>
          <w:rFonts w:eastAsiaTheme="minorEastAsia"/>
          <w:color w:val="000000" w:themeColor="text1"/>
          <w:szCs w:val="21"/>
          <w14:textFill>
            <w14:solidFill>
              <w14:schemeClr w14:val="tx1"/>
            </w14:solidFill>
          </w14:textFill>
        </w:rPr>
        <w:t>。</w:t>
      </w:r>
      <w:r>
        <w:rPr>
          <w:bCs/>
          <w:color w:val="000000" w:themeColor="text1"/>
          <w:szCs w:val="21"/>
          <w14:textFill>
            <w14:solidFill>
              <w14:schemeClr w14:val="tx1"/>
            </w14:solidFill>
          </w14:textFill>
        </w:rPr>
        <w:t>原基金管理人或原基金托管人在继续履行相关职责期间，仍有权按照基金合同的规定收取基金管理费或基金托管费。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230" w:name="_Toc70507728"/>
      <w:bookmarkStart w:id="231" w:name="_Toc123102457"/>
      <w:bookmarkStart w:id="232" w:name="_Toc32584"/>
      <w:bookmarkStart w:id="233" w:name="_Toc17198"/>
      <w:bookmarkStart w:id="234" w:name="_Toc5170"/>
      <w:bookmarkStart w:id="235" w:name="_Toc3329"/>
      <w:bookmarkStart w:id="236" w:name="_Toc29408"/>
      <w:bookmarkStart w:id="237" w:name="_Toc98560356"/>
      <w:bookmarkStart w:id="238" w:name="_Toc141703890"/>
      <w:bookmarkStart w:id="239" w:name="_Toc739"/>
      <w:bookmarkStart w:id="240" w:name="_Toc17920"/>
      <w:bookmarkStart w:id="241" w:name="_Toc79392622"/>
      <w:bookmarkStart w:id="242" w:name="_Toc32092"/>
      <w:bookmarkStart w:id="243" w:name="_Toc123051456"/>
      <w:bookmarkStart w:id="244" w:name="_Toc20976"/>
      <w:bookmarkStart w:id="245" w:name="_Toc8791"/>
      <w:bookmarkStart w:id="246" w:name="_Toc21237"/>
      <w:bookmarkStart w:id="247" w:name="_Toc139991740"/>
      <w:bookmarkStart w:id="248" w:name="_Toc123112238"/>
      <w:bookmarkStart w:id="249" w:name="_Toc48649708"/>
      <w:r>
        <w:rPr>
          <w:rFonts w:eastAsiaTheme="minorEastAsia"/>
          <w:b/>
          <w:color w:val="000000" w:themeColor="text1"/>
          <w:szCs w:val="21"/>
          <w14:textFill>
            <w14:solidFill>
              <w14:schemeClr w14:val="tx1"/>
            </w14:solidFill>
          </w14:textFill>
        </w:rPr>
        <w:t>第十部分  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autoSpaceDE w:val="0"/>
        <w:autoSpaceDN w:val="0"/>
        <w:spacing w:line="360" w:lineRule="auto"/>
        <w:textAlignment w:val="bottom"/>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基金托管人和基金管理人按照《基金法》、《基金合同》及其他有关规定订立托管协议。</w:t>
      </w:r>
    </w:p>
    <w:p>
      <w:pPr>
        <w:autoSpaceDE w:val="0"/>
        <w:autoSpaceDN w:val="0"/>
        <w:spacing w:line="360" w:lineRule="auto"/>
        <w:ind w:firstLine="420" w:firstLineChars="200"/>
        <w:textAlignment w:val="bottom"/>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250" w:name="_Toc79392624"/>
      <w:bookmarkStart w:id="251" w:name="_Toc139991741"/>
      <w:bookmarkStart w:id="252" w:name="_Toc26383"/>
      <w:bookmarkStart w:id="253" w:name="_Toc14725"/>
      <w:bookmarkStart w:id="254" w:name="_Toc22674"/>
      <w:bookmarkStart w:id="255" w:name="_Toc3244"/>
      <w:bookmarkStart w:id="256" w:name="_Toc26152"/>
      <w:bookmarkStart w:id="257" w:name="_Toc98560357"/>
      <w:bookmarkStart w:id="258" w:name="_Toc70507729"/>
      <w:bookmarkStart w:id="259" w:name="_Toc19520"/>
      <w:bookmarkStart w:id="260" w:name="_Toc16789"/>
      <w:bookmarkStart w:id="261" w:name="_Toc48649710"/>
      <w:bookmarkStart w:id="262" w:name="_Toc21886"/>
      <w:bookmarkStart w:id="263" w:name="_Toc123102458"/>
      <w:bookmarkStart w:id="264" w:name="_Toc31469"/>
      <w:bookmarkStart w:id="265" w:name="_Toc26084"/>
      <w:bookmarkStart w:id="266" w:name="_Toc2255"/>
      <w:bookmarkStart w:id="267" w:name="_Toc141703891"/>
      <w:bookmarkStart w:id="268" w:name="_Toc123112239"/>
      <w:bookmarkStart w:id="269" w:name="_Toc123051457"/>
      <w:r>
        <w:rPr>
          <w:rFonts w:eastAsiaTheme="minorEastAsia"/>
          <w:b/>
          <w:color w:val="000000" w:themeColor="text1"/>
          <w:szCs w:val="21"/>
          <w14:textFill>
            <w14:solidFill>
              <w14:schemeClr w14:val="tx1"/>
            </w14:solidFill>
          </w14:textFill>
        </w:rPr>
        <w:t>第十一部分  基金份额的登记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autoSpaceDE w:val="0"/>
        <w:autoSpaceDN w:val="0"/>
        <w:spacing w:line="360" w:lineRule="auto"/>
        <w:textAlignment w:val="bottom"/>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一、基金份额的登记业务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二、基金登记业务办理机构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本基金的登记业务由基金管理人或基金管理人委托的其他符合条件的机构办理</w:t>
      </w:r>
      <w:r>
        <w:rPr>
          <w:rFonts w:hint="eastAsia" w:eastAsiaTheme="minorEastAsia"/>
          <w:bCs/>
          <w:color w:val="000000" w:themeColor="text1"/>
          <w:szCs w:val="21"/>
          <w14:textFill>
            <w14:solidFill>
              <w14:schemeClr w14:val="tx1"/>
            </w14:solidFill>
          </w14:textFill>
        </w:rPr>
        <w:t>，但基金管理人依法应当承担的责任不因委托而免除</w:t>
      </w:r>
      <w:r>
        <w:rPr>
          <w:rFonts w:eastAsiaTheme="minorEastAsia"/>
          <w:bCs/>
          <w:color w:val="000000" w:themeColor="text1"/>
          <w:szCs w:val="21"/>
          <w14:textFill>
            <w14:solidFill>
              <w14:schemeClr w14:val="tx1"/>
            </w14:solidFill>
          </w14:textFill>
        </w:rPr>
        <w:t>。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三、基金登记机构的权利</w:t>
      </w:r>
      <w:bookmarkStart w:id="270" w:name="_Hlt88820748"/>
      <w:bookmarkEnd w:id="270"/>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基金登记机构享有以下权利：</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1、取得登记费；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2、建立和管理投资者基金账户；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3、保管基金份额持有人开户资料、交易资料、基金份额持有人名册等；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4、在法律法规允许的范围内，对登记业务的办理时间和相关业务规则进行调整，并依照有关规定于开始实施前在规定媒介上公告；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5、法律法规及中国证监会规定的和《基金合同》约定的其他权利。</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四、基金登记机构的义务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基金登记机构承担以下义务：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1、配备足够的专业人员办理本基金份额的登记业务；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2、严格按照法律法规和《基金合同》规定的条件办理本基金份额的登记业务；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 xml:space="preserve">3、妥善保存登记数据，并将基金份额持有人名称、身份信息及基金份额明细等数据备份至中国证监会认定的机构。其保存期限自基金账户销户之日起不得少于20年； </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5、按《基金合同》及招募说明书规定为投资者办理非交易过户业务、提供其他必要的服务；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6、接受基金管理人的监督；</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7、法律法规及中国证监会规定的和《基金合同》约定的其他义务。</w:t>
      </w: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271" w:name="_Toc11351"/>
      <w:bookmarkStart w:id="272" w:name="_Toc2981"/>
      <w:bookmarkStart w:id="273" w:name="_Toc13343"/>
      <w:bookmarkStart w:id="274" w:name="_Toc70507730"/>
      <w:bookmarkStart w:id="275" w:name="_Toc22538"/>
      <w:bookmarkStart w:id="276" w:name="_Toc578"/>
      <w:bookmarkStart w:id="277" w:name="_Toc11395"/>
      <w:bookmarkStart w:id="278" w:name="_Toc21917"/>
      <w:bookmarkStart w:id="279" w:name="_Toc5477"/>
      <w:bookmarkStart w:id="280" w:name="_Toc801"/>
      <w:bookmarkStart w:id="281" w:name="_Toc3872"/>
      <w:bookmarkStart w:id="282" w:name="_Toc16437"/>
      <w:bookmarkStart w:id="283" w:name="_Hlk61282100"/>
      <w:r>
        <w:rPr>
          <w:rFonts w:eastAsiaTheme="minorEastAsia"/>
          <w:b/>
          <w:color w:val="000000" w:themeColor="text1"/>
          <w:szCs w:val="21"/>
          <w14:textFill>
            <w14:solidFill>
              <w14:schemeClr w14:val="tx1"/>
            </w14:solidFill>
          </w14:textFill>
        </w:rPr>
        <w:t>第十二部分  基金的投资</w:t>
      </w:r>
      <w:bookmarkEnd w:id="271"/>
      <w:bookmarkEnd w:id="272"/>
      <w:bookmarkEnd w:id="273"/>
      <w:bookmarkEnd w:id="274"/>
      <w:bookmarkEnd w:id="275"/>
      <w:bookmarkEnd w:id="276"/>
      <w:bookmarkEnd w:id="277"/>
      <w:bookmarkEnd w:id="278"/>
      <w:bookmarkEnd w:id="279"/>
      <w:bookmarkEnd w:id="280"/>
      <w:bookmarkEnd w:id="281"/>
      <w:bookmarkEnd w:id="282"/>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一、投资目标</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紧密跟踪标的指数，追求跟踪偏离度和跟踪误差的最小化、实现与标的指数表现相一致的长期投资收益。在正常市场情况下，力争控制本基金的份额净值与业绩比较基准的收益率日均跟踪偏离度的绝对值不超过0</w:t>
      </w:r>
      <w:r>
        <w:rPr>
          <w:rFonts w:eastAsiaTheme="minorEastAsia"/>
          <w:bCs/>
          <w:color w:val="000000" w:themeColor="text1"/>
          <w:szCs w:val="21"/>
          <w14:textFill>
            <w14:solidFill>
              <w14:schemeClr w14:val="tx1"/>
            </w14:solidFill>
          </w14:textFill>
        </w:rPr>
        <w:t>.35</w:t>
      </w:r>
      <w:r>
        <w:rPr>
          <w:rFonts w:hint="eastAsia" w:eastAsiaTheme="minorEastAsia"/>
          <w:bCs/>
          <w:color w:val="000000" w:themeColor="text1"/>
          <w:szCs w:val="21"/>
          <w14:textFill>
            <w14:solidFill>
              <w14:schemeClr w14:val="tx1"/>
            </w14:solidFill>
          </w14:textFill>
        </w:rPr>
        <w:t>%，年跟踪误差不超过</w:t>
      </w:r>
      <w:r>
        <w:rPr>
          <w:rFonts w:eastAsiaTheme="minorEastAsia"/>
          <w:bCs/>
          <w:color w:val="000000" w:themeColor="text1"/>
          <w:szCs w:val="21"/>
          <w14:textFill>
            <w14:solidFill>
              <w14:schemeClr w14:val="tx1"/>
            </w14:solidFill>
          </w14:textFill>
        </w:rPr>
        <w:t>4</w:t>
      </w:r>
      <w:r>
        <w:rPr>
          <w:rFonts w:hint="eastAsia"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二、投资范围</w:t>
      </w:r>
    </w:p>
    <w:p>
      <w:pPr>
        <w:spacing w:line="360" w:lineRule="auto"/>
        <w:ind w:firstLine="420" w:firstLineChars="200"/>
        <w:rPr>
          <w:bCs/>
          <w:color w:val="000000" w:themeColor="text1"/>
          <w:szCs w:val="21"/>
          <w14:textFill>
            <w14:solidFill>
              <w14:schemeClr w14:val="tx1"/>
            </w14:solidFill>
          </w14:textFill>
        </w:rPr>
      </w:pPr>
      <w:bookmarkStart w:id="284" w:name="_Hlk178017316"/>
      <w:r>
        <w:rPr>
          <w:bCs/>
          <w:color w:val="000000" w:themeColor="text1"/>
          <w:szCs w:val="21"/>
          <w14:textFill>
            <w14:solidFill>
              <w14:schemeClr w14:val="tx1"/>
            </w14:solidFill>
          </w14:textFill>
        </w:rPr>
        <w:t>本基金主要投资于标的指数成份券、备选成份券。为更好地实现投资目标，基金还可</w:t>
      </w:r>
      <w:bookmarkStart w:id="285" w:name="_Hlk231577134"/>
      <w:r>
        <w:rPr>
          <w:rFonts w:hint="eastAsia"/>
          <w:bCs/>
          <w:color w:val="000000" w:themeColor="text1"/>
          <w:szCs w:val="21"/>
          <w14:textFill>
            <w14:solidFill>
              <w14:schemeClr w14:val="tx1"/>
            </w14:solidFill>
          </w14:textFill>
        </w:rPr>
        <w:t>少量</w:t>
      </w:r>
      <w:bookmarkEnd w:id="285"/>
      <w:r>
        <w:rPr>
          <w:bCs/>
          <w:color w:val="000000" w:themeColor="text1"/>
          <w:szCs w:val="21"/>
          <w14:textFill>
            <w14:solidFill>
              <w14:schemeClr w14:val="tx1"/>
            </w14:solidFill>
          </w14:textFill>
        </w:rPr>
        <w:t>投资于</w:t>
      </w:r>
      <w:bookmarkStart w:id="286" w:name="_Hlk231577148"/>
      <w:r>
        <w:rPr>
          <w:rFonts w:hint="eastAsia"/>
          <w:bCs/>
          <w:color w:val="000000" w:themeColor="text1"/>
          <w:szCs w:val="21"/>
          <w14:textFill>
            <w14:solidFill>
              <w14:schemeClr w14:val="tx1"/>
            </w14:solidFill>
          </w14:textFill>
        </w:rPr>
        <w:t>其他经中国证监会依法核准或注册的公开募集的基金份额（包括</w:t>
      </w:r>
      <w:bookmarkEnd w:id="286"/>
      <w:r>
        <w:rPr>
          <w:rFonts w:hint="eastAsia" w:hAnsi="宋体"/>
        </w:rPr>
        <w:t>公募R</w:t>
      </w:r>
      <w:r>
        <w:rPr>
          <w:rFonts w:hAnsi="宋体"/>
        </w:rPr>
        <w:t>EIT</w:t>
      </w:r>
      <w:r>
        <w:rPr>
          <w:rFonts w:hint="eastAsia" w:hAnsi="宋体"/>
        </w:rPr>
        <w:t>s</w:t>
      </w:r>
      <w:r>
        <w:rPr>
          <w:rFonts w:hint="eastAsia"/>
        </w:rPr>
        <w:t>、债券E</w:t>
      </w:r>
      <w:r>
        <w:t>TF）、债券（包括国债、央行票据、金融债券、企业债券、公司债券、中期票据、短期融资券、超短期融资券、</w:t>
      </w:r>
      <w:r>
        <w:rPr>
          <w:rFonts w:hint="eastAsia"/>
        </w:rPr>
        <w:t>公开发行的</w:t>
      </w:r>
      <w:r>
        <w:t>次级债券、地方政府债券及其他经中国证监会允许投资的债券）、资产支持证券、货币市场工具（含同业存单、债券回购等）、银行存款以及法律法规或中国证监会允许基金投资的其他金融工具。如法律法规或监管机构以后允许基金投资其他品种，基金管理人在履行适当程序后，可以将其纳入投资范围。</w:t>
      </w:r>
    </w:p>
    <w:p>
      <w:pPr>
        <w:spacing w:line="360" w:lineRule="auto"/>
        <w:ind w:firstLine="420" w:firstLineChars="200"/>
        <w:rPr>
          <w:bCs/>
          <w:color w:val="000000" w:themeColor="text1"/>
          <w:szCs w:val="21"/>
          <w14:textFill>
            <w14:solidFill>
              <w14:schemeClr w14:val="tx1"/>
            </w14:solidFill>
          </w14:textFill>
        </w:rPr>
      </w:pPr>
      <w:bookmarkStart w:id="287" w:name="_Hlk61278288"/>
      <w:r>
        <w:rPr>
          <w:color w:val="000000" w:themeColor="text1"/>
          <w:szCs w:val="21"/>
          <w14:textFill>
            <w14:solidFill>
              <w14:schemeClr w14:val="tx1"/>
            </w14:solidFill>
          </w14:textFill>
        </w:rPr>
        <w:t>基金投资于标的指数成份券及备选成份券的比例不低于基金资产净值的90%</w:t>
      </w:r>
      <w:bookmarkEnd w:id="287"/>
      <w:r>
        <w:rPr>
          <w:rFonts w:hint="eastAsia"/>
          <w:bCs/>
          <w:color w:val="000000" w:themeColor="text1"/>
          <w:szCs w:val="21"/>
          <w14:textFill>
            <w14:solidFill>
              <w14:schemeClr w14:val="tx1"/>
            </w14:solidFill>
          </w14:textFill>
        </w:rPr>
        <w:t>；本基金每个交易日日终保持不低于基金资产净值5%的现金或者到期日在1年以内的政府债券。其中，现金不包括结算备付金、存出保证金、应收申购款等。</w:t>
      </w:r>
    </w:p>
    <w:p>
      <w:pPr>
        <w:spacing w:line="360" w:lineRule="auto"/>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如法律法规或中国证监会变更投资品种的投资比例限制，基金管理人在履行适当程序后，可以调整上述投资品种的投资比例。</w:t>
      </w:r>
    </w:p>
    <w:bookmarkEnd w:id="284"/>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三、投资策略</w:t>
      </w:r>
    </w:p>
    <w:p>
      <w:pPr>
        <w:spacing w:line="384" w:lineRule="auto"/>
        <w:ind w:firstLine="480"/>
        <w:rPr>
          <w:szCs w:val="21"/>
        </w:rPr>
      </w:pPr>
      <w:r>
        <w:rPr>
          <w:szCs w:val="21"/>
        </w:rPr>
        <w:t>1、</w:t>
      </w:r>
      <w:r>
        <w:rPr>
          <w:rFonts w:hint="eastAsia"/>
          <w:szCs w:val="21"/>
        </w:rPr>
        <w:t>完全复制策略</w:t>
      </w:r>
    </w:p>
    <w:p>
      <w:pPr>
        <w:spacing w:line="360" w:lineRule="auto"/>
        <w:ind w:firstLine="420" w:firstLineChars="200"/>
        <w:rPr>
          <w:szCs w:val="21"/>
        </w:rPr>
      </w:pPr>
      <w:r>
        <w:rPr>
          <w:rFonts w:hint="eastAsia"/>
          <w:szCs w:val="21"/>
        </w:rPr>
        <w:t>本基金主要采取完全复制法，即按照标的指数成份券及其权重构建投资组合，并根据标的指数成份券及其权重的变动对投资组合进行相应地调整。</w:t>
      </w:r>
    </w:p>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2、替代性策略</w:t>
      </w:r>
    </w:p>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在特殊的情况下，本基金可采用替代性策略。具体而言，在因特殊情形导致基金无法投资于标的指数成份券时，基金管理人可采取包括成份券替代策略在内的其他指数投资技术适当调整基金投资组合，以达到紧密跟踪标的指数的目的。特殊情形包括但不限于：（1）法律法规的限制；（2）标的指数成份券流动性严重不足；（3）标的指数的成份券长期停牌；（4）标的指数成份券扩募、到期</w:t>
      </w:r>
      <w:bookmarkStart w:id="288" w:name="_Hlk229991021"/>
      <w:r>
        <w:rPr>
          <w:rFonts w:hint="eastAsia" w:eastAsiaTheme="minorEastAsia"/>
          <w:color w:val="000000" w:themeColor="text1"/>
          <w:szCs w:val="21"/>
          <w14:textFill>
            <w14:solidFill>
              <w14:schemeClr w14:val="tx1"/>
            </w14:solidFill>
          </w14:textFill>
        </w:rPr>
        <w:t>、终止上市</w:t>
      </w:r>
      <w:bookmarkEnd w:id="288"/>
      <w:r>
        <w:rPr>
          <w:rFonts w:hint="eastAsia" w:eastAsiaTheme="minorEastAsia"/>
          <w:color w:val="000000" w:themeColor="text1"/>
          <w:szCs w:val="21"/>
          <w14:textFill>
            <w14:solidFill>
              <w14:schemeClr w14:val="tx1"/>
            </w14:solidFill>
          </w14:textFill>
        </w:rPr>
        <w:t>；（5）标的指数成份券现金分红；（6）指数成份券定期或临时调整；（7）标的指数编制方法发生变化；（8）其他基金管理人认定不适合投资的基金或可能限制本基金跟踪标的指数的合理原因等。</w:t>
      </w:r>
    </w:p>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3</w:t>
      </w:r>
      <w:r>
        <w:rPr>
          <w:rFonts w:eastAsiaTheme="minorEastAsia"/>
          <w:color w:val="000000" w:themeColor="text1"/>
          <w:szCs w:val="21"/>
          <w14:textFill>
            <w14:solidFill>
              <w14:schemeClr w14:val="tx1"/>
            </w14:solidFill>
          </w14:textFill>
        </w:rPr>
        <w:t>、债券投资策略</w:t>
      </w:r>
    </w:p>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本基金将在分析和判断国际、国内宏观经济形势、资金供求曲线、市场利率走势、信用利差状况和债券市场供求关系等因素的基础上，动态调整组合久期和债券的配置结构，精选债券，获取收益。</w:t>
      </w:r>
    </w:p>
    <w:p>
      <w:pPr>
        <w:spacing w:line="360" w:lineRule="auto"/>
        <w:ind w:firstLine="420" w:firstLineChars="200"/>
        <w:rPr>
          <w:rFonts w:eastAsiaTheme="minorEastAsia"/>
          <w:color w:val="000000" w:themeColor="text1"/>
          <w:szCs w:val="21"/>
          <w14:textFill>
            <w14:solidFill>
              <w14:schemeClr w14:val="tx1"/>
            </w14:solidFill>
          </w14:textFill>
        </w:rPr>
      </w:pPr>
      <w:bookmarkStart w:id="289" w:name="_Hlk229683452"/>
      <w:r>
        <w:rPr>
          <w:rFonts w:hint="eastAsia" w:eastAsiaTheme="minorEastAsia"/>
          <w:color w:val="000000" w:themeColor="text1"/>
          <w:szCs w:val="21"/>
          <w14:textFill>
            <w14:solidFill>
              <w14:schemeClr w14:val="tx1"/>
            </w14:solidFill>
          </w14:textFill>
        </w:rPr>
        <w:t>本基金债券投资主要采用类属配置策略，</w:t>
      </w:r>
      <w:bookmarkEnd w:id="289"/>
      <w:r>
        <w:rPr>
          <w:rFonts w:hint="eastAsia" w:eastAsiaTheme="minorEastAsia"/>
          <w:color w:val="000000" w:themeColor="text1"/>
          <w:szCs w:val="21"/>
          <w14:textFill>
            <w14:solidFill>
              <w14:schemeClr w14:val="tx1"/>
            </w14:solidFill>
          </w14:textFill>
        </w:rPr>
        <w:t>类属配置是指对各市场及各种类的固定收益类金融工具之间的比例进行适时、动态的分配和调整，确定最能符合本基金风险收益特征的资产组合。具体包括市场配置和品种选择两个层面。</w:t>
      </w:r>
    </w:p>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在市场配置层面，本基金将在控制市场风险与流动性风险的前提下，根据交易所市场和银行间市场等市场债券类金融工具的到期收益率变化、流动性变化和市场规模等情况，相机调整不同市场中债券类金融工具所占的投资比例。</w:t>
      </w:r>
    </w:p>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在品种选择层面，本基金将在控制信用风险的前提下，基于各品种债券类金融工具收益率水平的变化特征、宏观经济预测分析以及税收因素的影响，综合考虑流动性、收益性等因素，采取定量分析和定性分析结合的方法，在各种债券类金融工具之间进行优化配置。</w:t>
      </w:r>
    </w:p>
    <w:p>
      <w:pPr>
        <w:spacing w:line="360" w:lineRule="auto"/>
        <w:ind w:firstLine="420" w:firstLineChars="200"/>
        <w:rPr>
          <w:rFonts w:eastAsiaTheme="minorEastAsia"/>
          <w:color w:val="000000" w:themeColor="text1"/>
          <w:szCs w:val="21"/>
          <w14:textFill>
            <w14:solidFill>
              <w14:schemeClr w14:val="tx1"/>
            </w14:solidFill>
          </w14:textFill>
        </w:rPr>
      </w:pPr>
      <w:bookmarkStart w:id="290" w:name="_Hlk221800592"/>
      <w:r>
        <w:rPr>
          <w:rFonts w:hint="eastAsia" w:eastAsiaTheme="minorEastAsia"/>
          <w:color w:val="000000" w:themeColor="text1"/>
          <w:szCs w:val="21"/>
          <w14:textFill>
            <w14:solidFill>
              <w14:schemeClr w14:val="tx1"/>
            </w14:solidFill>
          </w14:textFill>
        </w:rPr>
        <w:t>4、债券ETF投资策略</w:t>
      </w:r>
    </w:p>
    <w:p>
      <w:pPr>
        <w:spacing w:line="360" w:lineRule="auto"/>
        <w:ind w:firstLine="420"/>
        <w:rPr>
          <w:szCs w:val="21"/>
        </w:rPr>
      </w:pPr>
      <w:r>
        <w:rPr>
          <w:rFonts w:hint="eastAsia" w:eastAsiaTheme="minorEastAsia"/>
          <w:color w:val="000000" w:themeColor="text1"/>
          <w:szCs w:val="21"/>
          <w14:textFill>
            <w14:solidFill>
              <w14:schemeClr w14:val="tx1"/>
            </w14:solidFill>
          </w14:textFill>
        </w:rPr>
        <w:t>本基金在综合研判宏观经济形势、资金供求曲线、利率走势、信用环境和市场流动性等因素的基础上，精选流动性良好、跟踪误差较低的债券ETF进行配置。本基金</w:t>
      </w:r>
      <w:r>
        <w:rPr>
          <w:szCs w:val="21"/>
        </w:rPr>
        <w:t>可根据投资策略需要或市场环境变化，选择将部分基金资产投资于</w:t>
      </w:r>
      <w:r>
        <w:rPr>
          <w:rFonts w:hint="eastAsia"/>
          <w:szCs w:val="21"/>
        </w:rPr>
        <w:t>债券ETF</w:t>
      </w:r>
      <w:r>
        <w:rPr>
          <w:szCs w:val="21"/>
        </w:rPr>
        <w:t>或选择不将基金资产投资于</w:t>
      </w:r>
      <w:r>
        <w:rPr>
          <w:rFonts w:hint="eastAsia"/>
          <w:szCs w:val="21"/>
        </w:rPr>
        <w:t>债券ETF</w:t>
      </w:r>
      <w:r>
        <w:rPr>
          <w:szCs w:val="21"/>
        </w:rPr>
        <w:t>，基金资产并非必然投资</w:t>
      </w:r>
      <w:r>
        <w:rPr>
          <w:rFonts w:hint="eastAsia"/>
          <w:szCs w:val="21"/>
        </w:rPr>
        <w:t>债券ETF</w:t>
      </w:r>
      <w:r>
        <w:rPr>
          <w:szCs w:val="21"/>
        </w:rPr>
        <w:t>。</w:t>
      </w:r>
    </w:p>
    <w:bookmarkEnd w:id="290"/>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5</w:t>
      </w:r>
      <w:r>
        <w:rPr>
          <w:rFonts w:eastAsiaTheme="minorEastAsia"/>
          <w:color w:val="000000" w:themeColor="text1"/>
          <w:szCs w:val="21"/>
          <w14:textFill>
            <w14:solidFill>
              <w14:schemeClr w14:val="tx1"/>
            </w14:solidFill>
          </w14:textFill>
        </w:rPr>
        <w:t>、资产支持证券投资策略</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pPr>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未来，随着证券市场投资工具的发展和丰富，本基金可在不改变投资目标及本基金风险收益特征的前提下，遵循法律法规的规定，</w:t>
      </w:r>
      <w:r>
        <w:rPr>
          <w:rFonts w:hint="eastAsia"/>
          <w:bCs/>
          <w:color w:val="000000" w:themeColor="text1"/>
          <w:szCs w:val="21"/>
          <w14:textFill>
            <w14:solidFill>
              <w14:schemeClr w14:val="tx1"/>
            </w14:solidFill>
          </w14:textFill>
        </w:rPr>
        <w:t>在履行适当程序后</w:t>
      </w:r>
      <w:r>
        <w:rPr>
          <w:bCs/>
          <w:color w:val="000000" w:themeColor="text1"/>
          <w:szCs w:val="21"/>
          <w14:textFill>
            <w14:solidFill>
              <w14:schemeClr w14:val="tx1"/>
            </w14:solidFill>
          </w14:textFill>
        </w:rPr>
        <w:t>相应调整和更新相关投资策略，并在招募说明书更新中公告。</w:t>
      </w:r>
    </w:p>
    <w:p>
      <w:pPr>
        <w:spacing w:line="360" w:lineRule="auto"/>
        <w:ind w:firstLine="420" w:firstLineChars="200"/>
        <w:jc w:val="left"/>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四、投资限制</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291" w:name="_Hlk178017369"/>
      <w:r>
        <w:rPr>
          <w:rFonts w:eastAsiaTheme="minorEastAsia"/>
          <w:bCs/>
          <w:color w:val="000000" w:themeColor="text1"/>
          <w:szCs w:val="21"/>
          <w14:textFill>
            <w14:solidFill>
              <w14:schemeClr w14:val="tx1"/>
            </w14:solidFill>
          </w14:textFill>
        </w:rPr>
        <w:t>1、组合限制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基金的投资组合应遵循以下限制：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r>
        <w:rPr>
          <w:rFonts w:eastAsiaTheme="minorEastAsia"/>
          <w:bCs/>
          <w:color w:val="000000" w:themeColor="text1"/>
          <w:szCs w:val="21"/>
          <w14:textFill>
            <w14:solidFill>
              <w14:schemeClr w14:val="tx1"/>
            </w14:solidFill>
          </w14:textFill>
        </w:rPr>
        <w:t>本</w:t>
      </w:r>
      <w:r>
        <w:rPr>
          <w:rFonts w:hint="eastAsia" w:eastAsiaTheme="minorEastAsia"/>
          <w:bCs/>
          <w:color w:val="000000" w:themeColor="text1"/>
          <w:szCs w:val="21"/>
          <w14:textFill>
            <w14:solidFill>
              <w14:schemeClr w14:val="tx1"/>
            </w14:solidFill>
          </w14:textFill>
        </w:rPr>
        <w:t>基金投资于标的指数成份券及备选成份券的比例不低于基金资产净值的90%</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（2）每个交易日日终</w:t>
      </w:r>
      <w:r>
        <w:rPr>
          <w:bCs/>
          <w:color w:val="000000" w:themeColor="text1"/>
          <w:szCs w:val="21"/>
          <w14:textFill>
            <w14:solidFill>
              <w14:schemeClr w14:val="tx1"/>
            </w14:solidFill>
          </w14:textFill>
        </w:rPr>
        <w:t>保持不低于基金资产净值5%的现金或者到期日在1年以内的政府债券。</w:t>
      </w:r>
      <w:r>
        <w:rPr>
          <w:rFonts w:eastAsiaTheme="minorEastAsia"/>
          <w:bCs/>
          <w:color w:val="000000" w:themeColor="text1"/>
          <w:szCs w:val="21"/>
          <w14:textFill>
            <w14:solidFill>
              <w14:schemeClr w14:val="tx1"/>
            </w14:solidFill>
          </w14:textFill>
        </w:rPr>
        <w:t>其中，现金不包括结算备付金、存出保证金、应收申购款等</w:t>
      </w:r>
      <w:r>
        <w:rPr>
          <w:rFonts w:hint="eastAsia" w:eastAsiaTheme="minorEastAsia"/>
          <w:bCs/>
          <w:color w:val="000000" w:themeColor="text1"/>
          <w:szCs w:val="21"/>
          <w14:textFill>
            <w14:solidFill>
              <w14:schemeClr w14:val="tx1"/>
            </w14:solidFill>
          </w14:textFill>
        </w:rPr>
        <w:t>；</w:t>
      </w:r>
    </w:p>
    <w:p>
      <w:pPr>
        <w:spacing w:line="360" w:lineRule="auto"/>
        <w:ind w:firstLine="420" w:firstLineChars="200"/>
        <w:rPr>
          <w:rFonts w:hint="eastAsia" w:asciiTheme="minorEastAsia" w:hAnsiTheme="minorEastAsia" w:eastAsiaTheme="minorEastAsia"/>
          <w:szCs w:val="21"/>
        </w:rPr>
      </w:pPr>
      <w:bookmarkStart w:id="292" w:name="_Hlk229669689"/>
      <w:r>
        <w:rPr>
          <w:rFonts w:hint="eastAsia" w:asciiTheme="minorEastAsia" w:hAnsiTheme="minorEastAsia" w:eastAsiaTheme="minorEastAsia"/>
          <w:szCs w:val="21"/>
        </w:rPr>
        <w:t>（3</w:t>
      </w:r>
      <w:r>
        <w:rPr>
          <w:rFonts w:asciiTheme="minorEastAsia" w:hAnsiTheme="minorEastAsia" w:eastAsiaTheme="minorEastAsia"/>
          <w:szCs w:val="21"/>
        </w:rPr>
        <w:t>）本基金持有单只基金的市值，不高于本基金资产净值的20%</w:t>
      </w:r>
      <w:r>
        <w:rPr>
          <w:rFonts w:hint="eastAsia" w:asciiTheme="minorEastAsia" w:hAnsiTheme="minorEastAsia" w:eastAsiaTheme="minorEastAsia"/>
          <w:szCs w:val="21"/>
        </w:rPr>
        <w:t>，且不得持有其他基金中基金，但本基金对标的指数成份券及备选成份券的投资不受此限制；</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bCs/>
          <w:szCs w:val="21"/>
        </w:rPr>
        <w:t>除</w:t>
      </w:r>
      <w:r>
        <w:rPr>
          <w:bCs/>
          <w:szCs w:val="21"/>
        </w:rPr>
        <w:t>ETF</w:t>
      </w:r>
      <w:r>
        <w:rPr>
          <w:rFonts w:hint="eastAsia"/>
          <w:bCs/>
          <w:szCs w:val="21"/>
        </w:rPr>
        <w:t>联接基金外，</w:t>
      </w:r>
      <w:r>
        <w:rPr>
          <w:rFonts w:asciiTheme="minorEastAsia" w:hAnsiTheme="minorEastAsia" w:eastAsiaTheme="minorEastAsia"/>
          <w:szCs w:val="21"/>
        </w:rPr>
        <w:t>本基金管理人管理的全部基金</w:t>
      </w:r>
      <w:r>
        <w:rPr>
          <w:rFonts w:hint="eastAsia" w:asciiTheme="minorEastAsia" w:hAnsiTheme="minorEastAsia" w:eastAsiaTheme="minorEastAsia"/>
          <w:szCs w:val="21"/>
        </w:rPr>
        <w:t>中基金</w:t>
      </w:r>
      <w:r>
        <w:rPr>
          <w:rFonts w:asciiTheme="minorEastAsia" w:hAnsiTheme="minorEastAsia" w:eastAsiaTheme="minorEastAsia"/>
          <w:szCs w:val="21"/>
        </w:rPr>
        <w:t>持有单只基金不超过被投资基金净资产的20%，被投资基金净资产规模以最近定期报告披露的规模为准</w:t>
      </w:r>
      <w:r>
        <w:rPr>
          <w:rFonts w:hint="eastAsia" w:asciiTheme="minorEastAsia" w:hAnsiTheme="minorEastAsia" w:eastAsiaTheme="minorEastAsia"/>
          <w:szCs w:val="21"/>
        </w:rPr>
        <w:t>，但本基金对标的指数成份券及备选成份券的投资不受此限制；</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本基金投资其他基金时，被投资基金的运作期限</w:t>
      </w:r>
      <w:r>
        <w:rPr>
          <w:rFonts w:hint="eastAsia" w:asciiTheme="minorEastAsia" w:hAnsiTheme="minorEastAsia" w:eastAsiaTheme="minorEastAsia"/>
          <w:szCs w:val="21"/>
        </w:rPr>
        <w:t>应当</w:t>
      </w:r>
      <w:r>
        <w:rPr>
          <w:rFonts w:asciiTheme="minorEastAsia" w:hAnsiTheme="minorEastAsia" w:eastAsiaTheme="minorEastAsia"/>
          <w:szCs w:val="21"/>
        </w:rPr>
        <w:t>不少于1年，最近定期</w:t>
      </w:r>
      <w:r>
        <w:rPr>
          <w:rFonts w:hint="eastAsia" w:asciiTheme="minorEastAsia" w:hAnsiTheme="minorEastAsia" w:eastAsiaTheme="minorEastAsia"/>
          <w:szCs w:val="21"/>
        </w:rPr>
        <w:t>报告</w:t>
      </w:r>
      <w:r>
        <w:rPr>
          <w:rFonts w:asciiTheme="minorEastAsia" w:hAnsiTheme="minorEastAsia" w:eastAsiaTheme="minorEastAsia"/>
          <w:szCs w:val="21"/>
        </w:rPr>
        <w:t>披露的基金净资产应当不低于1亿元</w:t>
      </w:r>
      <w:r>
        <w:rPr>
          <w:rFonts w:hint="eastAsia" w:asciiTheme="minorEastAsia" w:hAnsiTheme="minorEastAsia" w:eastAsiaTheme="minorEastAsia"/>
          <w:szCs w:val="21"/>
        </w:rPr>
        <w:t>，但本基金对标的指数成份券及备选成份券的投资不受此限制；</w:t>
      </w:r>
    </w:p>
    <w:bookmarkEnd w:id="292"/>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6</w:t>
      </w:r>
      <w:r>
        <w:rPr>
          <w:rFonts w:eastAsiaTheme="minorEastAsia"/>
          <w:bCs/>
          <w:color w:val="000000" w:themeColor="text1"/>
          <w:szCs w:val="21"/>
          <w14:textFill>
            <w14:solidFill>
              <w14:schemeClr w14:val="tx1"/>
            </w14:solidFill>
          </w14:textFill>
        </w:rPr>
        <w:t>）本基金投资于同一原始权益人的各类资产支持证券的比例，不得超过基金资产净值的10</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7</w:t>
      </w:r>
      <w:r>
        <w:rPr>
          <w:rFonts w:eastAsiaTheme="minorEastAsia"/>
          <w:bCs/>
          <w:color w:val="000000" w:themeColor="text1"/>
          <w:szCs w:val="21"/>
          <w14:textFill>
            <w14:solidFill>
              <w14:schemeClr w14:val="tx1"/>
            </w14:solidFill>
          </w14:textFill>
        </w:rPr>
        <w:t>）本基金持有的全部资产支持证券，其市值不得超过基金资产净值的20</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8</w:t>
      </w:r>
      <w:r>
        <w:rPr>
          <w:rFonts w:eastAsiaTheme="minorEastAsia"/>
          <w:bCs/>
          <w:color w:val="000000" w:themeColor="text1"/>
          <w:szCs w:val="21"/>
          <w14:textFill>
            <w14:solidFill>
              <w14:schemeClr w14:val="tx1"/>
            </w14:solidFill>
          </w14:textFill>
        </w:rPr>
        <w:t>）本基金持有的同一</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指同一信用级别</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资产支持证券的比例，不得超过该资产支持证券规模的10</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9</w:t>
      </w:r>
      <w:r>
        <w:rPr>
          <w:rFonts w:eastAsiaTheme="minorEastAsia"/>
          <w:bCs/>
          <w:color w:val="000000" w:themeColor="text1"/>
          <w:szCs w:val="21"/>
          <w14:textFill>
            <w14:solidFill>
              <w14:schemeClr w14:val="tx1"/>
            </w14:solidFill>
          </w14:textFill>
        </w:rPr>
        <w:t>）本基金管理人管理的全部基金投资于同一原始权益人的各类资产支持证券，不得超过其各类资产支持证券合计规模的10</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10</w:t>
      </w:r>
      <w:r>
        <w:rPr>
          <w:rFonts w:eastAsiaTheme="minorEastAsia"/>
          <w:bCs/>
          <w:color w:val="000000" w:themeColor="text1"/>
          <w:szCs w:val="21"/>
          <w14:textFill>
            <w14:solidFill>
              <w14:schemeClr w14:val="tx1"/>
            </w14:solidFill>
          </w14:textFill>
        </w:rPr>
        <w:t>）本基金应投资于信用级别评级为BBB以上(含BBB)的资产支持证券。基金持有资产支持证券期间，如果其信用等级下降、不再符合投资标准，应在评级报告发布之日起3个月内予以全部卖出；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11</w:t>
      </w:r>
      <w:r>
        <w:rPr>
          <w:rFonts w:eastAsiaTheme="minorEastAsia"/>
          <w:bCs/>
          <w:color w:val="000000" w:themeColor="text1"/>
          <w:szCs w:val="21"/>
          <w14:textFill>
            <w14:solidFill>
              <w14:schemeClr w14:val="tx1"/>
            </w14:solidFill>
          </w14:textFill>
        </w:rPr>
        <w:t>）本基金总资产不得超过基金净资产的 140%；</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12</w:t>
      </w:r>
      <w:r>
        <w:rPr>
          <w:rFonts w:eastAsiaTheme="minorEastAsia"/>
          <w:bCs/>
          <w:color w:val="000000" w:themeColor="text1"/>
          <w:szCs w:val="21"/>
          <w14:textFill>
            <w14:solidFill>
              <w14:schemeClr w14:val="tx1"/>
            </w14:solidFill>
          </w14:textFill>
        </w:rPr>
        <w:t>）本基金主动投资于流动性受限资产的市值合计不得超过</w:t>
      </w:r>
      <w:r>
        <w:rPr>
          <w:rFonts w:hint="eastAsia" w:eastAsiaTheme="minorEastAsia"/>
          <w:bCs/>
          <w:color w:val="000000" w:themeColor="text1"/>
          <w:szCs w:val="21"/>
          <w14:textFill>
            <w14:solidFill>
              <w14:schemeClr w14:val="tx1"/>
            </w14:solidFill>
          </w14:textFill>
        </w:rPr>
        <w:t>本</w:t>
      </w:r>
      <w:r>
        <w:rPr>
          <w:rFonts w:eastAsiaTheme="minorEastAsia"/>
          <w:bCs/>
          <w:color w:val="000000" w:themeColor="text1"/>
          <w:szCs w:val="21"/>
          <w14:textFill>
            <w14:solidFill>
              <w14:schemeClr w14:val="tx1"/>
            </w14:solidFill>
          </w14:textFill>
        </w:rPr>
        <w:t>基金资产净值的15%；因证券市场波动、基金规模变动等基金管理人之外的因素致使基金不符合该比例限制的，基金管理人不得主动新增流动性受限资产的投资；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13</w:t>
      </w:r>
      <w:r>
        <w:rPr>
          <w:rFonts w:eastAsiaTheme="minorEastAsia"/>
          <w:bCs/>
          <w:color w:val="000000" w:themeColor="text1"/>
          <w:szCs w:val="21"/>
          <w14:textFill>
            <w14:solidFill>
              <w14:schemeClr w14:val="tx1"/>
            </w14:solidFill>
          </w14:textFill>
        </w:rPr>
        <w:t>）本基金与私募类证券资管产品及中国证监会认定的其他主体为交易对手开展逆回购交易的，可接受质押品的资质要求应当与</w:t>
      </w:r>
      <w:r>
        <w:rPr>
          <w:rFonts w:hint="eastAsia" w:eastAsiaTheme="minorEastAsia"/>
          <w:bCs/>
          <w:color w:val="000000" w:themeColor="text1"/>
          <w:szCs w:val="21"/>
          <w14:textFill>
            <w14:solidFill>
              <w14:schemeClr w14:val="tx1"/>
            </w14:solidFill>
          </w14:textFill>
        </w:rPr>
        <w:t>本</w:t>
      </w:r>
      <w:r>
        <w:rPr>
          <w:rFonts w:eastAsiaTheme="minorEastAsia"/>
          <w:bCs/>
          <w:color w:val="000000" w:themeColor="text1"/>
          <w:szCs w:val="21"/>
          <w14:textFill>
            <w14:solidFill>
              <w14:schemeClr w14:val="tx1"/>
            </w14:solidFill>
          </w14:textFill>
        </w:rPr>
        <w:t>基金合同约定的投资范围保持一致；</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1</w:t>
      </w:r>
      <w:r>
        <w:rPr>
          <w:rFonts w:hint="eastAsia" w:eastAsiaTheme="minorEastAsia"/>
          <w:bCs/>
          <w:color w:val="000000" w:themeColor="text1"/>
          <w:szCs w:val="21"/>
          <w14:textFill>
            <w14:solidFill>
              <w14:schemeClr w14:val="tx1"/>
            </w14:solidFill>
          </w14:textFill>
        </w:rPr>
        <w:t>4）</w:t>
      </w:r>
      <w:r>
        <w:rPr>
          <w:rFonts w:eastAsiaTheme="minorEastAsia"/>
          <w:bCs/>
          <w:color w:val="000000" w:themeColor="text1"/>
          <w:szCs w:val="21"/>
          <w14:textFill>
            <w14:solidFill>
              <w14:schemeClr w14:val="tx1"/>
            </w14:solidFill>
          </w14:textFill>
        </w:rPr>
        <w:t>法律法规及中国证监会规定的和《基金合同》约定的其他投资限制。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因证券市场波动、基金规模变动等基金管理人之外因素致使基金投资不符合前款第（3）、（4）项约定的投资比例的，基金管理人应当在20个交易日内进行调整，但中国证监会规定的特殊情形除外。</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除上述第（2）、</w:t>
      </w:r>
      <w:bookmarkStart w:id="293" w:name="_Hlk229670565"/>
      <w:bookmarkStart w:id="294" w:name="_Hlk229670942"/>
      <w:bookmarkStart w:id="295" w:name="_Hlk229685891"/>
      <w:r>
        <w:rPr>
          <w:rFonts w:hint="eastAsia" w:eastAsiaTheme="minorEastAsia"/>
          <w:bCs/>
          <w:color w:val="000000" w:themeColor="text1"/>
          <w:szCs w:val="21"/>
          <w14:textFill>
            <w14:solidFill>
              <w14:schemeClr w14:val="tx1"/>
            </w14:solidFill>
          </w14:textFill>
        </w:rPr>
        <w:t>（3）、（4）、</w:t>
      </w: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10</w:t>
      </w:r>
      <w:r>
        <w:rPr>
          <w:rFonts w:eastAsiaTheme="minorEastAsia"/>
          <w:bCs/>
          <w:color w:val="000000" w:themeColor="text1"/>
          <w:szCs w:val="21"/>
          <w14:textFill>
            <w14:solidFill>
              <w14:schemeClr w14:val="tx1"/>
            </w14:solidFill>
          </w14:textFill>
        </w:rPr>
        <w:t>）、（1</w:t>
      </w:r>
      <w:r>
        <w:rPr>
          <w:rFonts w:hint="eastAsia" w:eastAsiaTheme="minorEastAsia"/>
          <w:bCs/>
          <w:color w:val="000000" w:themeColor="text1"/>
          <w:szCs w:val="21"/>
          <w14:textFill>
            <w14:solidFill>
              <w14:schemeClr w14:val="tx1"/>
            </w14:solidFill>
          </w14:textFill>
        </w:rPr>
        <w:t>2</w:t>
      </w:r>
      <w:r>
        <w:rPr>
          <w:rFonts w:eastAsiaTheme="minorEastAsia"/>
          <w:bCs/>
          <w:color w:val="000000" w:themeColor="text1"/>
          <w:szCs w:val="21"/>
          <w14:textFill>
            <w14:solidFill>
              <w14:schemeClr w14:val="tx1"/>
            </w14:solidFill>
          </w14:textFill>
        </w:rPr>
        <w:t>）</w:t>
      </w:r>
      <w:bookmarkEnd w:id="293"/>
      <w:r>
        <w:rPr>
          <w:rFonts w:eastAsiaTheme="minorEastAsia"/>
          <w:bCs/>
          <w:color w:val="000000" w:themeColor="text1"/>
          <w:szCs w:val="21"/>
          <w14:textFill>
            <w14:solidFill>
              <w14:schemeClr w14:val="tx1"/>
            </w14:solidFill>
          </w14:textFill>
        </w:rPr>
        <w:t>、（1</w:t>
      </w:r>
      <w:r>
        <w:rPr>
          <w:rFonts w:hint="eastAsia" w:eastAsiaTheme="minorEastAsia"/>
          <w:bCs/>
          <w:color w:val="000000" w:themeColor="text1"/>
          <w:szCs w:val="21"/>
          <w14:textFill>
            <w14:solidFill>
              <w14:schemeClr w14:val="tx1"/>
            </w14:solidFill>
          </w14:textFill>
        </w:rPr>
        <w:t>3</w:t>
      </w:r>
      <w:r>
        <w:rPr>
          <w:rFonts w:eastAsiaTheme="minorEastAsia"/>
          <w:bCs/>
          <w:color w:val="000000" w:themeColor="text1"/>
          <w:szCs w:val="21"/>
          <w14:textFill>
            <w14:solidFill>
              <w14:schemeClr w14:val="tx1"/>
            </w14:solidFill>
          </w14:textFill>
        </w:rPr>
        <w:t>）</w:t>
      </w:r>
      <w:bookmarkEnd w:id="294"/>
      <w:bookmarkEnd w:id="295"/>
      <w:r>
        <w:rPr>
          <w:rFonts w:eastAsiaTheme="minorEastAsia"/>
          <w:bCs/>
          <w:color w:val="000000" w:themeColor="text1"/>
          <w:szCs w:val="21"/>
          <w14:textFill>
            <w14:solidFill>
              <w14:schemeClr w14:val="tx1"/>
            </w14:solidFill>
          </w14:textFill>
        </w:rPr>
        <w:t>项外，因证券市场波动、</w:t>
      </w:r>
      <w:r>
        <w:rPr>
          <w:rFonts w:hint="eastAsia" w:eastAsiaTheme="minorEastAsia"/>
          <w:bCs/>
          <w:color w:val="000000" w:themeColor="text1"/>
          <w:szCs w:val="21"/>
          <w14:textFill>
            <w14:solidFill>
              <w14:schemeClr w14:val="tx1"/>
            </w14:solidFill>
          </w14:textFill>
        </w:rPr>
        <w:t>证券发行人</w:t>
      </w:r>
      <w:r>
        <w:rPr>
          <w:rFonts w:eastAsiaTheme="minorEastAsia"/>
          <w:bCs/>
          <w:color w:val="000000" w:themeColor="text1"/>
          <w:szCs w:val="21"/>
          <w14:textFill>
            <w14:solidFill>
              <w14:schemeClr w14:val="tx1"/>
            </w14:solidFill>
          </w14:textFill>
        </w:rPr>
        <w:t>合并、基金规模变动、标的指数成份券调整、标的指数成份券流动性限制等基金管理人之外的因素致使基金投资比例不符合上述规定投资比例的，基金管理人应当在</w:t>
      </w:r>
      <w:r>
        <w:rPr>
          <w:rFonts w:hint="eastAsia" w:eastAsiaTheme="minorEastAsia"/>
          <w:bCs/>
          <w:color w:val="000000" w:themeColor="text1"/>
          <w:szCs w:val="21"/>
          <w14:textFill>
            <w14:solidFill>
              <w14:schemeClr w14:val="tx1"/>
            </w14:solidFill>
          </w14:textFill>
        </w:rPr>
        <w:t>相关标的流动性恢复后</w:t>
      </w:r>
      <w:r>
        <w:rPr>
          <w:rFonts w:eastAsiaTheme="minorEastAsia"/>
          <w:bCs/>
          <w:color w:val="000000" w:themeColor="text1"/>
          <w:szCs w:val="21"/>
          <w14:textFill>
            <w14:solidFill>
              <w14:schemeClr w14:val="tx1"/>
            </w14:solidFill>
          </w14:textFill>
        </w:rPr>
        <w:t>10个交易日内进行调整，但中国证监会规定的特殊情形除外。</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法律法规或监管部门取消上述限制，如适用于本基金，基金管理人在履行适当程序与基金托管人协商一致后，则本基金投资不再受相关限制。若因法律法规变更导致本合同关于投资范围、投资比例、投资限制的约定与届时有效的法律法规规定存在不一致或冲突，基金管理人应当按届时有效的法律法规的规定执行。</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2、禁止行为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为维护基金份额持有人的合法权益，基金财产不得用于下列投资或者活动：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（1）承销证券；</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（2）违反规定向他人贷款或者提供担保；</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（3）从事承担无限责任的投资；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（4）向其基金管理人、基金托管人出资；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（5）从事内幕交易、操纵证券交易价格及其他不正当的证券交易活动；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（6）法律、行政法规和中国证监会规定禁止的其他活动。</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296" w:name="_Hlk536363153"/>
      <w:r>
        <w:rPr>
          <w:rFonts w:eastAsiaTheme="minorEastAsia"/>
          <w:bCs/>
          <w:color w:val="000000" w:themeColor="text1"/>
          <w:szCs w:val="21"/>
          <w14:textFill>
            <w14:solidFill>
              <w14:schemeClr w14:val="tx1"/>
            </w14:solidFill>
          </w14:textFill>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297" w:name="_Hlk175736467"/>
      <w:r>
        <w:rPr>
          <w:rFonts w:hint="eastAsia" w:eastAsiaTheme="minorEastAsia"/>
          <w:bCs/>
          <w:color w:val="000000" w:themeColor="text1"/>
          <w:szCs w:val="21"/>
          <w14:textFill>
            <w14:solidFill>
              <w14:schemeClr w14:val="tx1"/>
            </w14:solidFill>
          </w14:textFill>
        </w:rPr>
        <w:t>本基金投资基金管理人或基金管理人关联方或基金托管人关联方管理基金的情况，不属于前述重大关联交易，但是应当按照法律法规或监管规定的要求履行信息披露义务。</w:t>
      </w:r>
    </w:p>
    <w:bookmarkEnd w:id="296"/>
    <w:bookmarkEnd w:id="297"/>
    <w:p>
      <w:pPr>
        <w:spacing w:line="360" w:lineRule="auto"/>
        <w:ind w:firstLine="420" w:firstLineChars="200"/>
        <w:rPr>
          <w:rFonts w:eastAsiaTheme="minorEastAsia"/>
          <w:bCs/>
          <w:color w:val="000000" w:themeColor="text1"/>
          <w:szCs w:val="21"/>
          <w14:textFill>
            <w14:solidFill>
              <w14:schemeClr w14:val="tx1"/>
            </w14:solidFill>
          </w14:textFill>
        </w:rPr>
      </w:pPr>
      <w:bookmarkStart w:id="298" w:name="_Hlk61335126"/>
      <w:r>
        <w:rPr>
          <w:rFonts w:eastAsiaTheme="minorEastAsia"/>
          <w:bCs/>
          <w:color w:val="000000" w:themeColor="text1"/>
          <w:szCs w:val="21"/>
          <w14:textFill>
            <w14:solidFill>
              <w14:schemeClr w14:val="tx1"/>
            </w14:solidFill>
          </w14:textFill>
        </w:rPr>
        <w:t>法律、行政法规或监管部门取消</w:t>
      </w:r>
      <w:r>
        <w:rPr>
          <w:rFonts w:hint="eastAsia" w:eastAsiaTheme="minorEastAsia"/>
          <w:bCs/>
          <w:color w:val="000000" w:themeColor="text1"/>
          <w:szCs w:val="21"/>
          <w14:textFill>
            <w14:solidFill>
              <w14:schemeClr w14:val="tx1"/>
            </w14:solidFill>
          </w14:textFill>
        </w:rPr>
        <w:t>或变更</w:t>
      </w:r>
      <w:r>
        <w:rPr>
          <w:rFonts w:eastAsiaTheme="minorEastAsia"/>
          <w:bCs/>
          <w:color w:val="000000" w:themeColor="text1"/>
          <w:szCs w:val="21"/>
          <w14:textFill>
            <w14:solidFill>
              <w14:schemeClr w14:val="tx1"/>
            </w14:solidFill>
          </w14:textFill>
        </w:rPr>
        <w:t>上述禁止性规定的，</w:t>
      </w:r>
      <w:bookmarkStart w:id="299" w:name="_Hlk536363084"/>
      <w:r>
        <w:rPr>
          <w:rFonts w:eastAsiaTheme="minorEastAsia"/>
          <w:bCs/>
          <w:color w:val="000000" w:themeColor="text1"/>
          <w:szCs w:val="21"/>
          <w14:textFill>
            <w14:solidFill>
              <w14:schemeClr w14:val="tx1"/>
            </w14:solidFill>
          </w14:textFill>
        </w:rPr>
        <w:t>如适用于本基金，</w:t>
      </w:r>
      <w:bookmarkEnd w:id="299"/>
      <w:r>
        <w:rPr>
          <w:rFonts w:eastAsiaTheme="minorEastAsia"/>
          <w:bCs/>
          <w:color w:val="000000" w:themeColor="text1"/>
          <w:szCs w:val="21"/>
          <w14:textFill>
            <w14:solidFill>
              <w14:schemeClr w14:val="tx1"/>
            </w14:solidFill>
          </w14:textFill>
        </w:rPr>
        <w:t>则本基金投资不再受上述相关限制</w:t>
      </w:r>
      <w:r>
        <w:rPr>
          <w:rFonts w:hint="eastAsia" w:eastAsiaTheme="minorEastAsia"/>
          <w:bCs/>
          <w:color w:val="000000" w:themeColor="text1"/>
          <w:szCs w:val="21"/>
          <w14:textFill>
            <w14:solidFill>
              <w14:schemeClr w14:val="tx1"/>
            </w14:solidFill>
          </w14:textFill>
        </w:rPr>
        <w:t>，自动遵守届时有效的法律法规或监管规定</w:t>
      </w:r>
      <w:r>
        <w:rPr>
          <w:rFonts w:eastAsiaTheme="minorEastAsia"/>
          <w:bCs/>
          <w:color w:val="000000" w:themeColor="text1"/>
          <w:szCs w:val="21"/>
          <w14:textFill>
            <w14:solidFill>
              <w14:schemeClr w14:val="tx1"/>
            </w14:solidFill>
          </w14:textFill>
        </w:rPr>
        <w:t>。</w:t>
      </w:r>
      <w:bookmarkEnd w:id="298"/>
    </w:p>
    <w:bookmarkEnd w:id="283"/>
    <w:bookmarkEnd w:id="291"/>
    <w:p>
      <w:pPr>
        <w:spacing w:line="360" w:lineRule="auto"/>
        <w:ind w:firstLine="420" w:firstLineChars="200"/>
        <w:rPr>
          <w:rFonts w:eastAsiaTheme="minorEastAsia"/>
          <w:bCs/>
          <w:color w:val="000000" w:themeColor="text1"/>
          <w:szCs w:val="21"/>
          <w14:textFill>
            <w14:solidFill>
              <w14:schemeClr w14:val="tx1"/>
            </w14:solidFill>
          </w14:textFill>
        </w:rPr>
      </w:pPr>
      <w:bookmarkStart w:id="300" w:name="_Hlk61282867"/>
      <w:r>
        <w:rPr>
          <w:rFonts w:eastAsiaTheme="minorEastAsia"/>
          <w:bCs/>
          <w:color w:val="000000" w:themeColor="text1"/>
          <w:szCs w:val="21"/>
          <w14:textFill>
            <w14:solidFill>
              <w14:schemeClr w14:val="tx1"/>
            </w14:solidFill>
          </w14:textFill>
        </w:rPr>
        <w:t>五、业绩比较基准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本基金的标的指数为</w:t>
      </w:r>
      <w:r>
        <w:rPr>
          <w:rFonts w:hint="eastAsia" w:eastAsiaTheme="minorEastAsia"/>
          <w:bCs/>
          <w:color w:val="000000" w:themeColor="text1"/>
          <w:szCs w:val="21"/>
          <w14:textFill>
            <w14:solidFill>
              <w14:schemeClr w14:val="tx1"/>
            </w14:solidFill>
          </w14:textFill>
        </w:rPr>
        <w:t>中证REITs全收益指数。</w:t>
      </w:r>
    </w:p>
    <w:p>
      <w:pPr>
        <w:spacing w:line="360" w:lineRule="auto"/>
        <w:ind w:firstLine="420" w:firstLineChars="200"/>
        <w:rPr>
          <w:rFonts w:hint="eastAsia"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本基金</w:t>
      </w:r>
      <w:r>
        <w:rPr>
          <w:rFonts w:asciiTheme="minorEastAsia" w:hAnsiTheme="minorEastAsia" w:eastAsiaTheme="minorEastAsia"/>
          <w:color w:val="000000" w:themeColor="text1"/>
          <w:szCs w:val="21"/>
          <w14:textFill>
            <w14:solidFill>
              <w14:schemeClr w14:val="tx1"/>
            </w14:solidFill>
          </w14:textFill>
        </w:rPr>
        <w:t>业绩比较基准</w:t>
      </w:r>
      <w:r>
        <w:rPr>
          <w:rFonts w:asciiTheme="minorEastAsia" w:hAnsiTheme="minorEastAsia" w:eastAsiaTheme="minorEastAsia"/>
          <w:bCs/>
          <w:color w:val="000000" w:themeColor="text1"/>
          <w:szCs w:val="21"/>
          <w14:textFill>
            <w14:solidFill>
              <w14:schemeClr w14:val="tx1"/>
            </w14:solidFill>
          </w14:textFill>
        </w:rPr>
        <w:t>为中证REITs全收益指数收益率</w:t>
      </w:r>
      <w:r>
        <w:rPr>
          <w:rFonts w:hint="eastAsia" w:asciiTheme="minorEastAsia" w:hAnsiTheme="minorEastAsia" w:eastAsiaTheme="minorEastAsia"/>
          <w:bCs/>
          <w:color w:val="000000" w:themeColor="text1"/>
          <w:szCs w:val="21"/>
          <w14:textFill>
            <w14:solidFill>
              <w14:schemeClr w14:val="tx1"/>
            </w14:solidFill>
          </w14:textFill>
        </w:rPr>
        <w:t>*</w:t>
      </w:r>
      <w:r>
        <w:rPr>
          <w:rFonts w:asciiTheme="minorEastAsia" w:hAnsiTheme="minorEastAsia" w:eastAsiaTheme="minorEastAsia"/>
          <w:bCs/>
          <w:color w:val="000000" w:themeColor="text1"/>
          <w:szCs w:val="21"/>
          <w14:textFill>
            <w14:solidFill>
              <w14:schemeClr w14:val="tx1"/>
            </w14:solidFill>
          </w14:textFill>
        </w:rPr>
        <w:t>95%＋活期存款</w:t>
      </w:r>
      <w:r>
        <w:rPr>
          <w:rFonts w:hint="eastAsia" w:asciiTheme="minorEastAsia" w:hAnsiTheme="minorEastAsia" w:eastAsiaTheme="minorEastAsia"/>
          <w:bCs/>
          <w:color w:val="000000" w:themeColor="text1"/>
          <w:szCs w:val="21"/>
          <w14:textFill>
            <w14:solidFill>
              <w14:schemeClr w14:val="tx1"/>
            </w14:solidFill>
          </w14:textFill>
        </w:rPr>
        <w:t>基准</w:t>
      </w:r>
      <w:r>
        <w:rPr>
          <w:rFonts w:asciiTheme="minorEastAsia" w:hAnsiTheme="minorEastAsia" w:eastAsiaTheme="minorEastAsia"/>
          <w:bCs/>
          <w:color w:val="000000" w:themeColor="text1"/>
          <w:szCs w:val="21"/>
          <w14:textFill>
            <w14:solidFill>
              <w14:schemeClr w14:val="tx1"/>
            </w14:solidFill>
          </w14:textFill>
        </w:rPr>
        <w:t>利率</w:t>
      </w:r>
      <w:r>
        <w:rPr>
          <w:rFonts w:hint="eastAsia" w:asciiTheme="minorEastAsia" w:hAnsiTheme="minorEastAsia" w:eastAsiaTheme="minorEastAsia"/>
          <w:bCs/>
          <w:color w:val="000000" w:themeColor="text1"/>
          <w:szCs w:val="21"/>
          <w14:textFill>
            <w14:solidFill>
              <w14:schemeClr w14:val="tx1"/>
            </w14:solidFill>
          </w14:textFill>
        </w:rPr>
        <w:t>*</w:t>
      </w:r>
      <w:r>
        <w:rPr>
          <w:rFonts w:asciiTheme="minorEastAsia" w:hAnsiTheme="minorEastAsia" w:eastAsiaTheme="minorEastAsia"/>
          <w:bCs/>
          <w:color w:val="000000" w:themeColor="text1"/>
          <w:szCs w:val="21"/>
          <w14:textFill>
            <w14:solidFill>
              <w14:schemeClr w14:val="tx1"/>
            </w14:solidFill>
          </w14:textFill>
        </w:rPr>
        <w:t xml:space="preserve">5%。 </w:t>
      </w:r>
      <w:r>
        <w:rPr>
          <w:rFonts w:hint="eastAsia" w:asciiTheme="minorEastAsia" w:hAnsiTheme="minorEastAsia" w:eastAsiaTheme="minorEastAsia"/>
          <w:bCs/>
          <w:color w:val="000000" w:themeColor="text1"/>
          <w:szCs w:val="21"/>
          <w14:textFill>
            <w14:solidFill>
              <w14:schemeClr w14:val="tx1"/>
            </w14:solidFill>
          </w14:textFill>
        </w:rPr>
        <w:t>本基金标的指数变更的，相应更换基金名称和业绩比较基准。</w:t>
      </w:r>
    </w:p>
    <w:p>
      <w:pPr>
        <w:pStyle w:val="69"/>
        <w:spacing w:line="360" w:lineRule="auto"/>
        <w:ind w:left="420" w:firstLine="0" w:firstLineChars="0"/>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1、业绩比较基准设定的原因</w:t>
      </w:r>
    </w:p>
    <w:p>
      <w:pPr>
        <w:spacing w:line="360" w:lineRule="auto"/>
        <w:ind w:firstLine="420" w:firstLineChars="200"/>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szCs w:val="21"/>
        </w:rPr>
        <w:t>本基金为指数基金，主要通过</w:t>
      </w:r>
      <w:r>
        <w:rPr>
          <w:rFonts w:hint="eastAsia" w:asciiTheme="minorEastAsia" w:hAnsiTheme="minorEastAsia" w:eastAsiaTheme="minorEastAsia"/>
        </w:rPr>
        <w:t>紧密跟踪标的指数，追求跟踪偏离度和跟踪误差的最小化</w:t>
      </w:r>
      <w:r>
        <w:rPr>
          <w:rFonts w:hint="eastAsia" w:asciiTheme="minorEastAsia" w:hAnsiTheme="minorEastAsia" w:eastAsiaTheme="minorEastAsia"/>
          <w:bCs/>
          <w:szCs w:val="21"/>
        </w:rPr>
        <w:t>。本基金的标的指数为</w:t>
      </w:r>
      <w:r>
        <w:rPr>
          <w:rFonts w:asciiTheme="minorEastAsia" w:hAnsiTheme="minorEastAsia" w:eastAsiaTheme="minorEastAsia"/>
          <w:bCs/>
          <w:szCs w:val="21"/>
        </w:rPr>
        <w:t>中证REITs全收益指数</w:t>
      </w:r>
      <w:r>
        <w:rPr>
          <w:rFonts w:hint="eastAsia" w:asciiTheme="minorEastAsia" w:hAnsiTheme="minorEastAsia" w:eastAsiaTheme="minorEastAsia"/>
          <w:bCs/>
          <w:szCs w:val="21"/>
        </w:rPr>
        <w:t>，相应选取</w:t>
      </w:r>
      <w:r>
        <w:rPr>
          <w:rFonts w:asciiTheme="minorEastAsia" w:hAnsiTheme="minorEastAsia" w:eastAsiaTheme="minorEastAsia"/>
          <w:bCs/>
          <w:szCs w:val="21"/>
        </w:rPr>
        <w:t>中证REITs全收益指数</w:t>
      </w:r>
      <w:r>
        <w:rPr>
          <w:rFonts w:hint="eastAsia" w:asciiTheme="minorEastAsia" w:hAnsiTheme="minorEastAsia" w:eastAsiaTheme="minorEastAsia"/>
          <w:bCs/>
          <w:szCs w:val="21"/>
        </w:rPr>
        <w:t>作为REITs部分的基准要素；同时，本基金选取具有较强的权威性和市场影响力的活期存款基准利率，作为本基金流动性管理部分的基准要素。基于基金投资于标的指数成份券及备选成份券的比例不低于基金资产净值的90%等投资比例限制，以及预期的投资比例情况，本基金将</w:t>
      </w:r>
      <w:r>
        <w:rPr>
          <w:rFonts w:asciiTheme="minorEastAsia" w:hAnsiTheme="minorEastAsia" w:eastAsiaTheme="minorEastAsia"/>
          <w:bCs/>
          <w:szCs w:val="21"/>
        </w:rPr>
        <w:t>中证REITs全收益指数</w:t>
      </w:r>
      <w:r>
        <w:rPr>
          <w:rFonts w:hint="eastAsia" w:asciiTheme="minorEastAsia" w:hAnsiTheme="minorEastAsia" w:eastAsiaTheme="minorEastAsia"/>
          <w:bCs/>
          <w:szCs w:val="21"/>
        </w:rPr>
        <w:t>、活期存款基准利率所对应的基准要素权重分别设置为95%与5%。</w:t>
      </w:r>
    </w:p>
    <w:p>
      <w:pPr>
        <w:spacing w:line="360" w:lineRule="auto"/>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综上，本基金选取的业绩比较基准与基金投资目标、投资范围、投资策略、投资比例限制相匹配。</w:t>
      </w:r>
    </w:p>
    <w:p>
      <w:pPr>
        <w:spacing w:line="360" w:lineRule="auto"/>
        <w:ind w:firstLine="420"/>
        <w:rPr>
          <w:rFonts w:hint="eastAsia" w:asciiTheme="minorEastAsia" w:hAnsiTheme="minorEastAsia" w:eastAsiaTheme="minorEastAsia"/>
          <w:bCs/>
          <w:szCs w:val="21"/>
        </w:rPr>
      </w:pPr>
      <w:r>
        <w:rPr>
          <w:rFonts w:asciiTheme="minorEastAsia" w:hAnsiTheme="minorEastAsia" w:eastAsiaTheme="minorEastAsia"/>
          <w:bCs/>
          <w:szCs w:val="21"/>
        </w:rPr>
        <w:t>2</w:t>
      </w:r>
      <w:r>
        <w:rPr>
          <w:rFonts w:hint="eastAsia" w:asciiTheme="minorEastAsia" w:hAnsiTheme="minorEastAsia" w:eastAsiaTheme="minorEastAsia"/>
          <w:bCs/>
          <w:szCs w:val="21"/>
        </w:rPr>
        <w:t>、业绩比较基准要素的基本信息</w:t>
      </w:r>
    </w:p>
    <w:p>
      <w:pPr>
        <w:spacing w:line="360" w:lineRule="auto"/>
        <w:ind w:firstLine="420" w:firstLineChars="200"/>
        <w:rPr>
          <w:rFonts w:hint="eastAsia"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szCs w:val="21"/>
        </w:rPr>
        <w:t>中证REITs全收益指数由中证指数有限公司编制发布，指数代码为</w:t>
      </w:r>
      <w:r>
        <w:rPr>
          <w:rFonts w:hint="eastAsia" w:asciiTheme="minorEastAsia" w:hAnsiTheme="minorEastAsia" w:eastAsiaTheme="minorEastAsia"/>
          <w:bCs/>
          <w:szCs w:val="21"/>
        </w:rPr>
        <w:t>932047</w:t>
      </w:r>
      <w:r>
        <w:rPr>
          <w:rFonts w:asciiTheme="minorEastAsia" w:hAnsiTheme="minorEastAsia" w:eastAsiaTheme="minorEastAsia"/>
          <w:bCs/>
          <w:szCs w:val="21"/>
        </w:rPr>
        <w:t>，指数具体信息详见中证指数有限公司网站，网址：www.csindex.com.cn</w:t>
      </w:r>
      <w:r>
        <w:rPr>
          <w:rFonts w:hint="eastAsia" w:asciiTheme="minorEastAsia" w:hAnsiTheme="minorEastAsia" w:eastAsiaTheme="minorEastAsia"/>
          <w:bCs/>
          <w:szCs w:val="21"/>
        </w:rPr>
        <w:t>。</w:t>
      </w:r>
    </w:p>
    <w:p>
      <w:pPr>
        <w:spacing w:line="360" w:lineRule="auto"/>
        <w:ind w:firstLine="420" w:firstLineChars="200"/>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szCs w:val="21"/>
        </w:rPr>
        <w:t>活期存款基准利率由中国人民银行发布，具体信息详见中国人民银行网站，网址：www.pbc.gov.cn。</w:t>
      </w:r>
    </w:p>
    <w:p>
      <w:pPr>
        <w:spacing w:line="360" w:lineRule="auto"/>
        <w:ind w:firstLine="420"/>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3、业绩比较基准的计算方法</w:t>
      </w:r>
    </w:p>
    <w:p>
      <w:pPr>
        <w:spacing w:line="360" w:lineRule="auto"/>
        <w:ind w:firstLine="420" w:firstLineChars="200"/>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本基金业绩比较基准收益率的计算方法以每日收益率为基础，以时间加权为计算原则。本基金先分别计算业绩比较基准中</w:t>
      </w:r>
      <w:r>
        <w:rPr>
          <w:rFonts w:asciiTheme="minorEastAsia" w:hAnsiTheme="minorEastAsia" w:eastAsiaTheme="minorEastAsia"/>
          <w:bCs/>
          <w:szCs w:val="21"/>
        </w:rPr>
        <w:t>中证REITs全收益指数</w:t>
      </w:r>
      <w:r>
        <w:rPr>
          <w:rFonts w:hint="eastAsia" w:asciiTheme="minorEastAsia" w:hAnsiTheme="minorEastAsia" w:eastAsiaTheme="minorEastAsia"/>
          <w:bCs/>
          <w:color w:val="000000" w:themeColor="text1"/>
          <w:szCs w:val="21"/>
          <w14:textFill>
            <w14:solidFill>
              <w14:schemeClr w14:val="tx1"/>
            </w14:solidFill>
          </w14:textFill>
        </w:rPr>
        <w:t>和活期存款基准利率每日收益率，再按照预设权重比例计算当日组合要素基准的日收益率，并连乘每日收益率。</w:t>
      </w:r>
    </w:p>
    <w:p>
      <w:pPr>
        <w:spacing w:line="360" w:lineRule="auto"/>
        <w:ind w:firstLine="420" w:firstLineChars="200"/>
        <w:rPr>
          <w:rFonts w:hint="eastAsia" w:asciiTheme="minorEastAsia" w:hAnsiTheme="minorEastAsia" w:eastAsiaTheme="minorEastAsia"/>
          <w:b/>
          <w:bCs/>
        </w:rPr>
      </w:pPr>
      <w:r>
        <w:rPr>
          <w:rFonts w:hint="eastAsia" w:asciiTheme="minorEastAsia" w:hAnsiTheme="minorEastAsia" w:eastAsiaTheme="minorEastAsia"/>
          <w:bCs/>
        </w:rPr>
        <w:t>4、管理投资偏离业绩比较基准的定性或定量方法</w:t>
      </w:r>
    </w:p>
    <w:p>
      <w:pPr>
        <w:spacing w:line="360" w:lineRule="auto"/>
        <w:ind w:firstLine="420" w:firstLineChars="200"/>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rPr>
        <w:t>本基金主要采用完全复制法，即按照标的指数成份券及其权重构建基金的投资组合，并根据标的指数成份券及其权重的变动对投资组合进行相应地调整。</w:t>
      </w:r>
      <w:r>
        <w:rPr>
          <w:rFonts w:hint="eastAsia" w:asciiTheme="minorEastAsia" w:hAnsiTheme="minorEastAsia" w:eastAsiaTheme="minorEastAsia"/>
          <w:color w:val="000000" w:themeColor="text1"/>
          <w:szCs w:val="21"/>
          <w14:textFill>
            <w14:solidFill>
              <w14:schemeClr w14:val="tx1"/>
            </w14:solidFill>
          </w14:textFill>
        </w:rPr>
        <w:t>在因特殊情形导致基金无法投资于标的指数成份券时，基金管理人可采取包括成份券替代策略在内的其他指数投资技术适当调整基金投资组合，以达到紧密跟踪标的指数的目的</w:t>
      </w:r>
      <w:r>
        <w:rPr>
          <w:rFonts w:hint="eastAsia" w:asciiTheme="minorEastAsia" w:hAnsiTheme="minorEastAsia" w:eastAsiaTheme="minorEastAsia"/>
        </w:rPr>
        <w:t>。本基金力争将日均跟踪偏离度的绝对值控制在0.35%以内，年化跟踪误差控制在4%以内。如因标的指数编制规则调整或其他因素导致跟踪误差超过上述范围的，本基金将采取合理措施避免跟踪误差过大。</w:t>
      </w:r>
    </w:p>
    <w:p>
      <w:pPr>
        <w:spacing w:line="360" w:lineRule="auto"/>
        <w:ind w:firstLine="420" w:firstLineChars="200"/>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5、未来可能变更业绩比较基准的情况和程序</w:t>
      </w:r>
    </w:p>
    <w:p>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本基金业绩比较基准中REITs部分的基准要素与标的指数一致。未来若出现标的指数不符合要求（因成份券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pPr>
        <w:spacing w:line="360" w:lineRule="auto"/>
        <w:ind w:firstLine="420" w:firstLineChars="200"/>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自指数编制机构停止标的指数的编制及发布至解决方案确定期间，基金管理人应按照指数编制机构提供的最近一个交易日的指数信息遵循基金份额持有人利益优先原则维持基金投资运作。</w:t>
      </w:r>
    </w:p>
    <w:p>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若本基金调整业绩比较基准的要素权重，本基金将根据法律法规、中国证监会的规定和基金合同约定履行相关程序。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六、风险收益特征</w:t>
      </w:r>
    </w:p>
    <w:p>
      <w:pPr>
        <w:autoSpaceDE w:val="0"/>
        <w:autoSpaceDN w:val="0"/>
        <w:adjustRightInd w:val="0"/>
        <w:spacing w:line="360" w:lineRule="auto"/>
        <w:ind w:firstLine="420" w:firstLineChars="200"/>
        <w:rPr>
          <w:rFonts w:hint="eastAsia" w:ascii="宋体" w:hAnsi="宋体"/>
          <w:bCs/>
          <w:szCs w:val="21"/>
        </w:rPr>
      </w:pPr>
      <w:r>
        <w:rPr>
          <w:rFonts w:hint="eastAsia" w:eastAsiaTheme="minorEastAsia"/>
          <w:bCs/>
          <w:color w:val="000000" w:themeColor="text1"/>
          <w:szCs w:val="21"/>
          <w14:textFill>
            <w14:solidFill>
              <w14:schemeClr w14:val="tx1"/>
            </w14:solidFill>
          </w14:textFill>
        </w:rPr>
        <w:t>本基金为REITs指数基金，主要投资于公募REITs，由于本基金的投资标的与股票型基金、混合型基金、债券型基金和货币型基金等的投资标的存在明显差异，故本基金与上述类型基金有不同的风险收益特征。本基金主要采用完全复制法跟踪标的指数的表现，具有与标的指数相似的风险收益特征。</w:t>
      </w:r>
    </w:p>
    <w:p>
      <w:pPr>
        <w:spacing w:line="360" w:lineRule="auto"/>
        <w:ind w:firstLine="420" w:firstLineChars="200"/>
        <w:rPr>
          <w:szCs w:val="21"/>
        </w:rPr>
      </w:pPr>
      <w:r>
        <w:rPr>
          <w:rFonts w:hint="eastAsia"/>
          <w:szCs w:val="21"/>
        </w:rPr>
        <w:t>七、基金的融资、转融通等业务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szCs w:val="21"/>
        </w:rPr>
        <w:t>未来，若</w:t>
      </w:r>
      <w:r>
        <w:rPr>
          <w:rFonts w:hint="eastAsia"/>
        </w:rPr>
        <w:t>法律法规或监管部门允许本基金参与融资、转融通证券出借等业务，本基金可依据相关规定开展融资及转融通证券出借等业务</w:t>
      </w:r>
      <w:r>
        <w:rPr>
          <w:rFonts w:hint="eastAsia"/>
          <w:szCs w:val="21"/>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八、基金管理人代表基金行使相关权利的处理原则及方法</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 xml:space="preserve">1、基金管理人按照国家有关规定代表基金独立行使相关权利，保护基金份额持有人的利益； </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 xml:space="preserve">2、不谋求对上市公司的控股； </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 xml:space="preserve">3、有利于基金财产的安全与增值； </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4、不通过关联交易为自身、雇员、授权代理人或任何存在利害关系的第三人牟取任何不当利益。</w:t>
      </w:r>
    </w:p>
    <w:p>
      <w:pPr>
        <w:spacing w:line="360" w:lineRule="auto"/>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九、侧袋机制的实施和投资运作安排</w:t>
      </w:r>
    </w:p>
    <w:p>
      <w:pPr>
        <w:spacing w:line="360" w:lineRule="auto"/>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侧袋机制实施期间，本部分约定的投资组合比例、投资策略、组合限制、业绩比较基准、风险收益特征等约定仅适用于主袋账户。</w:t>
      </w:r>
    </w:p>
    <w:p>
      <w:pPr>
        <w:spacing w:line="360" w:lineRule="auto"/>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侧袋账户的实施条件、实施程序、运作安排、投资安排、特定资产的处置变现和支付等对投资者权益有重大影响的事项详见招募说明书的规定。</w:t>
      </w:r>
    </w:p>
    <w:bookmarkEnd w:id="300"/>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301" w:name="_Toc92662704"/>
      <w:bookmarkStart w:id="302" w:name="_Toc93226145"/>
      <w:bookmarkStart w:id="303" w:name="_Toc70507731"/>
      <w:bookmarkStart w:id="304" w:name="_Toc29561"/>
      <w:bookmarkStart w:id="305" w:name="_Toc31611"/>
      <w:bookmarkStart w:id="306" w:name="_Toc20782"/>
      <w:bookmarkStart w:id="307" w:name="_Toc26114"/>
      <w:bookmarkStart w:id="308" w:name="_Toc3054"/>
      <w:bookmarkStart w:id="309" w:name="_Toc24474"/>
      <w:bookmarkStart w:id="310" w:name="_Toc141703893"/>
      <w:bookmarkStart w:id="311" w:name="_Toc139991743"/>
      <w:bookmarkStart w:id="312" w:name="_Toc13819"/>
      <w:bookmarkStart w:id="313" w:name="_Toc18000"/>
      <w:bookmarkStart w:id="314" w:name="_Toc21642"/>
      <w:bookmarkStart w:id="315" w:name="_Toc128310496"/>
      <w:bookmarkStart w:id="316" w:name="_Toc20102"/>
      <w:bookmarkStart w:id="317" w:name="_Toc32030"/>
      <w:r>
        <w:rPr>
          <w:rFonts w:eastAsiaTheme="minorEastAsia"/>
          <w:b/>
          <w:color w:val="000000" w:themeColor="text1"/>
          <w:szCs w:val="21"/>
          <w14:textFill>
            <w14:solidFill>
              <w14:schemeClr w14:val="tx1"/>
            </w14:solidFill>
          </w14:textFill>
        </w:rPr>
        <w:t>第十三部分  基金</w:t>
      </w:r>
      <w:bookmarkEnd w:id="301"/>
      <w:bookmarkEnd w:id="302"/>
      <w:r>
        <w:rPr>
          <w:rFonts w:eastAsiaTheme="minorEastAsia"/>
          <w:b/>
          <w:color w:val="000000" w:themeColor="text1"/>
          <w:szCs w:val="21"/>
          <w14:textFill>
            <w14:solidFill>
              <w14:schemeClr w14:val="tx1"/>
            </w14:solidFill>
          </w14:textFill>
        </w:rPr>
        <w:t>的财产</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一、基金资产总值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基金资产总值是指基金拥有的各类基金份额、有价证券、银行存款本息、基金应收款项及其他资产的价值总和。</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二、基金资产净值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基金资产净值是指基金资产总值减去基金负债后的价值。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三、基金财产的账户</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8" w:name="_Hlt88841837"/>
      <w:bookmarkEnd w:id="318"/>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四、基金财产的保管和处分</w:t>
      </w:r>
      <w:bookmarkStart w:id="319" w:name="_Hlt88900062"/>
      <w:bookmarkEnd w:id="319"/>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spacing w:line="360" w:lineRule="auto"/>
        <w:ind w:firstLine="420" w:firstLineChars="200"/>
        <w:jc w:val="left"/>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spacing w:line="360" w:lineRule="auto"/>
        <w:ind w:firstLine="420" w:firstLineChars="200"/>
        <w:jc w:val="left"/>
        <w:rPr>
          <w:rFonts w:eastAsiaTheme="minorEastAsia"/>
          <w:bCs/>
          <w:color w:val="000000" w:themeColor="text1"/>
          <w:szCs w:val="21"/>
          <w14:textFill>
            <w14:solidFill>
              <w14:schemeClr w14:val="tx1"/>
            </w14:solidFill>
          </w14:textFill>
        </w:rPr>
      </w:pPr>
    </w:p>
    <w:p>
      <w:pPr>
        <w:widowControl/>
        <w:jc w:val="left"/>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br w:type="page"/>
      </w:r>
    </w:p>
    <w:p>
      <w:pPr>
        <w:pStyle w:val="2"/>
        <w:jc w:val="center"/>
        <w:rPr>
          <w:rFonts w:eastAsiaTheme="minorEastAsia"/>
          <w:bCs/>
          <w:color w:val="000000" w:themeColor="text1"/>
          <w:sz w:val="21"/>
          <w:szCs w:val="18"/>
          <w14:textFill>
            <w14:solidFill>
              <w14:schemeClr w14:val="tx1"/>
            </w14:solidFill>
          </w14:textFill>
        </w:rPr>
      </w:pPr>
      <w:bookmarkStart w:id="320" w:name="_Toc70507732"/>
      <w:bookmarkStart w:id="321" w:name="_Toc27832"/>
      <w:bookmarkStart w:id="322" w:name="_Toc871"/>
      <w:bookmarkStart w:id="323" w:name="_Toc2623"/>
      <w:bookmarkStart w:id="324" w:name="_Toc139991744"/>
      <w:bookmarkStart w:id="325" w:name="_Toc17782"/>
      <w:bookmarkStart w:id="326" w:name="_Toc141703894"/>
      <w:bookmarkStart w:id="327" w:name="_Toc7802"/>
      <w:bookmarkStart w:id="328" w:name="_Toc31917"/>
      <w:bookmarkStart w:id="329" w:name="_Toc19714"/>
      <w:r>
        <w:rPr>
          <w:rFonts w:eastAsiaTheme="minorEastAsia"/>
          <w:color w:val="000000" w:themeColor="text1"/>
          <w:sz w:val="21"/>
          <w:szCs w:val="18"/>
          <w14:textFill>
            <w14:solidFill>
              <w14:schemeClr w14:val="tx1"/>
            </w14:solidFill>
          </w14:textFill>
        </w:rPr>
        <w:t>第十四部分  基金资产估值</w:t>
      </w:r>
      <w:bookmarkEnd w:id="320"/>
      <w:bookmarkEnd w:id="321"/>
      <w:bookmarkEnd w:id="322"/>
      <w:bookmarkEnd w:id="323"/>
      <w:bookmarkEnd w:id="324"/>
      <w:bookmarkEnd w:id="325"/>
      <w:bookmarkEnd w:id="326"/>
      <w:bookmarkEnd w:id="327"/>
      <w:bookmarkEnd w:id="328"/>
      <w:bookmarkEnd w:id="329"/>
      <w:bookmarkStart w:id="330" w:name="_Toc141703895"/>
      <w:bookmarkStart w:id="331" w:name="_Toc12105"/>
      <w:bookmarkStart w:id="332" w:name="_Toc19752"/>
      <w:bookmarkStart w:id="333" w:name="_Toc32227"/>
      <w:bookmarkStart w:id="334" w:name="_Toc3365"/>
      <w:bookmarkStart w:id="335" w:name="_Toc32046"/>
      <w:bookmarkStart w:id="336" w:name="_Toc6493"/>
      <w:bookmarkStart w:id="337" w:name="_Toc13987"/>
      <w:bookmarkStart w:id="338" w:name="_Toc139991745"/>
      <w:bookmarkStart w:id="339" w:name="_Toc15779"/>
      <w:bookmarkStart w:id="340" w:name="_Toc19706"/>
      <w:bookmarkStart w:id="341" w:name="_Toc24601"/>
      <w:bookmarkStart w:id="342" w:name="_Toc32041"/>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一、估值日</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本基金的估值日为本基金相关的证券交易场所的交易日以及国家法律法规规定需要对外披露基金净值的非交易日。</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二、估值对象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基金所拥有的</w:t>
      </w:r>
      <w:bookmarkStart w:id="343" w:name="_Hlk175757118"/>
      <w:r>
        <w:rPr>
          <w:rFonts w:hint="eastAsia" w:eastAsiaTheme="minorEastAsia"/>
          <w:bCs/>
          <w:color w:val="000000" w:themeColor="text1"/>
          <w:szCs w:val="21"/>
          <w14:textFill>
            <w14:solidFill>
              <w14:schemeClr w14:val="tx1"/>
            </w14:solidFill>
          </w14:textFill>
        </w:rPr>
        <w:t>基金、</w:t>
      </w:r>
      <w:r>
        <w:rPr>
          <w:rFonts w:eastAsiaTheme="minorEastAsia"/>
          <w:bCs/>
          <w:color w:val="000000" w:themeColor="text1"/>
          <w:szCs w:val="21"/>
          <w14:textFill>
            <w14:solidFill>
              <w14:schemeClr w14:val="tx1"/>
            </w14:solidFill>
          </w14:textFill>
        </w:rPr>
        <w:t>资产支持证券、债券</w:t>
      </w:r>
      <w:r>
        <w:rPr>
          <w:rFonts w:hint="eastAsia" w:eastAsiaTheme="minorEastAsia"/>
          <w:bCs/>
          <w:color w:val="000000" w:themeColor="text1"/>
          <w:szCs w:val="21"/>
          <w14:textFill>
            <w14:solidFill>
              <w14:schemeClr w14:val="tx1"/>
            </w14:solidFill>
          </w14:textFill>
        </w:rPr>
        <w:t>、货币市场工具</w:t>
      </w:r>
      <w:r>
        <w:rPr>
          <w:rFonts w:eastAsiaTheme="minorEastAsia"/>
          <w:bCs/>
          <w:color w:val="000000" w:themeColor="text1"/>
          <w:szCs w:val="21"/>
          <w14:textFill>
            <w14:solidFill>
              <w14:schemeClr w14:val="tx1"/>
            </w14:solidFill>
          </w14:textFill>
        </w:rPr>
        <w:t>和银行存款本息、应收款项、其</w:t>
      </w:r>
      <w:r>
        <w:rPr>
          <w:rFonts w:hint="eastAsia" w:eastAsiaTheme="minorEastAsia"/>
          <w:bCs/>
          <w:color w:val="000000" w:themeColor="text1"/>
          <w:szCs w:val="21"/>
          <w14:textFill>
            <w14:solidFill>
              <w14:schemeClr w14:val="tx1"/>
            </w14:solidFill>
          </w14:textFill>
        </w:rPr>
        <w:t>它</w:t>
      </w:r>
      <w:r>
        <w:rPr>
          <w:rFonts w:eastAsiaTheme="minorEastAsia"/>
          <w:bCs/>
          <w:color w:val="000000" w:themeColor="text1"/>
          <w:szCs w:val="21"/>
          <w14:textFill>
            <w14:solidFill>
              <w14:schemeClr w14:val="tx1"/>
            </w14:solidFill>
          </w14:textFill>
        </w:rPr>
        <w:t>投资等资产及负债。</w:t>
      </w:r>
    </w:p>
    <w:bookmarkEnd w:id="343"/>
    <w:p>
      <w:pPr>
        <w:spacing w:line="360" w:lineRule="auto"/>
        <w:ind w:firstLine="420" w:firstLineChars="200"/>
        <w:rPr>
          <w:rFonts w:eastAsiaTheme="minorEastAsia"/>
          <w:bCs/>
          <w:color w:val="000000" w:themeColor="text1"/>
          <w:szCs w:val="21"/>
          <w14:textFill>
            <w14:solidFill>
              <w14:schemeClr w14:val="tx1"/>
            </w14:solidFill>
          </w14:textFill>
        </w:rPr>
      </w:pPr>
      <w:bookmarkStart w:id="344" w:name="_Hlk17632523"/>
      <w:r>
        <w:rPr>
          <w:rFonts w:eastAsiaTheme="minorEastAsia"/>
          <w:bCs/>
          <w:color w:val="000000" w:themeColor="text1"/>
          <w:szCs w:val="21"/>
          <w14:textFill>
            <w14:solidFill>
              <w14:schemeClr w14:val="tx1"/>
            </w14:solidFill>
          </w14:textFill>
        </w:rPr>
        <w:t>三、估值原则</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基金管理人在确定相关金融资产和金融负债的公允价值时，应符合《企业会计准则》、监管部门有关规定。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（三）如经济环境发生重大变化或证券发行人发生影响证券价格的重大事件，使潜在估值调整对前一估值日的基金资产净值的影响在0.25%以上的，应对估值进行调整并确定公允价值。</w:t>
      </w:r>
      <w:bookmarkEnd w:id="344"/>
    </w:p>
    <w:p>
      <w:pPr>
        <w:spacing w:line="360" w:lineRule="auto"/>
        <w:ind w:firstLine="420" w:firstLineChars="200"/>
        <w:rPr>
          <w:rFonts w:eastAsiaTheme="minorEastAsia"/>
          <w:bCs/>
          <w:color w:val="000000" w:themeColor="text1"/>
          <w:szCs w:val="21"/>
          <w14:textFill>
            <w14:solidFill>
              <w14:schemeClr w14:val="tx1"/>
            </w14:solidFill>
          </w14:textFill>
        </w:rPr>
      </w:pPr>
      <w:bookmarkStart w:id="345" w:name="_Hlk61282905"/>
      <w:r>
        <w:rPr>
          <w:rFonts w:eastAsiaTheme="minorEastAsia"/>
          <w:bCs/>
          <w:color w:val="000000" w:themeColor="text1"/>
          <w:szCs w:val="21"/>
          <w14:textFill>
            <w14:solidFill>
              <w14:schemeClr w14:val="tx1"/>
            </w14:solidFill>
          </w14:textFill>
        </w:rPr>
        <w:t>四、估值方法</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本基金所持有的投资品种，按如下原则进行估值：</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346" w:name="_Hlk175757302"/>
      <w:r>
        <w:rPr>
          <w:rFonts w:eastAsiaTheme="minorEastAsia"/>
          <w:bCs/>
          <w:color w:val="000000" w:themeColor="text1"/>
          <w:szCs w:val="21"/>
          <w14:textFill>
            <w14:solidFill>
              <w14:schemeClr w14:val="tx1"/>
            </w14:solidFill>
          </w14:textFill>
        </w:rPr>
        <w:t>1、证券交易所上市的有价证券的估值</w:t>
      </w:r>
    </w:p>
    <w:p>
      <w:pPr>
        <w:spacing w:line="360" w:lineRule="auto"/>
        <w:ind w:firstLine="420" w:firstLineChars="200"/>
        <w:rPr>
          <w:rFonts w:eastAsiaTheme="minorEastAsia"/>
          <w:bCs/>
          <w:szCs w:val="21"/>
        </w:rPr>
      </w:pPr>
      <w:r>
        <w:rPr>
          <w:rFonts w:eastAsiaTheme="minorEastAsia"/>
          <w:bCs/>
          <w:szCs w:val="21"/>
        </w:rPr>
        <w:t>（1）交易所上市的有价证券，以其估值日在证券交易所挂牌的市价（收盘价）估值；估值日无交易的，且最近交易日后经济环境未发生重大变化</w:t>
      </w:r>
      <w:r>
        <w:rPr>
          <w:rFonts w:hint="eastAsia" w:eastAsiaTheme="minorEastAsia"/>
          <w:bCs/>
          <w:szCs w:val="21"/>
        </w:rPr>
        <w:t>以及</w:t>
      </w:r>
      <w:r>
        <w:rPr>
          <w:rFonts w:eastAsiaTheme="minorEastAsia"/>
          <w:bCs/>
          <w:szCs w:val="21"/>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rPr>
          <w:szCs w:val="21"/>
        </w:rPr>
      </w:pPr>
      <w:r>
        <w:rPr>
          <w:szCs w:val="21"/>
        </w:rPr>
        <w:t>（2）交易所上市交易或挂牌转让的不含权固定收益品种</w:t>
      </w:r>
      <w:bookmarkStart w:id="347" w:name="_Hlk231577215"/>
      <w:r>
        <w:rPr>
          <w:rFonts w:hint="eastAsia"/>
          <w:bCs/>
          <w:color w:val="000000"/>
          <w:szCs w:val="21"/>
        </w:rPr>
        <w:t>（另有规定的除外）</w:t>
      </w:r>
      <w:bookmarkEnd w:id="347"/>
      <w:r>
        <w:rPr>
          <w:szCs w:val="21"/>
        </w:rPr>
        <w:t>，选取估值日第三方估值机构提供的相应品种当日的估值全价进行估值。</w:t>
      </w:r>
    </w:p>
    <w:p>
      <w:pPr>
        <w:spacing w:line="360" w:lineRule="auto"/>
        <w:ind w:firstLine="480"/>
        <w:rPr>
          <w:szCs w:val="21"/>
        </w:rPr>
      </w:pPr>
      <w:r>
        <w:rPr>
          <w:szCs w:val="21"/>
        </w:rPr>
        <w:t>（3）交易所上市交易或挂牌转让的含权固定收益品种</w:t>
      </w:r>
      <w:r>
        <w:rPr>
          <w:rFonts w:hint="eastAsia"/>
          <w:bCs/>
          <w:color w:val="000000"/>
          <w:szCs w:val="21"/>
        </w:rPr>
        <w:t>（另有规定的除外）</w:t>
      </w:r>
      <w:r>
        <w:rPr>
          <w:szCs w:val="21"/>
        </w:rPr>
        <w:t>，选取估值日第三方估值机构提供的相应品种当日的唯一估值全价或推荐估值全价进行估值。</w:t>
      </w:r>
    </w:p>
    <w:p>
      <w:pPr>
        <w:spacing w:line="360" w:lineRule="auto"/>
        <w:ind w:firstLine="420" w:firstLineChars="200"/>
        <w:rPr>
          <w:rFonts w:eastAsiaTheme="minorEastAsia"/>
          <w:bCs/>
          <w:szCs w:val="21"/>
        </w:rPr>
      </w:pPr>
      <w:r>
        <w:rPr>
          <w:rFonts w:eastAsiaTheme="minorEastAsia"/>
          <w:bCs/>
          <w:szCs w:val="21"/>
        </w:rPr>
        <w:t>（</w:t>
      </w:r>
      <w:r>
        <w:rPr>
          <w:rFonts w:hint="eastAsia" w:eastAsiaTheme="minorEastAsia"/>
          <w:bCs/>
          <w:szCs w:val="21"/>
        </w:rPr>
        <w:t>4</w:t>
      </w:r>
      <w:r>
        <w:rPr>
          <w:rFonts w:eastAsiaTheme="minorEastAsia"/>
          <w:bCs/>
          <w:szCs w:val="21"/>
        </w:rPr>
        <w:t>）交易所上市不存在活跃市场的有价证券，采用估值技术确定公允价值。交易所市场挂牌转让的资产支持证券，采用估值技术确定公允价值。</w:t>
      </w:r>
    </w:p>
    <w:p>
      <w:pPr>
        <w:spacing w:line="360" w:lineRule="auto"/>
        <w:ind w:firstLine="420" w:firstLineChars="200"/>
        <w:rPr>
          <w:rFonts w:eastAsiaTheme="minorEastAsia"/>
          <w:bCs/>
          <w:szCs w:val="21"/>
        </w:rPr>
      </w:pPr>
      <w:r>
        <w:rPr>
          <w:rFonts w:hint="eastAsia" w:eastAsiaTheme="minorEastAsia"/>
          <w:bCs/>
          <w:szCs w:val="21"/>
        </w:rPr>
        <w:t>（5）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pPr>
        <w:spacing w:line="360" w:lineRule="auto"/>
        <w:ind w:firstLine="420" w:firstLineChars="200"/>
        <w:rPr>
          <w:bCs/>
          <w:szCs w:val="21"/>
        </w:rPr>
      </w:pPr>
      <w:r>
        <w:rPr>
          <w:rFonts w:eastAsiaTheme="minorEastAsia"/>
          <w:bCs/>
          <w:color w:val="000000" w:themeColor="text1"/>
          <w:szCs w:val="21"/>
          <w14:textFill>
            <w14:solidFill>
              <w14:schemeClr w14:val="tx1"/>
            </w14:solidFill>
          </w14:textFill>
        </w:rPr>
        <w:t>2、</w:t>
      </w:r>
      <w:r>
        <w:rPr>
          <w:bCs/>
          <w:szCs w:val="21"/>
        </w:rPr>
        <w:t>首次公开发行未上市的债券，采用估值技术确定公允价值。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w:t>
      </w:r>
      <w:r>
        <w:rPr>
          <w:bCs/>
          <w:color w:val="000000"/>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4、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5</w:t>
      </w:r>
      <w:r>
        <w:rPr>
          <w:rFonts w:eastAsiaTheme="minorEastAsia"/>
          <w:bCs/>
          <w:color w:val="000000" w:themeColor="text1"/>
          <w:szCs w:val="21"/>
          <w14:textFill>
            <w14:solidFill>
              <w14:schemeClr w14:val="tx1"/>
            </w14:solidFill>
          </w14:textFill>
        </w:rPr>
        <w:t>、存款的估值方法</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持有的银行定期存款或通知存款以本金列示，按协议或合同利率逐日确认利息收入。</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6、公募R</w:t>
      </w:r>
      <w:r>
        <w:rPr>
          <w:rFonts w:eastAsiaTheme="minorEastAsia"/>
          <w:bCs/>
          <w:color w:val="000000" w:themeColor="text1"/>
          <w:szCs w:val="21"/>
          <w14:textFill>
            <w14:solidFill>
              <w14:schemeClr w14:val="tx1"/>
            </w14:solidFill>
          </w14:textFill>
        </w:rPr>
        <w:t>EIT</w:t>
      </w:r>
      <w:r>
        <w:rPr>
          <w:rFonts w:hint="eastAsia" w:eastAsiaTheme="minorEastAsia"/>
          <w:bCs/>
          <w:color w:val="000000" w:themeColor="text1"/>
          <w:szCs w:val="21"/>
          <w14:textFill>
            <w14:solidFill>
              <w14:schemeClr w14:val="tx1"/>
            </w14:solidFill>
          </w14:textFill>
        </w:rPr>
        <w:t>s的估值方法：</w:t>
      </w:r>
    </w:p>
    <w:p>
      <w:pPr>
        <w:spacing w:line="360" w:lineRule="auto"/>
        <w:ind w:firstLine="420" w:firstLineChars="200"/>
        <w:rPr>
          <w:color w:val="000000" w:themeColor="text1"/>
          <w14:textFill>
            <w14:solidFill>
              <w14:schemeClr w14:val="tx1"/>
            </w14:solidFill>
          </w14:textFill>
        </w:rPr>
      </w:pPr>
      <w:bookmarkStart w:id="348" w:name="_Hlk176784978"/>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）已上市的</w:t>
      </w:r>
      <w:r>
        <w:rPr>
          <w:rFonts w:hint="eastAsia" w:eastAsiaTheme="minorEastAsia"/>
          <w:bCs/>
          <w:color w:val="000000" w:themeColor="text1"/>
          <w:szCs w:val="21"/>
          <w14:textFill>
            <w14:solidFill>
              <w14:schemeClr w14:val="tx1"/>
            </w14:solidFill>
          </w14:textFill>
        </w:rPr>
        <w:t>公募R</w:t>
      </w:r>
      <w:r>
        <w:rPr>
          <w:rFonts w:eastAsiaTheme="minorEastAsia"/>
          <w:bCs/>
          <w:color w:val="000000" w:themeColor="text1"/>
          <w:szCs w:val="21"/>
          <w14:textFill>
            <w14:solidFill>
              <w14:schemeClr w14:val="tx1"/>
            </w14:solidFill>
          </w14:textFill>
        </w:rPr>
        <w:t>EIT</w:t>
      </w:r>
      <w:r>
        <w:rPr>
          <w:rFonts w:hint="eastAsia" w:eastAsiaTheme="minorEastAsia"/>
          <w:bCs/>
          <w:color w:val="000000" w:themeColor="text1"/>
          <w:szCs w:val="21"/>
          <w14:textFill>
            <w14:solidFill>
              <w14:schemeClr w14:val="tx1"/>
            </w14:solidFill>
          </w14:textFill>
        </w:rPr>
        <w:t>s</w:t>
      </w:r>
      <w:r>
        <w:rPr>
          <w:rFonts w:hint="eastAsia"/>
          <w:color w:val="000000" w:themeColor="text1"/>
          <w14:textFill>
            <w14:solidFill>
              <w14:schemeClr w14:val="tx1"/>
            </w14:solidFill>
          </w14:textFill>
        </w:rPr>
        <w:t>按其估值日的收盘价估值。</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）首次公开发行未上市的</w:t>
      </w:r>
      <w:r>
        <w:rPr>
          <w:rFonts w:hint="eastAsia" w:eastAsiaTheme="minorEastAsia"/>
          <w:bCs/>
          <w:color w:val="000000" w:themeColor="text1"/>
          <w:szCs w:val="21"/>
          <w14:textFill>
            <w14:solidFill>
              <w14:schemeClr w14:val="tx1"/>
            </w14:solidFill>
          </w14:textFill>
        </w:rPr>
        <w:t>公募R</w:t>
      </w:r>
      <w:r>
        <w:rPr>
          <w:rFonts w:eastAsiaTheme="minorEastAsia"/>
          <w:bCs/>
          <w:color w:val="000000" w:themeColor="text1"/>
          <w:szCs w:val="21"/>
          <w14:textFill>
            <w14:solidFill>
              <w14:schemeClr w14:val="tx1"/>
            </w14:solidFill>
          </w14:textFill>
        </w:rPr>
        <w:t>EIT</w:t>
      </w:r>
      <w:r>
        <w:rPr>
          <w:rFonts w:hint="eastAsia" w:eastAsiaTheme="minorEastAsia"/>
          <w:bCs/>
          <w:color w:val="000000" w:themeColor="text1"/>
          <w:szCs w:val="21"/>
          <w14:textFill>
            <w14:solidFill>
              <w14:schemeClr w14:val="tx1"/>
            </w14:solidFill>
          </w14:textFill>
        </w:rPr>
        <w:t>s</w:t>
      </w:r>
      <w:r>
        <w:rPr>
          <w:rFonts w:hint="eastAsia"/>
          <w:color w:val="000000" w:themeColor="text1"/>
          <w14:textFill>
            <w14:solidFill>
              <w14:schemeClr w14:val="tx1"/>
            </w14:solidFill>
          </w14:textFill>
        </w:rPr>
        <w:t>，采用估值技术确定公允价值。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）在发行时明确一定期限限售期的</w:t>
      </w:r>
      <w:r>
        <w:rPr>
          <w:rFonts w:hint="eastAsia" w:eastAsiaTheme="minorEastAsia"/>
          <w:bCs/>
          <w:color w:val="000000" w:themeColor="text1"/>
          <w:szCs w:val="21"/>
          <w14:textFill>
            <w14:solidFill>
              <w14:schemeClr w14:val="tx1"/>
            </w14:solidFill>
          </w14:textFill>
        </w:rPr>
        <w:t>公募R</w:t>
      </w:r>
      <w:r>
        <w:rPr>
          <w:rFonts w:eastAsiaTheme="minorEastAsia"/>
          <w:bCs/>
          <w:color w:val="000000" w:themeColor="text1"/>
          <w:szCs w:val="21"/>
          <w14:textFill>
            <w14:solidFill>
              <w14:schemeClr w14:val="tx1"/>
            </w14:solidFill>
          </w14:textFill>
        </w:rPr>
        <w:t>EIT</w:t>
      </w:r>
      <w:r>
        <w:rPr>
          <w:rFonts w:hint="eastAsia" w:eastAsiaTheme="minorEastAsia"/>
          <w:bCs/>
          <w:color w:val="000000" w:themeColor="text1"/>
          <w:szCs w:val="21"/>
          <w14:textFill>
            <w14:solidFill>
              <w14:schemeClr w14:val="tx1"/>
            </w14:solidFill>
          </w14:textFill>
        </w:rPr>
        <w:t>s</w:t>
      </w:r>
      <w:r>
        <w:rPr>
          <w:rFonts w:hint="eastAsia"/>
          <w:color w:val="000000" w:themeColor="text1"/>
          <w14:textFill>
            <w14:solidFill>
              <w14:schemeClr w14:val="tx1"/>
            </w14:solidFill>
          </w14:textFill>
        </w:rPr>
        <w:t>，包括但不限于战略配售取得的带限售期的</w:t>
      </w:r>
      <w:r>
        <w:rPr>
          <w:rFonts w:hint="eastAsia" w:eastAsiaTheme="minorEastAsia"/>
          <w:bCs/>
          <w:color w:val="000000" w:themeColor="text1"/>
          <w:szCs w:val="21"/>
          <w14:textFill>
            <w14:solidFill>
              <w14:schemeClr w14:val="tx1"/>
            </w14:solidFill>
          </w14:textFill>
        </w:rPr>
        <w:t>公募R</w:t>
      </w:r>
      <w:r>
        <w:rPr>
          <w:rFonts w:eastAsiaTheme="minorEastAsia"/>
          <w:bCs/>
          <w:color w:val="000000" w:themeColor="text1"/>
          <w:szCs w:val="21"/>
          <w14:textFill>
            <w14:solidFill>
              <w14:schemeClr w14:val="tx1"/>
            </w14:solidFill>
          </w14:textFill>
        </w:rPr>
        <w:t>EIT</w:t>
      </w:r>
      <w:r>
        <w:rPr>
          <w:rFonts w:hint="eastAsia" w:eastAsiaTheme="minorEastAsia"/>
          <w:bCs/>
          <w:color w:val="000000" w:themeColor="text1"/>
          <w:szCs w:val="21"/>
          <w14:textFill>
            <w14:solidFill>
              <w14:schemeClr w14:val="tx1"/>
            </w14:solidFill>
          </w14:textFill>
        </w:rPr>
        <w:t>s</w:t>
      </w:r>
      <w:r>
        <w:rPr>
          <w:rFonts w:hint="eastAsia"/>
          <w:color w:val="000000" w:themeColor="text1"/>
          <w14:textFill>
            <w14:solidFill>
              <w14:schemeClr w14:val="tx1"/>
            </w14:solidFill>
          </w14:textFill>
        </w:rPr>
        <w:t>等，不包括停牌、新发行未上市等流通受限</w:t>
      </w:r>
      <w:r>
        <w:rPr>
          <w:rFonts w:hint="eastAsia" w:eastAsiaTheme="minorEastAsia"/>
          <w:bCs/>
          <w:color w:val="000000" w:themeColor="text1"/>
          <w:szCs w:val="21"/>
          <w14:textFill>
            <w14:solidFill>
              <w14:schemeClr w14:val="tx1"/>
            </w14:solidFill>
          </w14:textFill>
        </w:rPr>
        <w:t>公募R</w:t>
      </w:r>
      <w:r>
        <w:rPr>
          <w:rFonts w:eastAsiaTheme="minorEastAsia"/>
          <w:bCs/>
          <w:color w:val="000000" w:themeColor="text1"/>
          <w:szCs w:val="21"/>
          <w14:textFill>
            <w14:solidFill>
              <w14:schemeClr w14:val="tx1"/>
            </w14:solidFill>
          </w14:textFill>
        </w:rPr>
        <w:t>EIT</w:t>
      </w:r>
      <w:r>
        <w:rPr>
          <w:rFonts w:hint="eastAsia" w:eastAsiaTheme="minorEastAsia"/>
          <w:bCs/>
          <w:color w:val="000000" w:themeColor="text1"/>
          <w:szCs w:val="21"/>
          <w14:textFill>
            <w14:solidFill>
              <w14:schemeClr w14:val="tx1"/>
            </w14:solidFill>
          </w14:textFill>
        </w:rPr>
        <w:t>s</w:t>
      </w:r>
      <w:r>
        <w:rPr>
          <w:rFonts w:hint="eastAsia"/>
          <w:color w:val="000000" w:themeColor="text1"/>
          <w14:textFill>
            <w14:solidFill>
              <w14:schemeClr w14:val="tx1"/>
            </w14:solidFill>
          </w14:textFill>
        </w:rPr>
        <w:t>，按监管机构或行业协会有关规定确定公允价值。如无明确规定的，可根据具体情况并参考类似投资品种的估值方法，由基金管理人与基金托管人商议后，按最能反映委托资产公允价值的方法估值。</w:t>
      </w:r>
    </w:p>
    <w:bookmarkEnd w:id="348"/>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如遇所投资公募R</w:t>
      </w:r>
      <w:r>
        <w:rPr>
          <w:rFonts w:eastAsiaTheme="minorEastAsia"/>
          <w:bCs/>
          <w:color w:val="000000" w:themeColor="text1"/>
          <w:szCs w:val="21"/>
          <w14:textFill>
            <w14:solidFill>
              <w14:schemeClr w14:val="tx1"/>
            </w14:solidFill>
          </w14:textFill>
        </w:rPr>
        <w:t>EIT</w:t>
      </w:r>
      <w:r>
        <w:rPr>
          <w:rFonts w:hint="eastAsia" w:eastAsiaTheme="minorEastAsia"/>
          <w:bCs/>
          <w:color w:val="000000" w:themeColor="text1"/>
          <w:szCs w:val="21"/>
          <w14:textFill>
            <w14:solidFill>
              <w14:schemeClr w14:val="tx1"/>
            </w14:solidFill>
          </w14:textFill>
        </w:rPr>
        <w:t>s进行拆分或合并、估值日无交易等特殊情况，基金管理人根据以下原则进行估值：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①</w:t>
      </w:r>
      <w:r>
        <w:rPr>
          <w:rFonts w:hint="eastAsia" w:eastAsiaTheme="minorEastAsia"/>
          <w:bCs/>
          <w:color w:val="000000" w:themeColor="text1"/>
          <w:szCs w:val="21"/>
          <w14:textFill>
            <w14:solidFill>
              <w14:schemeClr w14:val="tx1"/>
            </w14:solidFill>
          </w14:textFill>
        </w:rPr>
        <w:t>如果估值日无交易，且最近交易日后市场环境未发生重大变化，按最近交易日的收盘价估值；如最近交易日后市场环境发生了重大变化的，可</w:t>
      </w:r>
      <w:bookmarkStart w:id="349" w:name="_Hlk176785004"/>
      <w:r>
        <w:rPr>
          <w:rFonts w:hint="eastAsia" w:eastAsiaTheme="minorEastAsia"/>
          <w:bCs/>
          <w:color w:val="000000" w:themeColor="text1"/>
          <w:szCs w:val="21"/>
          <w14:textFill>
            <w14:solidFill>
              <w14:schemeClr w14:val="tx1"/>
            </w14:solidFill>
          </w14:textFill>
        </w:rPr>
        <w:t>根据具体情况并</w:t>
      </w:r>
      <w:bookmarkEnd w:id="349"/>
      <w:r>
        <w:rPr>
          <w:rFonts w:hint="eastAsia" w:eastAsiaTheme="minorEastAsia"/>
          <w:bCs/>
          <w:color w:val="000000" w:themeColor="text1"/>
          <w:szCs w:val="21"/>
          <w14:textFill>
            <w14:solidFill>
              <w14:schemeClr w14:val="tx1"/>
            </w14:solidFill>
          </w14:textFill>
        </w:rPr>
        <w:t>参考类似投资品种的现行市价及重大变化因素调整最近交易市价，确定公允价值。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②</w:t>
      </w:r>
      <w:r>
        <w:rPr>
          <w:rFonts w:hint="eastAsia" w:eastAsiaTheme="minorEastAsia"/>
          <w:bCs/>
          <w:color w:val="000000" w:themeColor="text1"/>
          <w:szCs w:val="21"/>
          <w14:textFill>
            <w14:solidFill>
              <w14:schemeClr w14:val="tx1"/>
            </w14:solidFill>
          </w14:textFill>
        </w:rPr>
        <w:t>如果所投资基金前一估值日至估值日期间发生分红除权、拆分或合并，基金管理人应根据基金份额收盘价、单位基金份额分红金额、折算拆分比例、持仓份额等因素合理确定公允价值。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如果</w:t>
      </w:r>
      <w:r>
        <w:rPr>
          <w:rFonts w:hint="eastAsia" w:eastAsiaTheme="minorEastAsia"/>
          <w:bCs/>
          <w:color w:val="000000" w:themeColor="text1"/>
          <w:szCs w:val="21"/>
          <w14:textFill>
            <w14:solidFill>
              <w14:schemeClr w14:val="tx1"/>
            </w14:solidFill>
          </w14:textFill>
        </w:rPr>
        <w:t>未来相关法律法规或监管规定对公募R</w:t>
      </w:r>
      <w:r>
        <w:rPr>
          <w:rFonts w:eastAsiaTheme="minorEastAsia"/>
          <w:bCs/>
          <w:color w:val="000000" w:themeColor="text1"/>
          <w:szCs w:val="21"/>
          <w14:textFill>
            <w14:solidFill>
              <w14:schemeClr w14:val="tx1"/>
            </w14:solidFill>
          </w14:textFill>
        </w:rPr>
        <w:t>EIT</w:t>
      </w:r>
      <w:r>
        <w:rPr>
          <w:rFonts w:hint="eastAsia" w:eastAsiaTheme="minorEastAsia"/>
          <w:bCs/>
          <w:color w:val="000000" w:themeColor="text1"/>
          <w:szCs w:val="21"/>
          <w14:textFill>
            <w14:solidFill>
              <w14:schemeClr w14:val="tx1"/>
            </w14:solidFill>
          </w14:textFill>
        </w:rPr>
        <w:t>s的估值方法进行调整，本基金将采用调整后的方法对证券投资基金进行估值，不需召开基金份额持有人大会。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7</w:t>
      </w:r>
      <w:r>
        <w:rPr>
          <w:rFonts w:eastAsiaTheme="minorEastAsia"/>
          <w:bCs/>
          <w:color w:val="000000" w:themeColor="text1"/>
          <w:szCs w:val="21"/>
          <w14:textFill>
            <w14:solidFill>
              <w14:schemeClr w14:val="tx1"/>
            </w14:solidFill>
          </w14:textFill>
        </w:rPr>
        <w:t>、</w:t>
      </w:r>
      <w:bookmarkStart w:id="350" w:name="_Hlk230083019"/>
      <w:bookmarkStart w:id="351" w:name="_Hlk230082964"/>
      <w:r>
        <w:rPr>
          <w:rFonts w:hint="eastAsia" w:eastAsiaTheme="minorEastAsia"/>
          <w:bCs/>
          <w:color w:val="000000" w:themeColor="text1"/>
          <w:szCs w:val="21"/>
          <w14:textFill>
            <w14:solidFill>
              <w14:schemeClr w14:val="tx1"/>
            </w14:solidFill>
          </w14:textFill>
        </w:rPr>
        <w:t>其他基金的估值方法：</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本基金投资的债券ETF，按所投资ETF基金估值日的收盘价估值。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bookmarkEnd w:id="350"/>
      <w:bookmarkEnd w:id="351"/>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如果所投资基金前一估值日至估值日期间发生分红除权、折算或拆分，基金管理人应根据基金份额净值或收盘价、单位基金份额分红金额、折算拆分比例、持仓份额等因素合理确定公允价值。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8、</w:t>
      </w:r>
      <w:r>
        <w:rPr>
          <w:rFonts w:eastAsiaTheme="minorEastAsia"/>
          <w:bCs/>
          <w:color w:val="000000" w:themeColor="text1"/>
          <w:szCs w:val="21"/>
          <w14:textFill>
            <w14:solidFill>
              <w14:schemeClr w14:val="tx1"/>
            </w14:solidFill>
          </w14:textFill>
        </w:rPr>
        <w:t>同一</w:t>
      </w:r>
      <w:r>
        <w:rPr>
          <w:rFonts w:hint="eastAsia" w:eastAsiaTheme="minorEastAsia"/>
          <w:bCs/>
          <w:color w:val="000000" w:themeColor="text1"/>
          <w:szCs w:val="21"/>
          <w14:textFill>
            <w14:solidFill>
              <w14:schemeClr w14:val="tx1"/>
            </w14:solidFill>
          </w14:textFill>
        </w:rPr>
        <w:t>证券</w:t>
      </w:r>
      <w:r>
        <w:rPr>
          <w:rFonts w:eastAsiaTheme="minorEastAsia"/>
          <w:bCs/>
          <w:color w:val="000000" w:themeColor="text1"/>
          <w:szCs w:val="21"/>
          <w14:textFill>
            <w14:solidFill>
              <w14:schemeClr w14:val="tx1"/>
            </w14:solidFill>
          </w14:textFill>
        </w:rPr>
        <w:t>同时在两个或两个以上市场交易的，按</w:t>
      </w:r>
      <w:r>
        <w:rPr>
          <w:rFonts w:hint="eastAsia" w:eastAsiaTheme="minorEastAsia"/>
          <w:bCs/>
          <w:color w:val="000000" w:themeColor="text1"/>
          <w:szCs w:val="21"/>
          <w14:textFill>
            <w14:solidFill>
              <w14:schemeClr w14:val="tx1"/>
            </w14:solidFill>
          </w14:textFill>
        </w:rPr>
        <w:t>证券</w:t>
      </w:r>
      <w:r>
        <w:rPr>
          <w:rFonts w:eastAsiaTheme="minorEastAsia"/>
          <w:bCs/>
          <w:color w:val="000000" w:themeColor="text1"/>
          <w:szCs w:val="21"/>
          <w14:textFill>
            <w14:solidFill>
              <w14:schemeClr w14:val="tx1"/>
            </w14:solidFill>
          </w14:textFill>
        </w:rPr>
        <w:t>所处的市场分别估值。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9、</w:t>
      </w:r>
      <w:r>
        <w:rPr>
          <w:rFonts w:hint="eastAsia" w:eastAsiaTheme="minorEastAsia"/>
          <w:bCs/>
          <w:color w:val="000000" w:themeColor="text1"/>
          <w:szCs w:val="21"/>
          <w14:textFill>
            <w14:solidFill>
              <w14:schemeClr w14:val="tx1"/>
            </w14:solidFill>
          </w14:textFill>
        </w:rPr>
        <w:t>本基金可以采用第三方估值机构按照上述公允价值确定原则提供的估值价格数据。</w:t>
      </w:r>
    </w:p>
    <w:p>
      <w:pPr>
        <w:spacing w:line="360" w:lineRule="auto"/>
        <w:ind w:firstLine="420" w:firstLineChars="200"/>
        <w:rPr>
          <w:rFonts w:eastAsiaTheme="minorEastAsia"/>
          <w:bCs/>
          <w:color w:val="000000" w:themeColor="text1"/>
          <w:szCs w:val="21"/>
          <w14:textFill>
            <w14:solidFill>
              <w14:schemeClr w14:val="tx1"/>
            </w14:solidFill>
          </w14:textFill>
        </w:rPr>
      </w:pPr>
      <w:r>
        <w:rPr>
          <w:bCs/>
          <w:color w:val="000000"/>
          <w:szCs w:val="21"/>
        </w:rPr>
        <w:t>10</w:t>
      </w:r>
      <w:r>
        <w:rPr>
          <w:rFonts w:hint="eastAsia"/>
          <w:bCs/>
          <w:color w:val="000000"/>
          <w:szCs w:val="21"/>
        </w:rPr>
        <w:t>、上述第三方估值机构提供的估值全价指第三方估值机构直接提供的估值全价或第三方估值机构提供的估值净价加每百元应计利息。</w:t>
      </w:r>
    </w:p>
    <w:p>
      <w:pPr>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11、</w:t>
      </w:r>
      <w:r>
        <w:rPr>
          <w:rFonts w:eastAsiaTheme="minorEastAsia"/>
          <w:bCs/>
          <w:color w:val="000000" w:themeColor="text1"/>
          <w:szCs w:val="21"/>
          <w14:textFill>
            <w14:solidFill>
              <w14:schemeClr w14:val="tx1"/>
            </w14:solidFill>
          </w14:textFill>
        </w:rPr>
        <w:t>如有确凿证据表明按上述方法进行估值不能客观反映其公允价值的，基金管理人可根据具体情况与基金托管人商定后，按最能反映公允价值的价格估值。</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w:t>
      </w:r>
      <w:r>
        <w:rPr>
          <w:rFonts w:hint="eastAsia" w:eastAsiaTheme="minorEastAsia"/>
          <w:bCs/>
          <w:color w:val="000000" w:themeColor="text1"/>
          <w:szCs w:val="21"/>
          <w14:textFill>
            <w14:solidFill>
              <w14:schemeClr w14:val="tx1"/>
            </w14:solidFill>
          </w14:textFill>
        </w:rPr>
        <w:t>2</w:t>
      </w:r>
      <w:r>
        <w:rPr>
          <w:rFonts w:eastAsiaTheme="minorEastAsia"/>
          <w:bCs/>
          <w:color w:val="000000" w:themeColor="text1"/>
          <w:szCs w:val="21"/>
          <w14:textFill>
            <w14:solidFill>
              <w14:schemeClr w14:val="tx1"/>
            </w14:solidFill>
          </w14:textFill>
        </w:rPr>
        <w:t>、当发生大额申购或赎回情形时，基金管理人可以采用摆动定价机制，以确保基金估值的公平性。</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w:t>
      </w:r>
      <w:r>
        <w:rPr>
          <w:rFonts w:hint="eastAsia" w:eastAsiaTheme="minorEastAsia"/>
          <w:bCs/>
          <w:color w:val="000000" w:themeColor="text1"/>
          <w:szCs w:val="21"/>
          <w14:textFill>
            <w14:solidFill>
              <w14:schemeClr w14:val="tx1"/>
            </w14:solidFill>
          </w14:textFill>
        </w:rPr>
        <w:t>3</w:t>
      </w:r>
      <w:r>
        <w:rPr>
          <w:rFonts w:eastAsiaTheme="minorEastAsia"/>
          <w:bCs/>
          <w:color w:val="000000" w:themeColor="text1"/>
          <w:szCs w:val="21"/>
          <w14:textFill>
            <w14:solidFill>
              <w14:schemeClr w14:val="tx1"/>
            </w14:solidFill>
          </w14:textFill>
        </w:rPr>
        <w:t>、其他资产按法律法规或监管机构有关规定进行估值。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14、税收按照相关法律法规、监管机构等的规定以及行业惯例进行处理。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w:t>
      </w:r>
      <w:r>
        <w:rPr>
          <w:rFonts w:hint="eastAsia" w:eastAsiaTheme="minorEastAsia"/>
          <w:bCs/>
          <w:color w:val="000000" w:themeColor="text1"/>
          <w:szCs w:val="21"/>
          <w14:textFill>
            <w14:solidFill>
              <w14:schemeClr w14:val="tx1"/>
            </w14:solidFill>
          </w14:textFill>
        </w:rPr>
        <w:t>5</w:t>
      </w:r>
      <w:r>
        <w:rPr>
          <w:rFonts w:eastAsiaTheme="minorEastAsia"/>
          <w:bCs/>
          <w:color w:val="000000" w:themeColor="text1"/>
          <w:szCs w:val="21"/>
          <w14:textFill>
            <w14:solidFill>
              <w14:schemeClr w14:val="tx1"/>
            </w14:solidFill>
          </w14:textFill>
        </w:rPr>
        <w:t>、相关法律法规以及监管部门有强制规定的，从其规定。如有新增事项，按国家最新规定估值。</w:t>
      </w:r>
    </w:p>
    <w:bookmarkEnd w:id="346"/>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根据有关法律法规，基金资产净值计算和基金会计核算的义务由基金管理人承担。本基金的基金会计责任方由基金管理人担任，</w:t>
      </w:r>
      <w:r>
        <w:rPr>
          <w:rFonts w:hint="eastAsia" w:eastAsiaTheme="minorEastAsia"/>
          <w:bCs/>
          <w:color w:val="000000" w:themeColor="text1"/>
          <w:szCs w:val="21"/>
          <w14:textFill>
            <w14:solidFill>
              <w14:schemeClr w14:val="tx1"/>
            </w14:solidFill>
          </w14:textFill>
        </w:rPr>
        <w:t>基金托管人承担复核责任。</w:t>
      </w:r>
      <w:r>
        <w:rPr>
          <w:rFonts w:eastAsiaTheme="minorEastAsia"/>
          <w:bCs/>
          <w:color w:val="000000" w:themeColor="text1"/>
          <w:szCs w:val="21"/>
          <w14:textFill>
            <w14:solidFill>
              <w14:schemeClr w14:val="tx1"/>
            </w14:solidFill>
          </w14:textFill>
        </w:rPr>
        <w:t>因此，就与本基金有关的会计问题，如经相关各方在平等基础上充分讨论后，仍无法达成一致意见</w:t>
      </w:r>
      <w:r>
        <w:rPr>
          <w:rFonts w:hint="eastAsia" w:eastAsiaTheme="minorEastAsia"/>
          <w:bCs/>
          <w:color w:val="000000" w:themeColor="text1"/>
          <w:szCs w:val="21"/>
          <w14:textFill>
            <w14:solidFill>
              <w14:schemeClr w14:val="tx1"/>
            </w14:solidFill>
          </w14:textFill>
        </w:rPr>
        <w:t>的</w:t>
      </w: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基金管理人向基金托管人出具盖章的书面说明后，</w:t>
      </w:r>
      <w:r>
        <w:rPr>
          <w:rFonts w:eastAsiaTheme="minorEastAsia"/>
          <w:bCs/>
          <w:color w:val="000000" w:themeColor="text1"/>
          <w:szCs w:val="21"/>
          <w14:textFill>
            <w14:solidFill>
              <w14:schemeClr w14:val="tx1"/>
            </w14:solidFill>
          </w14:textFill>
        </w:rPr>
        <w:t>按照基金管理人对基金净值信息的计算结果对外予以公布。</w:t>
      </w:r>
    </w:p>
    <w:bookmarkEnd w:id="345"/>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五、估值程序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w:t>
      </w:r>
      <w:r>
        <w:rPr>
          <w:rFonts w:hint="eastAsia" w:eastAsiaTheme="minorEastAsia"/>
          <w:bCs/>
          <w:color w:val="000000" w:themeColor="text1"/>
          <w:szCs w:val="21"/>
          <w14:textFill>
            <w14:solidFill>
              <w14:schemeClr w14:val="tx1"/>
            </w14:solidFill>
          </w14:textFill>
        </w:rPr>
        <w:t>各类</w:t>
      </w:r>
      <w:r>
        <w:rPr>
          <w:rFonts w:eastAsiaTheme="minorEastAsia"/>
          <w:bCs/>
          <w:color w:val="000000" w:themeColor="text1"/>
          <w:szCs w:val="21"/>
          <w14:textFill>
            <w14:solidFill>
              <w14:schemeClr w14:val="tx1"/>
            </w14:solidFill>
          </w14:textFill>
        </w:rPr>
        <w:t>基金份额净值是按照每个</w:t>
      </w:r>
      <w:bookmarkStart w:id="352" w:name="_Hlk231577388"/>
      <w:r>
        <w:rPr>
          <w:rFonts w:hint="eastAsia" w:eastAsiaTheme="minorEastAsia"/>
          <w:bCs/>
          <w:color w:val="000000" w:themeColor="text1"/>
          <w:szCs w:val="21"/>
          <w14:textFill>
            <w14:solidFill>
              <w14:schemeClr w14:val="tx1"/>
            </w14:solidFill>
          </w14:textFill>
        </w:rPr>
        <w:t>工作日</w:t>
      </w:r>
      <w:bookmarkEnd w:id="352"/>
      <w:r>
        <w:rPr>
          <w:rFonts w:eastAsiaTheme="minorEastAsia"/>
          <w:bCs/>
          <w:color w:val="000000" w:themeColor="text1"/>
          <w:szCs w:val="21"/>
          <w14:textFill>
            <w14:solidFill>
              <w14:schemeClr w14:val="tx1"/>
            </w14:solidFill>
          </w14:textFill>
        </w:rPr>
        <w:t>闭市后，</w:t>
      </w:r>
      <w:r>
        <w:rPr>
          <w:rFonts w:hint="eastAsia" w:eastAsiaTheme="minorEastAsia"/>
          <w:bCs/>
          <w:color w:val="000000" w:themeColor="text1"/>
          <w:szCs w:val="21"/>
          <w14:textFill>
            <w14:solidFill>
              <w14:schemeClr w14:val="tx1"/>
            </w14:solidFill>
          </w14:textFill>
        </w:rPr>
        <w:t>该类</w:t>
      </w:r>
      <w:r>
        <w:rPr>
          <w:rFonts w:eastAsiaTheme="minorEastAsia"/>
          <w:bCs/>
          <w:color w:val="000000" w:themeColor="text1"/>
          <w:szCs w:val="21"/>
          <w14:textFill>
            <w14:solidFill>
              <w14:schemeClr w14:val="tx1"/>
            </w14:solidFill>
          </w14:textFill>
        </w:rPr>
        <w:t>基金资产净值除以当日该类基金份额的余额数量计算，</w:t>
      </w:r>
      <w:bookmarkStart w:id="353" w:name="_Hlk61342584"/>
      <w:r>
        <w:rPr>
          <w:rFonts w:hint="eastAsia" w:eastAsiaTheme="minorEastAsia"/>
          <w:bCs/>
          <w:color w:val="000000" w:themeColor="text1"/>
          <w:szCs w:val="21"/>
          <w14:textFill>
            <w14:solidFill>
              <w14:schemeClr w14:val="tx1"/>
            </w14:solidFill>
          </w14:textFill>
        </w:rPr>
        <w:t>A类和C类基金份额净值</w:t>
      </w:r>
      <w:bookmarkEnd w:id="353"/>
      <w:r>
        <w:rPr>
          <w:rFonts w:eastAsiaTheme="minorEastAsia"/>
          <w:bCs/>
          <w:color w:val="000000" w:themeColor="text1"/>
          <w:szCs w:val="21"/>
          <w14:textFill>
            <w14:solidFill>
              <w14:schemeClr w14:val="tx1"/>
            </w14:solidFill>
          </w14:textFill>
        </w:rPr>
        <w:t>均精确到0.0001元，小数点后第 5 位四舍五入</w:t>
      </w:r>
      <w:r>
        <w:rPr>
          <w:rFonts w:hint="eastAsia" w:eastAsiaTheme="minorEastAsia"/>
          <w:bCs/>
          <w:color w:val="000000" w:themeColor="text1"/>
          <w:szCs w:val="21"/>
          <w14:textFill>
            <w14:solidFill>
              <w14:schemeClr w14:val="tx1"/>
            </w14:solidFill>
          </w14:textFill>
        </w:rPr>
        <w:t>，由此产生的误差计入基金财产。</w:t>
      </w:r>
      <w:bookmarkStart w:id="354" w:name="_Hlk61336145"/>
      <w:r>
        <w:rPr>
          <w:rFonts w:hint="eastAsia" w:eastAsiaTheme="minorEastAsia"/>
          <w:bCs/>
          <w:color w:val="000000" w:themeColor="text1"/>
          <w:szCs w:val="21"/>
          <w14:textFill>
            <w14:solidFill>
              <w14:schemeClr w14:val="tx1"/>
            </w14:solidFill>
          </w14:textFill>
        </w:rPr>
        <w:t>基金管理人可以设立大额赎回情形下的净值精度应急调整机制</w:t>
      </w:r>
      <w:r>
        <w:rPr>
          <w:rFonts w:eastAsiaTheme="minorEastAsia"/>
          <w:bCs/>
          <w:color w:val="000000" w:themeColor="text1"/>
          <w:szCs w:val="21"/>
          <w14:textFill>
            <w14:solidFill>
              <w14:schemeClr w14:val="tx1"/>
            </w14:solidFill>
          </w14:textFill>
        </w:rPr>
        <w:t>。</w:t>
      </w:r>
      <w:bookmarkEnd w:id="354"/>
      <w:r>
        <w:rPr>
          <w:rFonts w:eastAsiaTheme="minorEastAsia"/>
          <w:bCs/>
          <w:color w:val="000000" w:themeColor="text1"/>
          <w:szCs w:val="21"/>
          <w14:textFill>
            <w14:solidFill>
              <w14:schemeClr w14:val="tx1"/>
            </w14:solidFill>
          </w14:textFill>
        </w:rPr>
        <w:t>国家另有规定的，从其规定。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基金管理人</w:t>
      </w:r>
      <w:r>
        <w:rPr>
          <w:rFonts w:hint="eastAsia"/>
          <w:color w:val="000000" w:themeColor="text1"/>
          <w14:textFill>
            <w14:solidFill>
              <w14:schemeClr w14:val="tx1"/>
            </w14:solidFill>
          </w14:textFill>
        </w:rPr>
        <w:t>每个估值日</w:t>
      </w:r>
      <w:r>
        <w:rPr>
          <w:rFonts w:eastAsiaTheme="minorEastAsia"/>
          <w:bCs/>
          <w:color w:val="000000" w:themeColor="text1"/>
          <w:szCs w:val="21"/>
          <w14:textFill>
            <w14:solidFill>
              <w14:schemeClr w14:val="tx1"/>
            </w14:solidFill>
          </w14:textFill>
        </w:rPr>
        <w:t>计算基金资产净值及</w:t>
      </w:r>
      <w:r>
        <w:rPr>
          <w:rFonts w:hint="eastAsia" w:eastAsiaTheme="minorEastAsia"/>
          <w:bCs/>
          <w:color w:val="000000" w:themeColor="text1"/>
          <w:szCs w:val="21"/>
          <w14:textFill>
            <w14:solidFill>
              <w14:schemeClr w14:val="tx1"/>
            </w14:solidFill>
          </w14:textFill>
        </w:rPr>
        <w:t>各类</w:t>
      </w:r>
      <w:r>
        <w:rPr>
          <w:rFonts w:eastAsiaTheme="minorEastAsia"/>
          <w:bCs/>
          <w:color w:val="000000" w:themeColor="text1"/>
          <w:szCs w:val="21"/>
          <w14:textFill>
            <w14:solidFill>
              <w14:schemeClr w14:val="tx1"/>
            </w14:solidFill>
          </w14:textFill>
        </w:rPr>
        <w:t>基金份额净值，并按规定公告。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w:t>
      </w:r>
      <w:r>
        <w:rPr>
          <w:rFonts w:hint="eastAsia" w:eastAsiaTheme="minorEastAsia"/>
          <w:bCs/>
          <w:color w:val="000000" w:themeColor="text1"/>
          <w:szCs w:val="21"/>
          <w14:textFill>
            <w14:solidFill>
              <w14:schemeClr w14:val="tx1"/>
            </w14:solidFill>
          </w14:textFill>
        </w:rPr>
        <w:t>基金管理人应</w:t>
      </w:r>
      <w:r>
        <w:rPr>
          <w:rFonts w:hint="eastAsia"/>
          <w:color w:val="000000" w:themeColor="text1"/>
          <w14:textFill>
            <w14:solidFill>
              <w14:schemeClr w14:val="tx1"/>
            </w14:solidFill>
          </w14:textFill>
        </w:rPr>
        <w:t>每个估值日</w:t>
      </w:r>
      <w:r>
        <w:rPr>
          <w:rFonts w:hint="eastAsia" w:eastAsiaTheme="minorEastAsia"/>
          <w:bCs/>
          <w:color w:val="000000" w:themeColor="text1"/>
          <w:szCs w:val="21"/>
          <w14:textFill>
            <w14:solidFill>
              <w14:schemeClr w14:val="tx1"/>
            </w14:solidFill>
          </w14:textFill>
        </w:rPr>
        <w:t>对基金资产估值。但基金管理人根据法律法规或本基金合同的规定暂停估值时除外。基金管理人每个估值日对基金资产估值后，将各类基金份额净值结果发送基金托管人，经基金托管人复核无误后，由基金管理人对外公布。</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六、估值错误的处理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基金管理人和基金托管人将采取必要、适当、合理的措施确保基金资产估值的准确性、及时性。当</w:t>
      </w:r>
      <w:r>
        <w:rPr>
          <w:rFonts w:hint="eastAsia" w:eastAsiaTheme="minorEastAsia"/>
          <w:bCs/>
          <w:color w:val="000000" w:themeColor="text1"/>
          <w:szCs w:val="21"/>
          <w14:textFill>
            <w14:solidFill>
              <w14:schemeClr w14:val="tx1"/>
            </w14:solidFill>
          </w14:textFill>
        </w:rPr>
        <w:t>任一类</w:t>
      </w:r>
      <w:r>
        <w:rPr>
          <w:rFonts w:eastAsiaTheme="minorEastAsia"/>
          <w:bCs/>
          <w:color w:val="000000" w:themeColor="text1"/>
          <w:szCs w:val="21"/>
          <w14:textFill>
            <w14:solidFill>
              <w14:schemeClr w14:val="tx1"/>
            </w14:solidFill>
          </w14:textFill>
        </w:rPr>
        <w:t>基金份额净值小数点后4位以内（含第4位）发生估值错误时，视为</w:t>
      </w:r>
      <w:r>
        <w:rPr>
          <w:rFonts w:hint="eastAsia" w:eastAsiaTheme="minorEastAsia"/>
          <w:bCs/>
          <w:color w:val="000000" w:themeColor="text1"/>
          <w:szCs w:val="21"/>
          <w14:textFill>
            <w14:solidFill>
              <w14:schemeClr w14:val="tx1"/>
            </w14:solidFill>
          </w14:textFill>
        </w:rPr>
        <w:t>该类</w:t>
      </w:r>
      <w:r>
        <w:rPr>
          <w:rFonts w:eastAsiaTheme="minorEastAsia"/>
          <w:bCs/>
          <w:color w:val="000000" w:themeColor="text1"/>
          <w:szCs w:val="21"/>
          <w14:textFill>
            <w14:solidFill>
              <w14:schemeClr w14:val="tx1"/>
            </w14:solidFill>
          </w14:textFill>
        </w:rPr>
        <w:t>基金份额净值错误。</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本基金合同的当事人应按照以下约定处理：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1、估值错误类型</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上述估值错误的主要类型包括但不限于：资料申报差错、数据传输差错、数据计算差错、系统故障差错、下达指令差错等。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2、估值错误处理原则</w:t>
      </w:r>
    </w:p>
    <w:p>
      <w:pPr>
        <w:spacing w:line="360" w:lineRule="auto"/>
        <w:ind w:firstLine="420" w:firstLineChars="200"/>
        <w:rPr>
          <w:rFonts w:eastAsiaTheme="minorEastAsia"/>
          <w:bCs/>
          <w:szCs w:val="21"/>
        </w:rPr>
      </w:pPr>
      <w:r>
        <w:rPr>
          <w:rFonts w:eastAsiaTheme="minor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pPr>
        <w:spacing w:line="360" w:lineRule="auto"/>
        <w:ind w:firstLine="420" w:firstLineChars="200"/>
        <w:rPr>
          <w:rFonts w:eastAsiaTheme="minorEastAsia"/>
          <w:bCs/>
          <w:szCs w:val="21"/>
        </w:rPr>
      </w:pPr>
      <w:r>
        <w:rPr>
          <w:rFonts w:eastAsiaTheme="minorEastAsia"/>
          <w:bCs/>
          <w:szCs w:val="21"/>
        </w:rPr>
        <w:t>（2）估值错误的责任方对有关当事人的直接损失负责，不对间接损失负责，并且仅对估值错误的有关直接当事人负责，不对第三方负责。</w:t>
      </w:r>
    </w:p>
    <w:p>
      <w:pPr>
        <w:spacing w:line="360" w:lineRule="auto"/>
        <w:ind w:firstLine="420" w:firstLineChars="200"/>
        <w:rPr>
          <w:rFonts w:eastAsiaTheme="minorEastAsia"/>
          <w:bCs/>
          <w:szCs w:val="21"/>
        </w:rPr>
      </w:pPr>
      <w:r>
        <w:rPr>
          <w:rFonts w:eastAsiaTheme="minorEastAsia"/>
          <w:bCs/>
          <w:szCs w:val="21"/>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20" w:firstLineChars="200"/>
        <w:rPr>
          <w:rFonts w:eastAsiaTheme="minorEastAsia"/>
          <w:bCs/>
          <w:szCs w:val="21"/>
        </w:rPr>
      </w:pPr>
      <w:r>
        <w:rPr>
          <w:rFonts w:eastAsiaTheme="minorEastAsia"/>
          <w:bCs/>
          <w:szCs w:val="21"/>
        </w:rPr>
        <w:t>（4）估值错误调整采用尽量恢复至假设未发生估值错误的正确情形的方式。</w:t>
      </w:r>
    </w:p>
    <w:p>
      <w:pPr>
        <w:spacing w:line="360" w:lineRule="auto"/>
        <w:ind w:firstLine="420" w:firstLineChars="200"/>
        <w:rPr>
          <w:rFonts w:eastAsiaTheme="minorEastAsia"/>
          <w:bCs/>
          <w:szCs w:val="21"/>
        </w:rPr>
      </w:pPr>
      <w:r>
        <w:rPr>
          <w:rFonts w:hint="eastAsia" w:eastAsiaTheme="minorEastAsia"/>
          <w:bCs/>
          <w:szCs w:val="21"/>
        </w:rPr>
        <w:t>（5）按法律法规规定的其他原则处理估值错误。</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3、估值错误处理程序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估值错误被发现后，有关的当事人应当及时进行处理，处理的程序如下：</w:t>
      </w:r>
    </w:p>
    <w:p>
      <w:pPr>
        <w:spacing w:line="360" w:lineRule="auto"/>
        <w:ind w:firstLine="420" w:firstLineChars="200"/>
        <w:rPr>
          <w:rFonts w:eastAsiaTheme="minorEastAsia"/>
          <w:bCs/>
          <w:szCs w:val="21"/>
        </w:rPr>
      </w:pPr>
      <w:r>
        <w:rPr>
          <w:rFonts w:eastAsiaTheme="minorEastAsia"/>
          <w:bCs/>
          <w:szCs w:val="21"/>
        </w:rPr>
        <w:t>（1）查明估值错误发生的原因，列明所有的当事人，并根据估值错误发生的原因确定估值错误的责任方；</w:t>
      </w:r>
    </w:p>
    <w:p>
      <w:pPr>
        <w:spacing w:line="360" w:lineRule="auto"/>
        <w:ind w:firstLine="420" w:firstLineChars="200"/>
        <w:rPr>
          <w:rFonts w:eastAsiaTheme="minorEastAsia"/>
          <w:bCs/>
          <w:szCs w:val="21"/>
        </w:rPr>
      </w:pPr>
      <w:r>
        <w:rPr>
          <w:rFonts w:eastAsiaTheme="minorEastAsia"/>
          <w:bCs/>
          <w:szCs w:val="21"/>
        </w:rPr>
        <w:t>（2）根据估值错误处理原则或当事人协商的方法对因估值错误造成的损失进行评估；</w:t>
      </w:r>
    </w:p>
    <w:p>
      <w:pPr>
        <w:spacing w:line="360" w:lineRule="auto"/>
        <w:ind w:firstLine="420" w:firstLineChars="200"/>
        <w:rPr>
          <w:rFonts w:eastAsiaTheme="minorEastAsia"/>
          <w:bCs/>
          <w:szCs w:val="21"/>
        </w:rPr>
      </w:pPr>
      <w:r>
        <w:rPr>
          <w:rFonts w:eastAsiaTheme="minorEastAsia"/>
          <w:bCs/>
          <w:szCs w:val="21"/>
        </w:rPr>
        <w:t>（3）根据估值错误处理原则或当事人协商的方法由估值错误的责任方进行更正和赔偿损失；</w:t>
      </w:r>
    </w:p>
    <w:p>
      <w:pPr>
        <w:spacing w:line="360" w:lineRule="auto"/>
        <w:ind w:firstLine="420" w:firstLineChars="200"/>
        <w:rPr>
          <w:rFonts w:eastAsiaTheme="minorEastAsia"/>
          <w:bCs/>
          <w:szCs w:val="21"/>
        </w:rPr>
      </w:pPr>
      <w:r>
        <w:rPr>
          <w:rFonts w:eastAsiaTheme="minorEastAsia"/>
          <w:bCs/>
          <w:szCs w:val="21"/>
        </w:rPr>
        <w:t>（4）根据估值错误处理的方法，需要修改基金登记机构交易数据的，由基金登记机构进行更正。</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4、基金份额净值估值错误处理的方法如下：</w:t>
      </w:r>
    </w:p>
    <w:p>
      <w:pPr>
        <w:spacing w:line="360" w:lineRule="auto"/>
        <w:ind w:firstLine="420" w:firstLineChars="200"/>
      </w:pPr>
      <w:r>
        <w:rPr>
          <w:rFonts w:hint="eastAsia"/>
        </w:rPr>
        <w:t>（1）基金份额净值计算出现错误时，基金管理人应当立即予以纠正，通报基金托管人，并采取合理的措施防止损失进一步扩大；</w:t>
      </w:r>
    </w:p>
    <w:p>
      <w:pPr>
        <w:spacing w:line="360" w:lineRule="auto"/>
        <w:ind w:firstLine="420" w:firstLineChars="200"/>
      </w:pPr>
      <w:r>
        <w:rPr>
          <w:rFonts w:hint="eastAsia"/>
        </w:rPr>
        <w:t>（2）错误偏差达到该类基金份额净值的0.25%时，基金管理人应当通报基金托管人并报中国证监会备案；错误偏差达到该类基金份额净值的0.5%时，基金管理人应当公告，并报中国证监会备案；</w:t>
      </w:r>
    </w:p>
    <w:p>
      <w:pPr>
        <w:spacing w:line="360" w:lineRule="auto"/>
        <w:ind w:firstLine="420" w:firstLineChars="200"/>
      </w:pPr>
      <w:r>
        <w:rPr>
          <w:rFonts w:hint="eastAsia"/>
        </w:rPr>
        <w:t>（3）前述内容如法律法规或监管机关另有规定的，从其规定处理。如果行业另有通行做法，基金管理人和基金托管人应本着平等和保护基金份额持有人利益的原则进行协商。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七、暂停估值的情形</w:t>
      </w:r>
    </w:p>
    <w:p>
      <w:pPr>
        <w:spacing w:line="360" w:lineRule="auto"/>
        <w:ind w:firstLine="420" w:firstLineChars="200"/>
      </w:pPr>
      <w:r>
        <w:rPr>
          <w:rFonts w:hint="eastAsia"/>
        </w:rPr>
        <w:t>1、基金投资所涉及的证券交易市场遇法定节假日或因其他原因暂停营业时。</w:t>
      </w:r>
    </w:p>
    <w:p>
      <w:pPr>
        <w:spacing w:line="360" w:lineRule="auto"/>
        <w:ind w:firstLine="420" w:firstLineChars="200"/>
      </w:pPr>
      <w:r>
        <w:rPr>
          <w:rFonts w:hint="eastAsia"/>
        </w:rPr>
        <w:t>2、因不可抗力或其他情形致使基金管理人、基金托管人无法准确评估基金资产价值时。</w:t>
      </w:r>
    </w:p>
    <w:p>
      <w:pPr>
        <w:spacing w:line="360" w:lineRule="auto"/>
        <w:ind w:firstLine="420" w:firstLineChars="200"/>
      </w:pPr>
      <w:bookmarkStart w:id="355" w:name="_Hlk175757723"/>
      <w:r>
        <w:rPr>
          <w:rFonts w:hint="eastAsia"/>
        </w:rPr>
        <w:t>3、占相当比例的被投资基金</w:t>
      </w:r>
      <w:bookmarkStart w:id="356" w:name="_Hlk210028287"/>
      <w:r>
        <w:rPr>
          <w:rFonts w:hint="eastAsia"/>
        </w:rPr>
        <w:t>暂停公告收盘价、</w:t>
      </w:r>
      <w:bookmarkEnd w:id="356"/>
      <w:r>
        <w:rPr>
          <w:rFonts w:hint="eastAsia"/>
        </w:rPr>
        <w:t>暂停估值</w:t>
      </w:r>
      <w:r>
        <w:rPr>
          <w:rFonts w:hint="eastAsia"/>
          <w:bCs/>
          <w:szCs w:val="21"/>
        </w:rPr>
        <w:t>、暂停公告基金份额净值</w:t>
      </w:r>
      <w:r>
        <w:rPr>
          <w:rFonts w:hint="eastAsia"/>
        </w:rPr>
        <w:t>时。</w:t>
      </w:r>
    </w:p>
    <w:p>
      <w:pPr>
        <w:spacing w:line="360" w:lineRule="auto"/>
        <w:ind w:firstLine="420" w:firstLineChars="200"/>
      </w:pPr>
      <w:r>
        <w:rPr>
          <w:rFonts w:hint="eastAsia"/>
        </w:rPr>
        <w:t>4、占基金相当比例的投资品种的估值出现重大转变，而基金管理人为保障投资人的利益，已决定延迟估值；如果出现基金管理人认为属于紧急事故的任何情况，导致基金管理人不能出售或评估基金资产时。</w:t>
      </w:r>
    </w:p>
    <w:bookmarkEnd w:id="355"/>
    <w:p>
      <w:pPr>
        <w:spacing w:line="360" w:lineRule="auto"/>
        <w:ind w:firstLine="420" w:firstLineChars="200"/>
      </w:pPr>
      <w:r>
        <w:rPr>
          <w:rFonts w:hint="eastAsia"/>
        </w:rPr>
        <w:t>5、当前一估值日基金资产净值 50%以上的资产出现无可参考的活跃市场价格且采用估值技术仍导致公允价值存在重大不确定性时，经与基金托管人协商一致的。</w:t>
      </w:r>
    </w:p>
    <w:p>
      <w:pPr>
        <w:spacing w:line="360" w:lineRule="auto"/>
        <w:ind w:firstLine="420" w:firstLineChars="200"/>
      </w:pPr>
      <w:r>
        <w:rPr>
          <w:rFonts w:hint="eastAsia"/>
        </w:rPr>
        <w:t>6、法律法规、中国证监会和基金合同认定的其他情形。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八、基金净值的确认</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基金净值信息由基金管理人负责计算，基金托管人负责进行复核。基金管理人应于</w:t>
      </w:r>
      <w:r>
        <w:rPr>
          <w:rFonts w:hint="eastAsia"/>
          <w:color w:val="000000" w:themeColor="text1"/>
          <w14:textFill>
            <w14:solidFill>
              <w14:schemeClr w14:val="tx1"/>
            </w14:solidFill>
          </w14:textFill>
        </w:rPr>
        <w:t>每个</w:t>
      </w:r>
      <w:bookmarkStart w:id="357" w:name="_Hlk231577406"/>
      <w:r>
        <w:rPr>
          <w:rFonts w:hint="eastAsia"/>
          <w:color w:val="000000" w:themeColor="text1"/>
          <w14:textFill>
            <w14:solidFill>
              <w14:schemeClr w14:val="tx1"/>
            </w14:solidFill>
          </w14:textFill>
        </w:rPr>
        <w:t>工作日</w:t>
      </w:r>
      <w:bookmarkEnd w:id="357"/>
      <w:r>
        <w:rPr>
          <w:rFonts w:eastAsiaTheme="minorEastAsia"/>
          <w:bCs/>
          <w:color w:val="000000" w:themeColor="text1"/>
          <w:szCs w:val="21"/>
          <w14:textFill>
            <w14:solidFill>
              <w14:schemeClr w14:val="tx1"/>
            </w14:solidFill>
          </w14:textFill>
        </w:rPr>
        <w:t>交易结束后计算当日的基金资产净值和</w:t>
      </w:r>
      <w:r>
        <w:rPr>
          <w:rFonts w:hint="eastAsia" w:eastAsiaTheme="minorEastAsia"/>
          <w:bCs/>
          <w:color w:val="000000" w:themeColor="text1"/>
          <w:szCs w:val="21"/>
          <w14:textFill>
            <w14:solidFill>
              <w14:schemeClr w14:val="tx1"/>
            </w14:solidFill>
          </w14:textFill>
        </w:rPr>
        <w:t>各类</w:t>
      </w:r>
      <w:r>
        <w:rPr>
          <w:rFonts w:eastAsiaTheme="minorEastAsia"/>
          <w:bCs/>
          <w:color w:val="000000" w:themeColor="text1"/>
          <w:szCs w:val="21"/>
          <w14:textFill>
            <w14:solidFill>
              <w14:schemeClr w14:val="tx1"/>
            </w14:solidFill>
          </w14:textFill>
        </w:rPr>
        <w:t>基金份额净值并发送给基金托管人。基金托管人对净值计算结果复核确认后发送给基金管理人，由基金管理人对基金净值</w:t>
      </w:r>
      <w:r>
        <w:rPr>
          <w:rFonts w:hint="eastAsia"/>
          <w:color w:val="000000" w:themeColor="text1"/>
          <w14:textFill>
            <w14:solidFill>
              <w14:schemeClr w14:val="tx1"/>
            </w14:solidFill>
          </w14:textFill>
        </w:rPr>
        <w:t>按规定</w:t>
      </w:r>
      <w:r>
        <w:rPr>
          <w:rFonts w:eastAsiaTheme="minorEastAsia"/>
          <w:bCs/>
          <w:color w:val="000000" w:themeColor="text1"/>
          <w:szCs w:val="21"/>
          <w14:textFill>
            <w14:solidFill>
              <w14:schemeClr w14:val="tx1"/>
            </w14:solidFill>
          </w14:textFill>
        </w:rPr>
        <w:t>予以公布。</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九、</w:t>
      </w:r>
      <w:r>
        <w:rPr>
          <w:rFonts w:hint="eastAsia" w:eastAsiaTheme="minorEastAsia"/>
          <w:bCs/>
          <w:color w:val="000000" w:themeColor="text1"/>
          <w:szCs w:val="21"/>
          <w14:textFill>
            <w14:solidFill>
              <w14:schemeClr w14:val="tx1"/>
            </w14:solidFill>
          </w14:textFill>
        </w:rPr>
        <w:t>实施侧袋机制期间的基金资产估值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本基金实施侧袋机制的，应根据本部分的约定对主袋账户资产进行估值并披露主袋账户的基金净值信息，暂停披露侧袋账户份额净值。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十、</w:t>
      </w:r>
      <w:r>
        <w:rPr>
          <w:rFonts w:eastAsiaTheme="minorEastAsia"/>
          <w:bCs/>
          <w:color w:val="000000" w:themeColor="text1"/>
          <w:szCs w:val="21"/>
          <w14:textFill>
            <w14:solidFill>
              <w14:schemeClr w14:val="tx1"/>
            </w14:solidFill>
          </w14:textFill>
        </w:rPr>
        <w:t>特殊情况的处理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1、基金管理人或基金托管人按估值方法的第1</w:t>
      </w:r>
      <w:r>
        <w:rPr>
          <w:rFonts w:hint="eastAsia" w:eastAsiaTheme="minorEastAsia"/>
          <w:bCs/>
          <w:color w:val="000000" w:themeColor="text1"/>
          <w:szCs w:val="21"/>
          <w14:textFill>
            <w14:solidFill>
              <w14:schemeClr w14:val="tx1"/>
            </w14:solidFill>
          </w14:textFill>
        </w:rPr>
        <w:t>1</w:t>
      </w:r>
      <w:r>
        <w:rPr>
          <w:rFonts w:eastAsiaTheme="minorEastAsia"/>
          <w:bCs/>
          <w:color w:val="000000" w:themeColor="text1"/>
          <w:szCs w:val="21"/>
          <w14:textFill>
            <w14:solidFill>
              <w14:schemeClr w14:val="tx1"/>
            </w14:solidFill>
          </w14:textFill>
        </w:rPr>
        <w:t>项进行估值时，所造成的误差不作为基金资产估值错误处理。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w:t>
      </w:r>
      <w:r>
        <w:rPr>
          <w:rFonts w:hint="eastAsia" w:eastAsiaTheme="minorEastAsia"/>
          <w:bCs/>
          <w:color w:val="000000" w:themeColor="text1"/>
          <w:szCs w:val="21"/>
          <w14:textFill>
            <w14:solidFill>
              <w14:schemeClr w14:val="tx1"/>
            </w14:solidFill>
          </w14:textFill>
        </w:rPr>
        <w:t>由于证券交易所、登记结算公司、指数编制机构及第三方估值机构、存款银行等机构发送的数据错误、遗漏，有关会计制度变化、市场规则变更或由于其他不可抗力等非基金管理人与基金托管人原因，基金管理人和基金托管人虽然已经采取必要、适当、合理的措施进行检查，但是未能发现该错误或虽发现错误但因前述原因无法及时更正而造成的基金份额净值计算错误，基金管理人、基金托管人免除赔偿责任。但基金管理人、基金托管人应积极采取必要的措施减轻或消除由此造成的影响</w:t>
      </w:r>
      <w:r>
        <w:rPr>
          <w:rFonts w:eastAsiaTheme="minorEastAsia"/>
          <w:bCs/>
          <w:color w:val="000000" w:themeColor="text1"/>
          <w:szCs w:val="21"/>
          <w14:textFill>
            <w14:solidFill>
              <w14:schemeClr w14:val="tx1"/>
            </w14:solidFill>
          </w14:textFill>
        </w:rPr>
        <w:t>。</w:t>
      </w:r>
    </w:p>
    <w:p>
      <w:pPr>
        <w:spacing w:line="360" w:lineRule="auto"/>
        <w:ind w:firstLine="420" w:firstLineChars="200"/>
        <w:rPr>
          <w:rFonts w:eastAsiaTheme="minorEastAsia"/>
          <w:bCs/>
          <w:color w:val="000000" w:themeColor="text1"/>
          <w:szCs w:val="21"/>
          <w14:textFill>
            <w14:solidFill>
              <w14:schemeClr w14:val="tx1"/>
            </w14:solidFill>
          </w14:textFill>
        </w:rPr>
      </w:pPr>
    </w:p>
    <w:p>
      <w:pPr>
        <w:widowControl/>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br w:type="page"/>
      </w:r>
    </w:p>
    <w:p>
      <w:pPr>
        <w:jc w:val="center"/>
        <w:outlineLvl w:val="0"/>
        <w:rPr>
          <w:rFonts w:eastAsiaTheme="minorEastAsia"/>
          <w:b/>
          <w:color w:val="000000" w:themeColor="text1"/>
          <w:szCs w:val="21"/>
          <w14:textFill>
            <w14:solidFill>
              <w14:schemeClr w14:val="tx1"/>
            </w14:solidFill>
          </w14:textFill>
        </w:rPr>
      </w:pPr>
      <w:bookmarkStart w:id="358" w:name="_Toc70507733"/>
      <w:r>
        <w:rPr>
          <w:rFonts w:eastAsiaTheme="minorEastAsia"/>
          <w:b/>
          <w:color w:val="000000" w:themeColor="text1"/>
          <w:szCs w:val="21"/>
          <w14:textFill>
            <w14:solidFill>
              <w14:schemeClr w14:val="tx1"/>
            </w14:solidFill>
          </w14:textFill>
        </w:rPr>
        <w:t>第十五部分  基金费用与税收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58"/>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一、基金费用的种类</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359" w:name="_Hlk178017272"/>
      <w:r>
        <w:rPr>
          <w:rFonts w:eastAsiaTheme="minorEastAsia"/>
          <w:bCs/>
          <w:color w:val="000000" w:themeColor="text1"/>
          <w:szCs w:val="21"/>
          <w14:textFill>
            <w14:solidFill>
              <w14:schemeClr w14:val="tx1"/>
            </w14:solidFill>
          </w14:textFill>
        </w:rPr>
        <w:t>1、基金管理人的管理费；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2、基金托管人的托管费；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3、基金的销售服务费；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w:t>
      </w:r>
      <w:r>
        <w:rPr>
          <w:rFonts w:hint="eastAsia" w:eastAsiaTheme="minorEastAsia"/>
          <w:bCs/>
          <w:color w:val="000000" w:themeColor="text1"/>
          <w:szCs w:val="21"/>
          <w14:textFill>
            <w14:solidFill>
              <w14:schemeClr w14:val="tx1"/>
            </w14:solidFill>
          </w14:textFill>
        </w:rPr>
        <w:t>除法律法规、中国证监会另有规定外，</w:t>
      </w:r>
      <w:r>
        <w:rPr>
          <w:rFonts w:eastAsiaTheme="minorEastAsia"/>
          <w:bCs/>
          <w:color w:val="000000" w:themeColor="text1"/>
          <w:szCs w:val="21"/>
          <w14:textFill>
            <w14:solidFill>
              <w14:schemeClr w14:val="tx1"/>
            </w14:solidFill>
          </w14:textFill>
        </w:rPr>
        <w:t>《基金合同》生效后与基金相关的信息披露费用；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5、《基金合同》生效后与基金相关的会计师费、律师费、仲裁费和诉讼费；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6、基金份额持有人大会费用；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7、基金的证券交易</w:t>
      </w:r>
      <w:bookmarkStart w:id="360" w:name="_Hlk176010145"/>
      <w:r>
        <w:rPr>
          <w:rFonts w:eastAsiaTheme="minorEastAsia"/>
          <w:bCs/>
          <w:color w:val="000000" w:themeColor="text1"/>
          <w:szCs w:val="21"/>
          <w14:textFill>
            <w14:solidFill>
              <w14:schemeClr w14:val="tx1"/>
            </w14:solidFill>
          </w14:textFill>
        </w:rPr>
        <w:t>或因</w:t>
      </w:r>
      <w:bookmarkEnd w:id="360"/>
      <w:r>
        <w:rPr>
          <w:rFonts w:eastAsiaTheme="minorEastAsia"/>
          <w:bCs/>
          <w:color w:val="000000" w:themeColor="text1"/>
          <w:szCs w:val="21"/>
          <w14:textFill>
            <w14:solidFill>
              <w14:schemeClr w14:val="tx1"/>
            </w14:solidFill>
          </w14:textFill>
        </w:rPr>
        <w:t>结算</w:t>
      </w:r>
      <w:bookmarkStart w:id="361" w:name="_Hlk176010151"/>
      <w:r>
        <w:rPr>
          <w:rFonts w:eastAsiaTheme="minorEastAsia"/>
          <w:bCs/>
          <w:color w:val="000000" w:themeColor="text1"/>
          <w:szCs w:val="21"/>
          <w14:textFill>
            <w14:solidFill>
              <w14:schemeClr w14:val="tx1"/>
            </w14:solidFill>
          </w14:textFill>
        </w:rPr>
        <w:t>而产生的</w:t>
      </w:r>
      <w:bookmarkEnd w:id="361"/>
      <w:r>
        <w:rPr>
          <w:rFonts w:eastAsiaTheme="minorEastAsia"/>
          <w:bCs/>
          <w:color w:val="000000" w:themeColor="text1"/>
          <w:szCs w:val="21"/>
          <w14:textFill>
            <w14:solidFill>
              <w14:schemeClr w14:val="tx1"/>
            </w14:solidFill>
          </w14:textFill>
        </w:rPr>
        <w:t>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8、投资其他基金的费用；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9、基金的银行汇划费用；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10、基金的开户费用</w:t>
      </w:r>
      <w:bookmarkStart w:id="362" w:name="_Hlk176010133"/>
      <w:r>
        <w:rPr>
          <w:rFonts w:eastAsiaTheme="minorEastAsia"/>
          <w:bCs/>
          <w:color w:val="000000" w:themeColor="text1"/>
          <w:szCs w:val="21"/>
          <w14:textFill>
            <w14:solidFill>
              <w14:schemeClr w14:val="tx1"/>
            </w14:solidFill>
          </w14:textFill>
        </w:rPr>
        <w:t>、账户维护费用；</w:t>
      </w:r>
      <w:bookmarkEnd w:id="362"/>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11、按照</w:t>
      </w:r>
      <w:bookmarkStart w:id="363" w:name="_Hlk176010240"/>
      <w:r>
        <w:rPr>
          <w:rFonts w:eastAsiaTheme="minorEastAsia"/>
          <w:bCs/>
          <w:color w:val="000000" w:themeColor="text1"/>
          <w:szCs w:val="21"/>
          <w14:textFill>
            <w14:solidFill>
              <w14:schemeClr w14:val="tx1"/>
            </w14:solidFill>
          </w14:textFill>
        </w:rPr>
        <w:t>国家有关规定和</w:t>
      </w:r>
      <w:bookmarkEnd w:id="363"/>
      <w:r>
        <w:rPr>
          <w:rFonts w:eastAsiaTheme="minorEastAsia"/>
          <w:bCs/>
          <w:color w:val="000000" w:themeColor="text1"/>
          <w:szCs w:val="21"/>
          <w14:textFill>
            <w14:solidFill>
              <w14:schemeClr w14:val="tx1"/>
            </w14:solidFill>
          </w14:textFill>
        </w:rPr>
        <w:t>《基金合同》约定</w:t>
      </w:r>
      <w:bookmarkStart w:id="364" w:name="_Hlk176010259"/>
      <w:r>
        <w:rPr>
          <w:rFonts w:eastAsiaTheme="minorEastAsia"/>
          <w:bCs/>
          <w:color w:val="000000" w:themeColor="text1"/>
          <w:szCs w:val="21"/>
          <w14:textFill>
            <w14:solidFill>
              <w14:schemeClr w14:val="tx1"/>
            </w14:solidFill>
          </w14:textFill>
        </w:rPr>
        <w:t>，可以在基金财产中列支的其他费用</w:t>
      </w:r>
      <w:bookmarkEnd w:id="364"/>
      <w:r>
        <w:rPr>
          <w:rFonts w:eastAsiaTheme="minorEastAsia"/>
          <w:bCs/>
          <w:color w:val="000000" w:themeColor="text1"/>
          <w:szCs w:val="21"/>
          <w14:textFill>
            <w14:solidFill>
              <w14:schemeClr w14:val="tx1"/>
            </w14:solidFill>
          </w14:textFill>
        </w:rPr>
        <w:t>。</w:t>
      </w:r>
    </w:p>
    <w:bookmarkEnd w:id="359"/>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二、基金费用计提方法、计提标准和支付方式</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365" w:name="_Hlk178017285"/>
      <w:r>
        <w:rPr>
          <w:rFonts w:eastAsiaTheme="minorEastAsia"/>
          <w:bCs/>
          <w:color w:val="000000" w:themeColor="text1"/>
          <w:szCs w:val="21"/>
          <w14:textFill>
            <w14:solidFill>
              <w14:schemeClr w14:val="tx1"/>
            </w14:solidFill>
          </w14:textFill>
        </w:rPr>
        <w:t xml:space="preserve">1、基金管理人的管理费 </w:t>
      </w:r>
    </w:p>
    <w:p>
      <w:pPr>
        <w:spacing w:line="360" w:lineRule="auto"/>
        <w:ind w:firstLine="420" w:firstLineChars="200"/>
      </w:pPr>
      <w:r>
        <w:rPr>
          <w:rFonts w:hint="eastAsia"/>
        </w:rPr>
        <w:t>本基金的管理费按前一日基金资产净值扣除基金资产中本基金管理人管理的基金份额所对应资产净值后剩余部分（若为负数，则取0）的</w:t>
      </w:r>
      <w:r>
        <w:t>0</w:t>
      </w:r>
      <w:r>
        <w:rPr>
          <w:rFonts w:hint="eastAsia"/>
        </w:rPr>
        <w:t>.</w:t>
      </w:r>
      <w:r>
        <w:t>5</w:t>
      </w:r>
      <w:r>
        <w:rPr>
          <w:rFonts w:hint="eastAsia"/>
        </w:rPr>
        <w:t>0%年费率计提。基金管理人不得对本基金财产中持有的自身管理的基金部分收取管理费。基金管理费的计算方法如下：</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H＝E×0.50%÷当年天数</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H为每日应计提的基金管理费</w:t>
      </w:r>
    </w:p>
    <w:p>
      <w:pPr>
        <w:spacing w:line="360" w:lineRule="auto"/>
        <w:ind w:firstLine="420" w:firstLineChars="200"/>
      </w:pPr>
      <w:r>
        <w:rPr>
          <w:rFonts w:hint="eastAsia"/>
        </w:rPr>
        <w:t>E为前一日的基金资产净值扣除基金资产中本基金管理人管理的基金份额所对应资产净值后剩余部分，若为负数，则E取0。</w:t>
      </w:r>
    </w:p>
    <w:p>
      <w:pPr>
        <w:spacing w:line="360" w:lineRule="auto"/>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基金管理费每日计提，按月支付。由基金托管人根据与基金管理人核对一致的财务数据，自动在月初5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2、基金托管人的托管费</w:t>
      </w:r>
    </w:p>
    <w:p>
      <w:pPr>
        <w:spacing w:line="360" w:lineRule="auto"/>
        <w:ind w:firstLine="420" w:firstLineChars="200"/>
      </w:pPr>
      <w:r>
        <w:rPr>
          <w:rFonts w:hint="eastAsia"/>
        </w:rPr>
        <w:t>本基金的托管费按前一日基金资产净值扣除基金资产中本基金托管人托管的基金份额所对应资产净值后剩余部分（若为负数，则取0）的0.1</w:t>
      </w:r>
      <w:r>
        <w:t>0</w:t>
      </w:r>
      <w:r>
        <w:rPr>
          <w:rFonts w:hint="eastAsia"/>
        </w:rPr>
        <w:t>%年费率计提。基金托管人不得对本基金财产中持有的自身托管的基金部分收取托管费。基金托管费的计算方法如下：</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H＝E×0.10%÷当年天数</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H为每日应计提的基金托管费</w:t>
      </w:r>
    </w:p>
    <w:p>
      <w:pPr>
        <w:spacing w:line="360" w:lineRule="auto"/>
        <w:ind w:firstLine="420" w:firstLineChars="200"/>
      </w:pPr>
      <w:r>
        <w:rPr>
          <w:rFonts w:hint="eastAsia"/>
        </w:rPr>
        <w:t>E为前一日的基金资产净值扣除基金资产中本基金托管人托管的基金份额所对应资产净值后剩余部分，若为负数，则E取0。</w:t>
      </w:r>
    </w:p>
    <w:p>
      <w:pPr>
        <w:spacing w:line="360" w:lineRule="auto"/>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基金托管费每日计提，按月支付。由基金托管人根据与基金管理人核对一致的财务数据，自动在月初5个工作日内、按照指定的账户路径进行资金支取，基金管理人无需再出具资金划拨指令。若遇法定节假日、休息日或不可抗力等，支付日期顺延。费用自动扣划后，基金管理人应进行核对，如发现数据不符，及时联系基金托管人协商解决。</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 xml:space="preserve">3、销售服务费 </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销售服务费可用于本基金市场推广、销售以及基金份额持有人服务等各项费用。</w:t>
      </w:r>
      <w:bookmarkStart w:id="366" w:name="_Hlk175758757"/>
      <w:r>
        <w:rPr>
          <w:rFonts w:eastAsiaTheme="minorEastAsia"/>
          <w:bCs/>
          <w:color w:val="000000" w:themeColor="text1"/>
          <w:szCs w:val="21"/>
          <w14:textFill>
            <w14:solidFill>
              <w14:schemeClr w14:val="tx1"/>
            </w14:solidFill>
          </w14:textFill>
        </w:rPr>
        <w:t>本基金份额分为不同的类别，适用不同的销售服务费率。其中，A类</w:t>
      </w:r>
      <w:r>
        <w:rPr>
          <w:bCs/>
          <w:color w:val="000000" w:themeColor="text1"/>
          <w:szCs w:val="21"/>
          <w14:textFill>
            <w14:solidFill>
              <w14:schemeClr w14:val="tx1"/>
            </w14:solidFill>
          </w14:textFill>
        </w:rPr>
        <w:t>基金份额</w:t>
      </w:r>
      <w:r>
        <w:rPr>
          <w:rFonts w:eastAsiaTheme="minorEastAsia"/>
          <w:bCs/>
          <w:color w:val="000000" w:themeColor="text1"/>
          <w:szCs w:val="21"/>
          <w14:textFill>
            <w14:solidFill>
              <w14:schemeClr w14:val="tx1"/>
            </w14:solidFill>
          </w14:textFill>
        </w:rPr>
        <w:t>不收取销售服务费，C类</w:t>
      </w:r>
      <w:r>
        <w:rPr>
          <w:bCs/>
          <w:color w:val="000000" w:themeColor="text1"/>
          <w:szCs w:val="21"/>
          <w14:textFill>
            <w14:solidFill>
              <w14:schemeClr w14:val="tx1"/>
            </w14:solidFill>
          </w14:textFill>
        </w:rPr>
        <w:t>基金份额</w:t>
      </w:r>
      <w:r>
        <w:rPr>
          <w:rFonts w:eastAsiaTheme="minorEastAsia"/>
          <w:bCs/>
          <w:color w:val="000000" w:themeColor="text1"/>
          <w:szCs w:val="21"/>
          <w14:textFill>
            <w14:solidFill>
              <w14:schemeClr w14:val="tx1"/>
            </w14:solidFill>
          </w14:textFill>
        </w:rPr>
        <w:t>销售服务费年费率为0.</w:t>
      </w:r>
      <w:r>
        <w:rPr>
          <w:rFonts w:hint="eastAsia" w:eastAsiaTheme="minorEastAsia"/>
          <w:bCs/>
          <w:color w:val="000000" w:themeColor="text1"/>
          <w:szCs w:val="21"/>
          <w14:textFill>
            <w14:solidFill>
              <w14:schemeClr w14:val="tx1"/>
            </w14:solidFill>
          </w14:textFill>
        </w:rPr>
        <w:t>2</w:t>
      </w:r>
      <w:r>
        <w:rPr>
          <w:rFonts w:eastAsiaTheme="minorEastAsia"/>
          <w:bCs/>
          <w:color w:val="000000" w:themeColor="text1"/>
          <w:szCs w:val="21"/>
          <w14:textFill>
            <w14:solidFill>
              <w14:schemeClr w14:val="tx1"/>
            </w14:solidFill>
          </w14:textFill>
        </w:rPr>
        <w:t>0%。</w:t>
      </w:r>
    </w:p>
    <w:p>
      <w:pPr>
        <w:spacing w:line="360" w:lineRule="auto"/>
        <w:ind w:firstLine="420" w:firstLineChars="200"/>
        <w:rPr>
          <w:rFonts w:eastAsiaTheme="minorEastAsia"/>
          <w:bCs/>
          <w:color w:val="000000" w:themeColor="text1"/>
          <w:szCs w:val="21"/>
          <w14:textFill>
            <w14:solidFill>
              <w14:schemeClr w14:val="tx1"/>
            </w14:solidFill>
          </w14:textFill>
        </w:rPr>
      </w:pPr>
      <w:r>
        <w:rPr>
          <w:bCs/>
          <w:color w:val="000000" w:themeColor="text1"/>
          <w:szCs w:val="21"/>
          <w14:textFill>
            <w14:solidFill>
              <w14:schemeClr w14:val="tx1"/>
            </w14:solidFill>
          </w14:textFill>
        </w:rPr>
        <w:t>各类别</w:t>
      </w:r>
      <w:r>
        <w:rPr>
          <w:rFonts w:eastAsiaTheme="minorEastAsia"/>
          <w:bCs/>
          <w:color w:val="000000" w:themeColor="text1"/>
          <w:szCs w:val="21"/>
          <w14:textFill>
            <w14:solidFill>
              <w14:schemeClr w14:val="tx1"/>
            </w14:solidFill>
          </w14:textFill>
        </w:rPr>
        <w:t>基金份额的销售服务费计算方法如下：</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H＝E×R÷当年天数</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H 为</w:t>
      </w:r>
      <w:r>
        <w:rPr>
          <w:rFonts w:hint="eastAsia"/>
          <w:bCs/>
          <w:color w:val="000000" w:themeColor="text1"/>
          <w:szCs w:val="21"/>
          <w14:textFill>
            <w14:solidFill>
              <w14:schemeClr w14:val="tx1"/>
            </w14:solidFill>
          </w14:textFill>
        </w:rPr>
        <w:t>该</w:t>
      </w:r>
      <w:r>
        <w:rPr>
          <w:bCs/>
          <w:color w:val="000000" w:themeColor="text1"/>
          <w:szCs w:val="21"/>
          <w14:textFill>
            <w14:solidFill>
              <w14:schemeClr w14:val="tx1"/>
            </w14:solidFill>
          </w14:textFill>
        </w:rPr>
        <w:t>类别</w:t>
      </w:r>
      <w:r>
        <w:rPr>
          <w:rFonts w:eastAsiaTheme="minorEastAsia"/>
          <w:bCs/>
          <w:color w:val="000000" w:themeColor="text1"/>
          <w:szCs w:val="21"/>
          <w14:textFill>
            <w14:solidFill>
              <w14:schemeClr w14:val="tx1"/>
            </w14:solidFill>
          </w14:textFill>
        </w:rPr>
        <w:t>基金份额每日应计提的销售服务费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E 为</w:t>
      </w:r>
      <w:r>
        <w:rPr>
          <w:rFonts w:hint="eastAsia"/>
          <w:bCs/>
          <w:color w:val="000000" w:themeColor="text1"/>
          <w:szCs w:val="21"/>
          <w14:textFill>
            <w14:solidFill>
              <w14:schemeClr w14:val="tx1"/>
            </w14:solidFill>
          </w14:textFill>
        </w:rPr>
        <w:t>该</w:t>
      </w:r>
      <w:r>
        <w:rPr>
          <w:bCs/>
          <w:color w:val="000000" w:themeColor="text1"/>
          <w:szCs w:val="21"/>
          <w14:textFill>
            <w14:solidFill>
              <w14:schemeClr w14:val="tx1"/>
            </w14:solidFill>
          </w14:textFill>
        </w:rPr>
        <w:t>类别</w:t>
      </w:r>
      <w:r>
        <w:rPr>
          <w:rFonts w:eastAsiaTheme="minorEastAsia"/>
          <w:bCs/>
          <w:color w:val="000000" w:themeColor="text1"/>
          <w:szCs w:val="21"/>
          <w14:textFill>
            <w14:solidFill>
              <w14:schemeClr w14:val="tx1"/>
            </w14:solidFill>
          </w14:textFill>
        </w:rPr>
        <w:t>基金份额前一日基金资产净值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R 为</w:t>
      </w:r>
      <w:r>
        <w:rPr>
          <w:rFonts w:hint="eastAsia"/>
          <w:bCs/>
          <w:color w:val="000000" w:themeColor="text1"/>
          <w:szCs w:val="21"/>
          <w14:textFill>
            <w14:solidFill>
              <w14:schemeClr w14:val="tx1"/>
            </w14:solidFill>
          </w14:textFill>
        </w:rPr>
        <w:t>该</w:t>
      </w:r>
      <w:r>
        <w:rPr>
          <w:bCs/>
          <w:color w:val="000000" w:themeColor="text1"/>
          <w:szCs w:val="21"/>
          <w14:textFill>
            <w14:solidFill>
              <w14:schemeClr w14:val="tx1"/>
            </w14:solidFill>
          </w14:textFill>
        </w:rPr>
        <w:t>类别</w:t>
      </w:r>
      <w:r>
        <w:rPr>
          <w:rFonts w:eastAsiaTheme="minorEastAsia"/>
          <w:bCs/>
          <w:color w:val="000000" w:themeColor="text1"/>
          <w:szCs w:val="21"/>
          <w14:textFill>
            <w14:solidFill>
              <w14:schemeClr w14:val="tx1"/>
            </w14:solidFill>
          </w14:textFill>
        </w:rPr>
        <w:t>基金份额适用的销售服务费率</w:t>
      </w:r>
    </w:p>
    <w:p>
      <w:pPr>
        <w:spacing w:line="360" w:lineRule="auto"/>
        <w:ind w:firstLine="420"/>
        <w:rPr>
          <w:bCs/>
          <w:szCs w:val="21"/>
        </w:rPr>
      </w:pPr>
      <w:bookmarkStart w:id="367" w:name="_Hlk176010508"/>
      <w:r>
        <w:rPr>
          <w:rFonts w:hint="eastAsia"/>
        </w:rPr>
        <w:t>销售服务费每日计提</w:t>
      </w:r>
      <w:r>
        <w:rPr>
          <w:rFonts w:hint="eastAsia"/>
          <w:bCs/>
          <w:szCs w:val="21"/>
        </w:rPr>
        <w:t>。</w:t>
      </w:r>
    </w:p>
    <w:p>
      <w:pPr>
        <w:spacing w:line="360" w:lineRule="auto"/>
        <w:ind w:firstLine="420"/>
        <w:rPr>
          <w:bCs/>
          <w:szCs w:val="21"/>
        </w:rPr>
      </w:pPr>
      <w:r>
        <w:rPr>
          <w:rFonts w:hint="eastAsia"/>
          <w:bCs/>
          <w:szCs w:val="21"/>
        </w:rPr>
        <w:t>1. 基金管理人直销机构：</w:t>
      </w:r>
    </w:p>
    <w:p>
      <w:pPr>
        <w:spacing w:line="360" w:lineRule="auto"/>
        <w:ind w:firstLine="420"/>
        <w:rPr>
          <w:bCs/>
          <w:szCs w:val="21"/>
        </w:rPr>
      </w:pPr>
      <w:r>
        <w:rPr>
          <w:rFonts w:hint="eastAsia"/>
          <w:bCs/>
          <w:szCs w:val="21"/>
        </w:rPr>
        <w:t>基金管理人销售其管理的基金，不得收取销售服务费。华夏财富（基金管理人销售子公司）按照本条要求执行。</w:t>
      </w:r>
    </w:p>
    <w:p>
      <w:pPr>
        <w:spacing w:line="360" w:lineRule="auto"/>
        <w:ind w:firstLine="420"/>
        <w:rPr>
          <w:bCs/>
          <w:szCs w:val="21"/>
        </w:rPr>
      </w:pPr>
      <w:r>
        <w:rPr>
          <w:rFonts w:hint="eastAsia"/>
          <w:bCs/>
          <w:szCs w:val="21"/>
        </w:rPr>
        <w:t>2. 代销机构：</w:t>
      </w:r>
    </w:p>
    <w:p>
      <w:pPr>
        <w:spacing w:line="360" w:lineRule="auto"/>
        <w:ind w:firstLine="420"/>
      </w:pPr>
      <w:r>
        <w:rPr>
          <w:rFonts w:hint="eastAsia"/>
          <w:bCs/>
          <w:szCs w:val="21"/>
        </w:rPr>
        <w:t>对于投资者在其他代销机构持续持有期限未超过一年（即365天，下同）的基金份额计提的销售服务费，</w:t>
      </w:r>
      <w:r>
        <w:rPr>
          <w:rFonts w:hint="eastAsia" w:ascii="宋体" w:hAnsi="宋体"/>
          <w:szCs w:val="21"/>
        </w:rPr>
        <w:t>逐日累计至每月月末</w:t>
      </w:r>
      <w:r>
        <w:rPr>
          <w:rFonts w:hint="eastAsia" w:ascii="宋体" w:hAnsi="宋体"/>
        </w:rPr>
        <w:t>，按月支付。</w:t>
      </w:r>
      <w:r>
        <w:rPr>
          <w:rFonts w:hint="eastAsia" w:ascii="宋体" w:hAnsi="宋体"/>
          <w:szCs w:val="21"/>
        </w:rPr>
        <w:t>自动在</w:t>
      </w:r>
      <w:r>
        <w:rPr>
          <w:rFonts w:hint="eastAsia" w:ascii="宋体" w:hAnsi="宋体"/>
        </w:rPr>
        <w:t>次</w:t>
      </w:r>
      <w:r>
        <w:rPr>
          <w:rFonts w:hint="eastAsia" w:ascii="宋体" w:hAnsi="宋体"/>
          <w:szCs w:val="21"/>
        </w:rPr>
        <w:t>月初5</w:t>
      </w:r>
      <w:r>
        <w:rPr>
          <w:rFonts w:hint="eastAsia" w:ascii="宋体" w:hAnsi="宋体"/>
        </w:rPr>
        <w:t>个工作日内</w:t>
      </w:r>
      <w:r>
        <w:rPr>
          <w:rFonts w:hint="eastAsia" w:ascii="宋体" w:hAnsi="宋体"/>
          <w:szCs w:val="21"/>
        </w:rPr>
        <w:t>、按照指定的账户路径进行资金</w:t>
      </w:r>
      <w:r>
        <w:rPr>
          <w:rFonts w:hint="eastAsia" w:ascii="宋体" w:hAnsi="宋体"/>
        </w:rPr>
        <w:t>支付</w:t>
      </w:r>
      <w:r>
        <w:rPr>
          <w:rFonts w:hint="eastAsia" w:ascii="宋体" w:hAnsi="宋体"/>
          <w:szCs w:val="21"/>
        </w:rPr>
        <w:t>，</w:t>
      </w:r>
      <w:r>
        <w:rPr>
          <w:rFonts w:hint="eastAsia" w:ascii="宋体" w:hAnsi="宋体"/>
        </w:rPr>
        <w:t>基金</w:t>
      </w:r>
      <w:r>
        <w:rPr>
          <w:rFonts w:hint="eastAsia" w:ascii="宋体" w:hAnsi="宋体"/>
          <w:szCs w:val="21"/>
        </w:rPr>
        <w:t>管理人无需再出具资金划拨指令</w:t>
      </w:r>
      <w:r>
        <w:rPr>
          <w:rFonts w:hint="eastAsia" w:ascii="宋体" w:hAnsi="宋体"/>
        </w:rPr>
        <w:t>。若遇法定节假日、休息日或不可抗力等</w:t>
      </w:r>
      <w:r>
        <w:rPr>
          <w:rFonts w:hint="eastAsia" w:ascii="宋体" w:hAnsi="宋体"/>
          <w:szCs w:val="21"/>
        </w:rPr>
        <w:t>，支付日期顺延</w:t>
      </w:r>
      <w:r>
        <w:rPr>
          <w:rFonts w:hint="eastAsia" w:ascii="宋体" w:hAnsi="宋体"/>
        </w:rPr>
        <w:t>。</w:t>
      </w:r>
      <w:r>
        <w:rPr>
          <w:rFonts w:hint="eastAsia"/>
          <w:bCs/>
          <w:color w:val="000000" w:themeColor="text1"/>
          <w:szCs w:val="21"/>
          <w14:textFill>
            <w14:solidFill>
              <w14:schemeClr w14:val="tx1"/>
            </w14:solidFill>
          </w14:textFill>
        </w:rPr>
        <w:t>费用自动扣划后，基金管理人应进行核对，如发现数据不符，及时联系基金托管人协商解决。</w:t>
      </w:r>
    </w:p>
    <w:bookmarkEnd w:id="367"/>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bCs/>
          <w:szCs w:val="21"/>
        </w:rPr>
        <w:t>对于投资者在其他代销机构持续持有期限超过一年的基金份额继续计提的销售服务费，在投资者赎回基金份额（或基金合同终止）时，该笔基金份额持有满一年起所计提的销售服务费，随赎回款（或清算款）一并返还给投资者。</w:t>
      </w:r>
      <w:r>
        <w:rPr>
          <w:rFonts w:eastAsiaTheme="minorEastAsia"/>
          <w:bCs/>
          <w:color w:val="000000" w:themeColor="text1"/>
          <w:szCs w:val="21"/>
          <w14:textFill>
            <w14:solidFill>
              <w14:schemeClr w14:val="tx1"/>
            </w14:solidFill>
          </w14:textFill>
        </w:rPr>
        <w:t xml:space="preserve"> </w:t>
      </w:r>
    </w:p>
    <w:bookmarkEnd w:id="366"/>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上述“一、基金费用的种类”中第4－11项费用，根据有关法规及相应协议规定，按费用实际支出金额列入当期费用，由基金托管人从基金财产中支付。</w:t>
      </w:r>
    </w:p>
    <w:bookmarkEnd w:id="365"/>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三、不列入基金费用的项目</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368" w:name="_Hlk178017296"/>
      <w:r>
        <w:rPr>
          <w:rFonts w:eastAsiaTheme="minorEastAsia"/>
          <w:bCs/>
          <w:color w:val="000000" w:themeColor="text1"/>
          <w:szCs w:val="21"/>
          <w14:textFill>
            <w14:solidFill>
              <w14:schemeClr w14:val="tx1"/>
            </w14:solidFill>
          </w14:textFill>
        </w:rPr>
        <w:t>下列费用不列入基金费用：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1、基金管理人和基金托管人因未履行或未完全履行义务导致的费用支出或基金财产的损失；</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2、基金管理人和基金托管人处理与基金运作无关的事项发生的费用；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3、《基金合同》生效前的相关费用；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w:t>
      </w:r>
      <w:bookmarkStart w:id="369" w:name="_Hlk175758847"/>
      <w:r>
        <w:rPr>
          <w:rFonts w:hint="eastAsia" w:eastAsiaTheme="minorEastAsia"/>
          <w:bCs/>
          <w:color w:val="000000" w:themeColor="text1"/>
          <w:szCs w:val="21"/>
          <w14:textFill>
            <w14:solidFill>
              <w14:schemeClr w14:val="tx1"/>
            </w14:solidFill>
          </w14:textFill>
        </w:rPr>
        <w:t>标的指数许可使用费</w:t>
      </w:r>
      <w:bookmarkEnd w:id="369"/>
      <w:r>
        <w:rPr>
          <w:rFonts w:hint="eastAsia" w:eastAsiaTheme="minorEastAsia"/>
          <w:bCs/>
          <w:color w:val="000000" w:themeColor="text1"/>
          <w:szCs w:val="21"/>
          <w14:textFill>
            <w14:solidFill>
              <w14:schemeClr w14:val="tx1"/>
            </w14:solidFill>
          </w14:textFill>
        </w:rPr>
        <w:t>。标的指数许可使用费由基金管理人承担，不得从基金财产中列支；</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5、</w:t>
      </w:r>
      <w:r>
        <w:rPr>
          <w:rFonts w:eastAsiaTheme="minorEastAsia"/>
          <w:bCs/>
          <w:color w:val="000000" w:themeColor="text1"/>
          <w:szCs w:val="21"/>
          <w14:textFill>
            <w14:solidFill>
              <w14:schemeClr w14:val="tx1"/>
            </w14:solidFill>
          </w14:textFill>
        </w:rPr>
        <w:t>其他根据相关法律法规及中国证监会的有关规定不得列入基金费用的项目。</w:t>
      </w:r>
      <w:bookmarkStart w:id="370" w:name="_Hlt88827255"/>
      <w:bookmarkEnd w:id="370"/>
    </w:p>
    <w:bookmarkEnd w:id="368"/>
    <w:p>
      <w:pPr>
        <w:spacing w:line="360" w:lineRule="auto"/>
        <w:ind w:firstLine="420" w:firstLineChars="200"/>
        <w:rPr>
          <w:rFonts w:eastAsiaTheme="minorEastAsia"/>
          <w:bCs/>
          <w:color w:val="000000" w:themeColor="text1"/>
          <w:szCs w:val="21"/>
          <w14:textFill>
            <w14:solidFill>
              <w14:schemeClr w14:val="tx1"/>
            </w14:solidFill>
          </w14:textFill>
        </w:rPr>
      </w:pPr>
      <w:bookmarkStart w:id="371" w:name="_Hlk178017302"/>
      <w:r>
        <w:rPr>
          <w:rFonts w:eastAsiaTheme="minorEastAsia"/>
          <w:bCs/>
          <w:color w:val="000000" w:themeColor="text1"/>
          <w:szCs w:val="21"/>
          <w14:textFill>
            <w14:solidFill>
              <w14:schemeClr w14:val="tx1"/>
            </w14:solidFill>
          </w14:textFill>
        </w:rPr>
        <w:t>四、</w:t>
      </w:r>
      <w:r>
        <w:rPr>
          <w:rFonts w:hint="eastAsia" w:eastAsiaTheme="minorEastAsia"/>
          <w:bCs/>
          <w:color w:val="000000" w:themeColor="text1"/>
          <w:szCs w:val="21"/>
          <w14:textFill>
            <w14:solidFill>
              <w14:schemeClr w14:val="tx1"/>
            </w14:solidFill>
          </w14:textFill>
        </w:rPr>
        <w:t>实施侧袋机制期间的基金费用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本基金实施侧袋机制的，与侧袋账户有关的费用可以从侧袋账户中列支，但应待侧袋账户资产变现后方可列支，有关费用可酌情收取或减免，但不得收取管理费，详见招募说明书的规定。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五、</w:t>
      </w:r>
      <w:r>
        <w:rPr>
          <w:rFonts w:eastAsiaTheme="minorEastAsia"/>
          <w:bCs/>
          <w:color w:val="000000" w:themeColor="text1"/>
          <w:szCs w:val="21"/>
          <w14:textFill>
            <w14:solidFill>
              <w14:schemeClr w14:val="tx1"/>
            </w14:solidFill>
          </w14:textFill>
        </w:rPr>
        <w:t>基金税收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本基金运作过程中涉及的各纳税主体，其纳税义务按国家税收法律、法规执行。</w:t>
      </w:r>
      <w:r>
        <w:rPr>
          <w:rFonts w:hint="eastAsia" w:eastAsiaTheme="minorEastAsia"/>
          <w:bCs/>
          <w:color w:val="000000" w:themeColor="text1"/>
          <w:szCs w:val="21"/>
          <w14:textFill>
            <w14:solidFill>
              <w14:schemeClr w14:val="tx1"/>
            </w14:solidFill>
          </w14:textFill>
        </w:rPr>
        <w:t>基金财产投资的相关税收，由基金份额持有人承担，基金管理人或者其他扣缴义务人按照国家有关税收征收的规定代扣代缴。</w:t>
      </w:r>
    </w:p>
    <w:bookmarkEnd w:id="371"/>
    <w:p>
      <w:pPr>
        <w:jc w:val="center"/>
        <w:outlineLvl w:val="0"/>
        <w:rPr>
          <w:rFonts w:eastAsiaTheme="minorEastAsia"/>
          <w:b/>
          <w:color w:val="000000" w:themeColor="text1"/>
          <w:szCs w:val="21"/>
          <w14:textFill>
            <w14:solidFill>
              <w14:schemeClr w14:val="tx1"/>
            </w14:solidFill>
          </w14:textFill>
        </w:rPr>
      </w:pPr>
      <w:bookmarkStart w:id="372" w:name="_Toc92662707"/>
      <w:bookmarkStart w:id="373" w:name="_Toc93226149"/>
      <w:bookmarkStart w:id="374" w:name="_Toc128310499"/>
      <w:bookmarkStart w:id="375" w:name="_Toc139991746"/>
      <w:bookmarkStart w:id="376" w:name="_Toc22552"/>
      <w:bookmarkStart w:id="377" w:name="_Toc141703896"/>
      <w:r>
        <w:rPr>
          <w:rFonts w:eastAsiaTheme="minorEastAsia"/>
          <w:b/>
          <w:color w:val="000000" w:themeColor="text1"/>
          <w:szCs w:val="21"/>
          <w14:textFill>
            <w14:solidFill>
              <w14:schemeClr w14:val="tx1"/>
            </w14:solidFill>
          </w14:textFill>
        </w:rPr>
        <w:br w:type="page"/>
      </w:r>
      <w:bookmarkStart w:id="378" w:name="_Toc21829"/>
      <w:bookmarkStart w:id="379" w:name="_Toc70507734"/>
      <w:bookmarkStart w:id="380" w:name="_Toc25883"/>
      <w:bookmarkStart w:id="381" w:name="_Toc20052"/>
      <w:bookmarkStart w:id="382" w:name="_Toc15351"/>
      <w:bookmarkStart w:id="383" w:name="_Toc19558"/>
      <w:bookmarkStart w:id="384" w:name="_Toc1617"/>
      <w:bookmarkStart w:id="385" w:name="_Toc3656"/>
      <w:bookmarkStart w:id="386" w:name="_Toc178"/>
      <w:bookmarkStart w:id="387" w:name="_Toc15525"/>
      <w:bookmarkStart w:id="388" w:name="_Toc12761"/>
      <w:r>
        <w:rPr>
          <w:rFonts w:eastAsiaTheme="minorEastAsia"/>
          <w:b/>
          <w:color w:val="000000" w:themeColor="text1"/>
          <w:szCs w:val="21"/>
          <w14:textFill>
            <w14:solidFill>
              <w14:schemeClr w14:val="tx1"/>
            </w14:solidFill>
          </w14:textFill>
        </w:rPr>
        <w:t>第十六部分  基金</w:t>
      </w:r>
      <w:bookmarkEnd w:id="372"/>
      <w:bookmarkEnd w:id="373"/>
      <w:r>
        <w:rPr>
          <w:rFonts w:eastAsiaTheme="minorEastAsia"/>
          <w:b/>
          <w:color w:val="000000" w:themeColor="text1"/>
          <w:szCs w:val="21"/>
          <w14:textFill>
            <w14:solidFill>
              <w14:schemeClr w14:val="tx1"/>
            </w14:solidFill>
          </w14:textFill>
        </w:rPr>
        <w:t>的收益与分配</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rPr>
          <w:rFonts w:eastAsiaTheme="minorEastAsia"/>
          <w:bCs/>
          <w:color w:val="000000" w:themeColor="text1"/>
          <w:szCs w:val="21"/>
          <w14:textFill>
            <w14:solidFill>
              <w14:schemeClr w14:val="tx1"/>
            </w14:solidFill>
          </w14:textFill>
        </w:rPr>
      </w:pPr>
    </w:p>
    <w:p>
      <w:pPr>
        <w:spacing w:line="360" w:lineRule="auto"/>
        <w:ind w:firstLine="472" w:firstLineChars="225"/>
        <w:rPr>
          <w:rFonts w:eastAsiaTheme="minorEastAsia"/>
          <w:bCs/>
          <w:color w:val="000000" w:themeColor="text1"/>
          <w:szCs w:val="21"/>
          <w14:textFill>
            <w14:solidFill>
              <w14:schemeClr w14:val="tx1"/>
            </w14:solidFill>
          </w14:textFill>
        </w:rPr>
      </w:pPr>
      <w:bookmarkStart w:id="389" w:name="_Hlk178017250"/>
      <w:r>
        <w:rPr>
          <w:rFonts w:eastAsiaTheme="minorEastAsia"/>
          <w:bCs/>
          <w:color w:val="000000" w:themeColor="text1"/>
          <w:szCs w:val="21"/>
          <w14:textFill>
            <w14:solidFill>
              <w14:schemeClr w14:val="tx1"/>
            </w14:solidFill>
          </w14:textFill>
        </w:rPr>
        <w:t>一、基金利润的构成</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基金利润指基金利息收入、投资收益、公允价值变动收益和其他收入扣除相关费用后的余额，基金已实现收益指基金利润减去公允价值变动收益后的余额。</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二、基金可供分配利润</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基金可供分配利润指截至收益分配基准日基金未分配利润与未分配利润中已实现收益的孰低数。</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三、基金收益分配原则</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2、</w:t>
      </w:r>
      <w:r>
        <w:rPr>
          <w:rFonts w:hint="eastAsia"/>
          <w:szCs w:val="21"/>
        </w:rPr>
        <w:t>当基金累计报酬率超过同期标的指数累计报酬率时或者基金可供分配利润金额大于0时</w:t>
      </w:r>
      <w:r>
        <w:rPr>
          <w:szCs w:val="21"/>
        </w:rPr>
        <w:t>，</w:t>
      </w:r>
      <w:r>
        <w:rPr>
          <w:rFonts w:hint="eastAsia"/>
          <w:szCs w:val="21"/>
        </w:rPr>
        <w:t>基金管理人</w:t>
      </w:r>
      <w:r>
        <w:rPr>
          <w:szCs w:val="21"/>
        </w:rPr>
        <w:t>可进行收益分配。</w:t>
      </w:r>
      <w:r>
        <w:rPr>
          <w:rFonts w:hint="eastAsia" w:eastAsiaTheme="minorEastAsia"/>
          <w:bCs/>
          <w:color w:val="000000" w:themeColor="text1"/>
          <w:szCs w:val="21"/>
          <w14:textFill>
            <w14:solidFill>
              <w14:schemeClr w14:val="tx1"/>
            </w14:solidFill>
          </w14:textFill>
        </w:rPr>
        <w:t>若《基金合同》生效不满3个月可不进行收益分配</w:t>
      </w:r>
      <w:r>
        <w:rPr>
          <w:rFonts w:eastAsiaTheme="minorEastAsia"/>
          <w:bCs/>
          <w:color w:val="000000" w:themeColor="text1"/>
          <w:szCs w:val="21"/>
          <w14:textFill>
            <w14:solidFill>
              <w14:schemeClr w14:val="tx1"/>
            </w14:solidFill>
          </w14:textFill>
        </w:rPr>
        <w:t>；</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3、由于基金费用的不同，不同类别的基金份额在收益分配数额方面可能有所不同，基金管理人可对各类别基金份额分别制定收益分配方案，同一类别的每一基金份额享有同等分配权；</w:t>
      </w:r>
    </w:p>
    <w:p>
      <w:pPr>
        <w:spacing w:line="360" w:lineRule="auto"/>
        <w:ind w:firstLine="472" w:firstLineChars="225"/>
        <w:rPr>
          <w:rFonts w:eastAsiaTheme="minorEastAsia"/>
          <w:bCs/>
          <w:color w:val="000000" w:themeColor="text1"/>
          <w:szCs w:val="21"/>
          <w14:textFill>
            <w14:solidFill>
              <w14:schemeClr w14:val="tx1"/>
            </w14:solidFill>
          </w14:textFill>
        </w:rPr>
      </w:pPr>
      <w:bookmarkStart w:id="390" w:name="_Hlk215136551"/>
      <w:r>
        <w:rPr>
          <w:color w:val="000000"/>
        </w:rPr>
        <w:t>4</w:t>
      </w:r>
      <w:r>
        <w:rPr>
          <w:rFonts w:hint="eastAsia"/>
          <w:color w:val="000000"/>
        </w:rPr>
        <w:t>、</w:t>
      </w:r>
      <w:r>
        <w:rPr>
          <w:szCs w:val="21"/>
        </w:rPr>
        <w:t>在符合基金收益分配条件的情况下，</w:t>
      </w:r>
      <w:r>
        <w:rPr>
          <w:rFonts w:hint="eastAsia"/>
          <w:szCs w:val="21"/>
        </w:rPr>
        <w:t>基金管理人可以根据实际情况进行收益分配，具体分配方案以公告为准</w:t>
      </w:r>
      <w:r>
        <w:rPr>
          <w:szCs w:val="21"/>
        </w:rPr>
        <w:t>。</w:t>
      </w:r>
      <w:r>
        <w:rPr>
          <w:rFonts w:hint="eastAsia"/>
          <w:szCs w:val="21"/>
        </w:rPr>
        <w:t>当基金收益分配根据基金相对标的指数的超额收益率决定时，</w:t>
      </w:r>
      <w:r>
        <w:rPr>
          <w:szCs w:val="21"/>
        </w:rPr>
        <w:t>基于本基金的性质和特点，本基金收益分配不须以弥补浮动亏损为前提，收益分配后有可能使基金份额净值低于面值</w:t>
      </w:r>
      <w:r>
        <w:rPr>
          <w:rFonts w:hint="eastAsia"/>
          <w:szCs w:val="21"/>
        </w:rPr>
        <w:t>；当基金收益分配根据基金可供分配利润金额决定时，本基金收益分配后各类基金份额净值不能低于面值，即基金收益分配基准日的各类基金份额净值减去每单位该类基金份额收益分配金额后不能低于面值；</w:t>
      </w:r>
      <w:bookmarkEnd w:id="390"/>
    </w:p>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5、法律法规或监管机关另有规定的，从其规定。</w:t>
      </w:r>
    </w:p>
    <w:p>
      <w:pPr>
        <w:spacing w:line="360" w:lineRule="auto"/>
        <w:ind w:firstLine="472" w:firstLineChars="225"/>
        <w:rPr>
          <w:rFonts w:eastAsiaTheme="minorEastAsia"/>
          <w:bCs/>
          <w:color w:val="000000" w:themeColor="text1"/>
          <w:szCs w:val="21"/>
          <w14:textFill>
            <w14:solidFill>
              <w14:schemeClr w14:val="tx1"/>
            </w14:solidFill>
          </w14:textFill>
        </w:rPr>
      </w:pPr>
      <w:bookmarkStart w:id="391" w:name="_Hlk176009574"/>
      <w:r>
        <w:rPr>
          <w:rFonts w:eastAsiaTheme="minorEastAsia"/>
          <w:bCs/>
          <w:color w:val="000000" w:themeColor="text1"/>
          <w:szCs w:val="21"/>
          <w14:textFill>
            <w14:solidFill>
              <w14:schemeClr w14:val="tx1"/>
            </w14:solidFill>
          </w14:textFill>
        </w:rPr>
        <w:t>在不违反法律法规且对现有基金份额持有人利益无实质不利影响的情况下，基金管理人和基金托管人协商一致并按照监管部门要求履行适当程序后可对基金收益分配原则进行调整，</w:t>
      </w:r>
      <w:r>
        <w:rPr>
          <w:rFonts w:hint="eastAsia" w:eastAsiaTheme="minorEastAsia"/>
          <w:bCs/>
          <w:color w:val="000000" w:themeColor="text1"/>
          <w:szCs w:val="21"/>
          <w14:textFill>
            <w14:solidFill>
              <w14:schemeClr w14:val="tx1"/>
            </w14:solidFill>
          </w14:textFill>
        </w:rPr>
        <w:t>并</w:t>
      </w:r>
      <w:r>
        <w:rPr>
          <w:rFonts w:eastAsiaTheme="minorEastAsia"/>
          <w:bCs/>
          <w:color w:val="000000" w:themeColor="text1"/>
          <w:szCs w:val="21"/>
          <w14:textFill>
            <w14:solidFill>
              <w14:schemeClr w14:val="tx1"/>
            </w14:solidFill>
          </w14:textFill>
        </w:rPr>
        <w:t>应于变更实施日前在规定媒介公告。</w:t>
      </w:r>
    </w:p>
    <w:bookmarkEnd w:id="391"/>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四、收益分配方案</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基金收益分配方案中应载明截止收益分配基准日的可供分配利润、基金收益分配对象、分配时间、分配数额及比例、分配方式等内容。</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五</w:t>
      </w:r>
      <w:r>
        <w:rPr>
          <w:rFonts w:eastAsiaTheme="minorEastAsia"/>
          <w:bCs/>
          <w:color w:val="000000" w:themeColor="text1"/>
          <w:szCs w:val="21"/>
          <w14:textFill>
            <w14:solidFill>
              <w14:schemeClr w14:val="tx1"/>
            </w14:solidFill>
          </w14:textFill>
        </w:rPr>
        <w:t>、收益分配方案的确定、公告与实施</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本基金收益分配方案由基金管理人拟定，并由基金托管人复核</w:t>
      </w:r>
      <w:r>
        <w:rPr>
          <w:rFonts w:hint="eastAsia" w:eastAsiaTheme="minorEastAsia"/>
          <w:bCs/>
          <w:color w:val="000000" w:themeColor="text1"/>
          <w:szCs w:val="21"/>
          <w14:textFill>
            <w14:solidFill>
              <w14:schemeClr w14:val="tx1"/>
            </w14:solidFill>
          </w14:textFill>
        </w:rPr>
        <w:t>，依</w:t>
      </w:r>
      <w:r>
        <w:rPr>
          <w:rFonts w:eastAsiaTheme="minorEastAsia"/>
          <w:bCs/>
          <w:color w:val="000000" w:themeColor="text1"/>
          <w:szCs w:val="21"/>
          <w14:textFill>
            <w14:solidFill>
              <w14:schemeClr w14:val="tx1"/>
            </w14:solidFill>
          </w14:textFill>
        </w:rPr>
        <w:t>照《信息披露办法》的有关规定在规定媒介公告。</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六、基金收益分配中发生的费用</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hint="eastAsia" w:eastAsiaTheme="minorEastAsia"/>
          <w:bCs/>
          <w:color w:val="000000" w:themeColor="text1"/>
          <w:szCs w:val="21"/>
          <w14:textFill>
            <w14:solidFill>
              <w14:schemeClr w14:val="tx1"/>
            </w14:solidFill>
          </w14:textFill>
        </w:rPr>
        <w:t>同一</w:t>
      </w:r>
      <w:r>
        <w:rPr>
          <w:rFonts w:eastAsiaTheme="minorEastAsia"/>
          <w:bCs/>
          <w:color w:val="000000" w:themeColor="text1"/>
          <w:szCs w:val="21"/>
          <w14:textFill>
            <w14:solidFill>
              <w14:schemeClr w14:val="tx1"/>
            </w14:solidFill>
          </w14:textFill>
        </w:rPr>
        <w:t>类别的基金份额。红利再投资的计算方法，依照《业务规则》执行。</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七、实施侧袋机制期间的收益分配</w:t>
      </w:r>
    </w:p>
    <w:p>
      <w:pPr>
        <w:spacing w:line="360" w:lineRule="auto"/>
        <w:ind w:firstLine="472" w:firstLineChars="225"/>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本基金实施侧袋机制的，侧袋账户不进行收益分配，详见招募说明书的规定。</w:t>
      </w:r>
    </w:p>
    <w:bookmarkEnd w:id="389"/>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392" w:name="_Toc93226150"/>
      <w:bookmarkStart w:id="393" w:name="_Toc92662708"/>
      <w:bookmarkStart w:id="394" w:name="_Toc1043"/>
      <w:bookmarkStart w:id="395" w:name="_Toc70507735"/>
      <w:bookmarkStart w:id="396" w:name="_Toc21206"/>
      <w:bookmarkStart w:id="397" w:name="_Toc139991747"/>
      <w:bookmarkStart w:id="398" w:name="_Toc17499"/>
      <w:bookmarkStart w:id="399" w:name="_Toc23859"/>
      <w:bookmarkStart w:id="400" w:name="_Toc13255"/>
      <w:bookmarkStart w:id="401" w:name="_Toc18007"/>
      <w:bookmarkStart w:id="402" w:name="_Toc31736"/>
      <w:bookmarkStart w:id="403" w:name="_Toc28961"/>
      <w:bookmarkStart w:id="404" w:name="_Toc29695"/>
      <w:bookmarkStart w:id="405" w:name="_Toc10894"/>
      <w:bookmarkStart w:id="406" w:name="_Toc128310500"/>
      <w:bookmarkStart w:id="407" w:name="_Toc18747"/>
      <w:bookmarkStart w:id="408" w:name="_Toc141703897"/>
      <w:r>
        <w:rPr>
          <w:rFonts w:eastAsiaTheme="minorEastAsia"/>
          <w:b/>
          <w:color w:val="000000" w:themeColor="text1"/>
          <w:szCs w:val="21"/>
          <w14:textFill>
            <w14:solidFill>
              <w14:schemeClr w14:val="tx1"/>
            </w14:solidFill>
          </w14:textFill>
        </w:rPr>
        <w:t>第十七部分  基金</w:t>
      </w:r>
      <w:bookmarkEnd w:id="392"/>
      <w:bookmarkEnd w:id="393"/>
      <w:r>
        <w:rPr>
          <w:rFonts w:eastAsiaTheme="minorEastAsia"/>
          <w:b/>
          <w:color w:val="000000" w:themeColor="text1"/>
          <w:szCs w:val="21"/>
          <w14:textFill>
            <w14:solidFill>
              <w14:schemeClr w14:val="tx1"/>
            </w14:solidFill>
          </w14:textFill>
        </w:rPr>
        <w:t>的会计与审计</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一、基金会计政策</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1、基金管理人为本基金的基金会计责任方；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2、基金的会计年度为公历年度的1月1日至12月31日；</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3、基金核算以人民币为记账本位币，以人民币元为记账单位；</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4、会计制度执行国家有关会计制度；</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5、本基金独立建账、独立核算；</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6、基金管理人及基金托管人各自保留完整的会计账目、凭证并进行日常的会计核算，按照有关规定编制基金会计报表；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7、基金托管人每月与基金管理人就基金的会计核算、报表编制等进行核对确认。</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二、基金的年度审计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1、基金管理人聘请与基金管理人、基金托管人相互独立的</w:t>
      </w:r>
      <w:r>
        <w:rPr>
          <w:rFonts w:hint="eastAsia" w:eastAsiaTheme="minorEastAsia"/>
          <w:bCs/>
          <w:color w:val="000000" w:themeColor="text1"/>
          <w:szCs w:val="21"/>
          <w14:textFill>
            <w14:solidFill>
              <w14:schemeClr w14:val="tx1"/>
            </w14:solidFill>
          </w14:textFill>
        </w:rPr>
        <w:t>符合《证券法》规定</w:t>
      </w:r>
      <w:r>
        <w:rPr>
          <w:rFonts w:eastAsiaTheme="minorEastAsia"/>
          <w:bCs/>
          <w:color w:val="000000" w:themeColor="text1"/>
          <w:szCs w:val="21"/>
          <w14:textFill>
            <w14:solidFill>
              <w14:schemeClr w14:val="tx1"/>
            </w14:solidFill>
          </w14:textFill>
        </w:rPr>
        <w:t>的会计师事务所及其注册会计师对本基金的年度财务报表进行审计。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2、会计师事务所更换经办注册会计师，应事先征得基金管理人同意。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w:t>
      </w:r>
      <w:bookmarkStart w:id="409" w:name="_Hlt4221115"/>
      <w:bookmarkEnd w:id="409"/>
      <w:r>
        <w:rPr>
          <w:rFonts w:eastAsiaTheme="minorEastAsia"/>
          <w:bCs/>
          <w:color w:val="000000" w:themeColor="text1"/>
          <w:szCs w:val="21"/>
          <w14:textFill>
            <w14:solidFill>
              <w14:schemeClr w14:val="tx1"/>
            </w14:solidFill>
          </w14:textFill>
        </w:rPr>
        <w:t>基金管理人认为有充足理由更换会计师事务所，须通报基金托管人。更换会计师事务所需依照《信息披露办法》的有关规定在规定媒介公告。</w:t>
      </w: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410" w:name="_Toc93226151"/>
      <w:bookmarkStart w:id="411" w:name="_Toc92662709"/>
      <w:bookmarkStart w:id="412" w:name="_Toc1421"/>
      <w:bookmarkStart w:id="413" w:name="_Toc11802"/>
      <w:bookmarkStart w:id="414" w:name="_Toc21351"/>
      <w:bookmarkStart w:id="415" w:name="_Toc128310501"/>
      <w:bookmarkStart w:id="416" w:name="_Toc8512"/>
      <w:bookmarkStart w:id="417" w:name="_Toc12028"/>
      <w:bookmarkStart w:id="418" w:name="_Toc31866"/>
      <w:bookmarkStart w:id="419" w:name="_Toc70507736"/>
      <w:bookmarkStart w:id="420" w:name="_Toc141703898"/>
      <w:bookmarkStart w:id="421" w:name="_Toc193"/>
      <w:bookmarkStart w:id="422" w:name="_Toc139991748"/>
      <w:bookmarkStart w:id="423" w:name="_Toc1173"/>
      <w:bookmarkStart w:id="424" w:name="_Toc3056"/>
      <w:bookmarkStart w:id="425" w:name="_Toc11049"/>
      <w:bookmarkStart w:id="426" w:name="_Toc29289"/>
      <w:bookmarkStart w:id="427" w:name="_Hlk22820687"/>
      <w:r>
        <w:rPr>
          <w:rFonts w:eastAsiaTheme="minorEastAsia"/>
          <w:b/>
          <w:color w:val="000000" w:themeColor="text1"/>
          <w:szCs w:val="21"/>
          <w14:textFill>
            <w14:solidFill>
              <w14:schemeClr w14:val="tx1"/>
            </w14:solidFill>
          </w14:textFill>
        </w:rPr>
        <w:t>第十八部分  基金</w:t>
      </w:r>
      <w:bookmarkEnd w:id="410"/>
      <w:bookmarkEnd w:id="411"/>
      <w:r>
        <w:rPr>
          <w:rFonts w:eastAsiaTheme="minorEastAsia"/>
          <w:b/>
          <w:color w:val="000000" w:themeColor="text1"/>
          <w:szCs w:val="21"/>
          <w14:textFill>
            <w14:solidFill>
              <w14:schemeClr w14:val="tx1"/>
            </w14:solidFill>
          </w14:textFill>
        </w:rPr>
        <w:t>的信息披露</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一、本基金的信息披露应符合《基金法》、《运作办法》、《信息披露办法》、《流动性风险管理规定》、《基金合同》及其他有关规定。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二、信息披露义务人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本基金信息披露义务人包括基金管理人、基金托管人、召集基金份额持有人大会的基金份额持有人等法律、行政法规和中国证监会规定的自然人、法人和非法人组织。</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本基金信息披露义务人应当以保护基金份额持有人利益为根本出发点，按照法律、行政法规和中国证监会的规定披露基金信息，并保证所披露信息的真实性、准确性、完整性、及时性、简明性和易得性。</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本基金信息披露义务人应当在中国证监会规定时间内，将应予披露的基金信息通过中国证监会规定媒介披露，并保证投资者能够按照《基金合同》约定的时间和方式查阅或者复制公开披露的信息资料。</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三、本基金信息披露义务人承诺公开披露的基金信息，不得有下列行为：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1、虚假记载、误导性陈述或者重大遗漏；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2、对证券投资业绩进行预测；</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3、违规承诺收益或者承担损失；</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4、诋毁其他基金管理人、基金托管人或者基金销售机构；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5、登载任何自然人、法人和非法人组织的祝贺性、恭维性或推荐性文字；</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6、中国证监会禁止的其他行为。</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四、本基金公开披露的信息应采用中文文本。如同时采用外文文本的，基金信息披露义务人应保证不同文本的内容一致。不同文本之间发生歧义的，以中文文本为准。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本基金公开披露的信息采用阿拉伯数字；除特别说明外，货币单位为人民币元。</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五、公开披露的基金信息</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公开披露的基金信息包括：</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（一）基金招募说明书、《基金合同》、基金托管协议、基金产品资料概要</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2、基金招募说明书应当</w:t>
      </w:r>
      <w:r>
        <w:rPr>
          <w:rFonts w:hint="eastAsia" w:eastAsiaTheme="minorEastAsia"/>
          <w:bCs/>
          <w:color w:val="000000" w:themeColor="text1"/>
          <w:szCs w:val="21"/>
          <w14:textFill>
            <w14:solidFill>
              <w14:schemeClr w14:val="tx1"/>
            </w14:solidFill>
          </w14:textFill>
        </w:rPr>
        <w:t>根据法律法规的规定</w:t>
      </w:r>
      <w:r>
        <w:rPr>
          <w:rFonts w:eastAsiaTheme="minorEastAsia"/>
          <w:bCs/>
          <w:color w:val="000000" w:themeColor="text1"/>
          <w:szCs w:val="21"/>
          <w14:textFill>
            <w14:solidFill>
              <w14:schemeClr w14:val="tx1"/>
            </w14:solidFill>
          </w14:textFill>
        </w:rPr>
        <w:t>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3、基金托管协议是界定基金托管人和基金管理人在基金财产保管及基金运作监督等活动中的权利、义务关系的法律文件。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4、基金产品资料概要</w:t>
      </w:r>
      <w:bookmarkStart w:id="428" w:name="_Hlk21525900"/>
      <w:r>
        <w:rPr>
          <w:rFonts w:eastAsiaTheme="minorEastAsia"/>
          <w:bCs/>
          <w:color w:val="000000" w:themeColor="text1"/>
          <w:szCs w:val="21"/>
          <w14:textFill>
            <w14:solidFill>
              <w14:schemeClr w14:val="tx1"/>
            </w14:solidFill>
          </w14:textFill>
        </w:rPr>
        <w:t>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合同终止的，基金管理人不再更新基金产品资料概要。</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w:t>
      </w:r>
      <w:r>
        <w:rPr>
          <w:rFonts w:hint="eastAsia" w:eastAsiaTheme="minorEastAsia"/>
          <w:bCs/>
          <w:color w:val="000000" w:themeColor="text1"/>
          <w:szCs w:val="21"/>
          <w14:textFill>
            <w14:solidFill>
              <w14:schemeClr w14:val="tx1"/>
            </w14:solidFill>
          </w14:textFill>
        </w:rPr>
        <w:t>规定</w:t>
      </w:r>
      <w:r>
        <w:rPr>
          <w:rFonts w:eastAsiaTheme="minorEastAsia"/>
          <w:bCs/>
          <w:color w:val="000000" w:themeColor="text1"/>
          <w:szCs w:val="21"/>
          <w14:textFill>
            <w14:solidFill>
              <w14:schemeClr w14:val="tx1"/>
            </w14:solidFill>
          </w14:textFill>
        </w:rPr>
        <w:t>网站上。</w:t>
      </w:r>
      <w:bookmarkEnd w:id="428"/>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（二）基金份额发售公告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基金管理人应当就基金份额发售的具体事宜编制基金份额发售公告，并在披露招募说明书的当日登载于规定媒介上。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（三）《基金合同》生效公告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基金管理人应当在收到中国证监会确认文件的次日在规定媒介上登载《基金合同》生效公告。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基金合同生效公告中应说明基金募集情况及基金管理人的股东、基金管理人、基金管理人高级管理人员或基金经理等人员持有的基金份额、承诺持有期限等情况。</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（四）基金净值信息</w:t>
      </w:r>
    </w:p>
    <w:p>
      <w:pPr>
        <w:spacing w:line="360" w:lineRule="auto"/>
        <w:ind w:firstLine="420" w:firstLineChars="200"/>
        <w:rPr>
          <w:rFonts w:eastAsiaTheme="minorEastAsia"/>
          <w:bCs/>
          <w:color w:val="000000" w:themeColor="text1"/>
          <w:szCs w:val="21"/>
          <w14:textFill>
            <w14:solidFill>
              <w14:schemeClr w14:val="tx1"/>
            </w14:solidFill>
          </w14:textFill>
        </w:rPr>
      </w:pPr>
      <w:bookmarkStart w:id="429" w:name="_Hlk22832482"/>
      <w:r>
        <w:rPr>
          <w:rFonts w:eastAsiaTheme="minorEastAsia"/>
          <w:bCs/>
          <w:color w:val="000000" w:themeColor="text1"/>
          <w:szCs w:val="21"/>
          <w14:textFill>
            <w14:solidFill>
              <w14:schemeClr w14:val="tx1"/>
            </w14:solidFill>
          </w14:textFill>
        </w:rPr>
        <w:t>《基金合同》生效后，在开始办理基金份额申购或者赎回前，基金管理人应当至少每周在规定网站披露一次</w:t>
      </w:r>
      <w:r>
        <w:rPr>
          <w:rFonts w:hint="eastAsia" w:eastAsiaTheme="minorEastAsia"/>
          <w:bCs/>
          <w:color w:val="000000" w:themeColor="text1"/>
          <w:szCs w:val="21"/>
          <w14:textFill>
            <w14:solidFill>
              <w14:schemeClr w14:val="tx1"/>
            </w14:solidFill>
          </w14:textFill>
        </w:rPr>
        <w:t>各类基金份额的</w:t>
      </w:r>
      <w:r>
        <w:rPr>
          <w:rFonts w:eastAsiaTheme="minorEastAsia"/>
          <w:bCs/>
          <w:color w:val="000000" w:themeColor="text1"/>
          <w:szCs w:val="21"/>
          <w14:textFill>
            <w14:solidFill>
              <w14:schemeClr w14:val="tx1"/>
            </w14:solidFill>
          </w14:textFill>
        </w:rPr>
        <w:t>基金份额净值和基金份额累计净值。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在开始办理基金份额申购或者赎回后，基金管理人应当在不晚于每个开放日的次日，通过规定网站、基金销售机构网站或者营业网点</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披露开放日</w:t>
      </w:r>
      <w:r>
        <w:rPr>
          <w:rFonts w:hint="eastAsia" w:eastAsiaTheme="minorEastAsia"/>
          <w:bCs/>
          <w:color w:val="000000" w:themeColor="text1"/>
          <w:szCs w:val="21"/>
          <w14:textFill>
            <w14:solidFill>
              <w14:schemeClr w14:val="tx1"/>
            </w14:solidFill>
          </w14:textFill>
        </w:rPr>
        <w:t>各类基金份额</w:t>
      </w:r>
      <w:r>
        <w:rPr>
          <w:rFonts w:eastAsiaTheme="minorEastAsia"/>
          <w:bCs/>
          <w:color w:val="000000" w:themeColor="text1"/>
          <w:szCs w:val="21"/>
          <w14:textFill>
            <w14:solidFill>
              <w14:schemeClr w14:val="tx1"/>
            </w14:solidFill>
          </w14:textFill>
        </w:rPr>
        <w:t>的基金份额净值和基金份额累计净值。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基金管理人应当在不晚于半年度和年度最后一日</w:t>
      </w:r>
      <w:r>
        <w:rPr>
          <w:rFonts w:hint="eastAsia"/>
          <w:color w:val="000000" w:themeColor="text1"/>
          <w14:textFill>
            <w14:solidFill>
              <w14:schemeClr w14:val="tx1"/>
            </w14:solidFill>
          </w14:textFill>
        </w:rPr>
        <w:t>的次日</w:t>
      </w:r>
      <w:r>
        <w:rPr>
          <w:rFonts w:eastAsiaTheme="minorEastAsia"/>
          <w:bCs/>
          <w:color w:val="000000" w:themeColor="text1"/>
          <w:szCs w:val="21"/>
          <w14:textFill>
            <w14:solidFill>
              <w14:schemeClr w14:val="tx1"/>
            </w14:solidFill>
          </w14:textFill>
        </w:rPr>
        <w:t>，在规定网站披露半年度和年度最后一日</w:t>
      </w:r>
      <w:r>
        <w:rPr>
          <w:rFonts w:hint="eastAsia" w:eastAsiaTheme="minorEastAsia"/>
          <w:bCs/>
          <w:color w:val="000000" w:themeColor="text1"/>
          <w:szCs w:val="21"/>
          <w14:textFill>
            <w14:solidFill>
              <w14:schemeClr w14:val="tx1"/>
            </w14:solidFill>
          </w14:textFill>
        </w:rPr>
        <w:t>各类基金份额</w:t>
      </w:r>
      <w:r>
        <w:rPr>
          <w:rFonts w:eastAsiaTheme="minorEastAsia"/>
          <w:bCs/>
          <w:color w:val="000000" w:themeColor="text1"/>
          <w:szCs w:val="21"/>
          <w14:textFill>
            <w14:solidFill>
              <w14:schemeClr w14:val="tx1"/>
            </w14:solidFill>
          </w14:textFill>
        </w:rPr>
        <w:t>的基金份额净值和基金份额累计净值。</w:t>
      </w:r>
      <w:bookmarkEnd w:id="429"/>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（五）基金份额申购、赎回价格</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（六）基金定期报告，包括基金年度报告、基金中期报告和基金季度报告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基金管理人应当在每年结束之日起三个月内，编制完成基金年度报告，将年度报告登载在规定网站上，</w:t>
      </w:r>
      <w:r>
        <w:rPr>
          <w:rFonts w:hint="eastAsia" w:eastAsiaTheme="minorEastAsia"/>
          <w:bCs/>
          <w:color w:val="000000" w:themeColor="text1"/>
          <w:szCs w:val="21"/>
          <w14:textFill>
            <w14:solidFill>
              <w14:schemeClr w14:val="tx1"/>
            </w14:solidFill>
          </w14:textFill>
        </w:rPr>
        <w:t>并</w:t>
      </w:r>
      <w:r>
        <w:rPr>
          <w:rFonts w:eastAsiaTheme="minorEastAsia"/>
          <w:bCs/>
          <w:color w:val="000000" w:themeColor="text1"/>
          <w:szCs w:val="21"/>
          <w14:textFill>
            <w14:solidFill>
              <w14:schemeClr w14:val="tx1"/>
            </w14:solidFill>
          </w14:textFill>
        </w:rPr>
        <w:t>将年度报告提示性公告登载在规定报刊上。基金年度报告中的财务会计报告应当经过</w:t>
      </w:r>
      <w:r>
        <w:rPr>
          <w:rFonts w:hint="eastAsia" w:eastAsiaTheme="minorEastAsia"/>
          <w:bCs/>
          <w:color w:val="000000" w:themeColor="text1"/>
          <w:szCs w:val="21"/>
          <w14:textFill>
            <w14:solidFill>
              <w14:schemeClr w14:val="tx1"/>
            </w14:solidFill>
          </w14:textFill>
        </w:rPr>
        <w:t>符合《证券法》规定的</w:t>
      </w:r>
      <w:r>
        <w:rPr>
          <w:rFonts w:eastAsiaTheme="minorEastAsia"/>
          <w:bCs/>
          <w:color w:val="000000" w:themeColor="text1"/>
          <w:szCs w:val="21"/>
          <w14:textFill>
            <w14:solidFill>
              <w14:schemeClr w14:val="tx1"/>
            </w14:solidFill>
          </w14:textFill>
        </w:rPr>
        <w:t>会计师事务所审计。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基金管理人应当在上半年结束之日起两个月内，编制完成基金中期报告，将中期报告登载在规定网站上，并将中期报告提示性公告登载在规定报刊上。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基金管理人应当在季度结束之日起十五个工作日内，编制完成基金季度报告，将季度报告登载在规定网站上，并将季度报告提示性公告登载在规定报刊上。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《基金合同》生效不足2个月的，基金管理人可以不编制当期季度报告、中期报告或者年度报告。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基金管理人应当在基金年度报告和中期报告中披露基金组合资产情况及其流动性风险分析等。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（七）临时报告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本基金发生重大事件，有关信息披露义务人应当在2日内编制临时报告书，并登载在规定报刊和规定网站上。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前款所称重大事件，是指可能对基金份额持有人权益或者基金份额的价格产生重大影响的下列事件：</w:t>
      </w:r>
    </w:p>
    <w:p>
      <w:pPr>
        <w:spacing w:line="360" w:lineRule="auto"/>
        <w:ind w:firstLine="420" w:firstLineChars="200"/>
        <w:rPr>
          <w:bCs/>
          <w:color w:val="000000"/>
          <w:szCs w:val="21"/>
        </w:rPr>
      </w:pPr>
      <w:r>
        <w:rPr>
          <w:bCs/>
          <w:color w:val="000000"/>
          <w:szCs w:val="21"/>
        </w:rPr>
        <w:t>1、基金份额持有人大会的召开及决定的事项。</w:t>
      </w:r>
    </w:p>
    <w:p>
      <w:pPr>
        <w:spacing w:line="360" w:lineRule="auto"/>
        <w:ind w:firstLine="420" w:firstLineChars="200"/>
        <w:rPr>
          <w:bCs/>
          <w:color w:val="000000"/>
          <w:szCs w:val="21"/>
        </w:rPr>
      </w:pPr>
      <w:r>
        <w:rPr>
          <w:bCs/>
          <w:color w:val="000000"/>
          <w:szCs w:val="21"/>
        </w:rPr>
        <w:t>2、基金合同终止、基金清算。</w:t>
      </w:r>
    </w:p>
    <w:p>
      <w:pPr>
        <w:spacing w:line="360" w:lineRule="auto"/>
        <w:ind w:firstLine="420" w:firstLineChars="200"/>
        <w:rPr>
          <w:bCs/>
          <w:color w:val="000000"/>
          <w:szCs w:val="21"/>
        </w:rPr>
      </w:pPr>
      <w:r>
        <w:rPr>
          <w:bCs/>
          <w:color w:val="000000"/>
          <w:szCs w:val="21"/>
        </w:rPr>
        <w:t>3、转换基金运作方式、基金合并。</w:t>
      </w:r>
    </w:p>
    <w:p>
      <w:pPr>
        <w:spacing w:line="360" w:lineRule="auto"/>
        <w:ind w:firstLine="420" w:firstLineChars="200"/>
        <w:rPr>
          <w:bCs/>
          <w:color w:val="000000"/>
          <w:szCs w:val="21"/>
        </w:rPr>
      </w:pPr>
      <w:r>
        <w:rPr>
          <w:bCs/>
          <w:color w:val="000000"/>
          <w:szCs w:val="21"/>
        </w:rPr>
        <w:t>4、更换基金管理人、基金托管人、基金份额登记机构，基金改聘会计师事务所。</w:t>
      </w:r>
    </w:p>
    <w:p>
      <w:pPr>
        <w:spacing w:line="360" w:lineRule="auto"/>
        <w:ind w:firstLine="420" w:firstLineChars="200"/>
        <w:rPr>
          <w:bCs/>
          <w:color w:val="000000"/>
          <w:szCs w:val="21"/>
        </w:rPr>
      </w:pPr>
      <w:r>
        <w:rPr>
          <w:bCs/>
          <w:color w:val="000000"/>
          <w:szCs w:val="21"/>
        </w:rPr>
        <w:t>5、基金管理人委托基金服务机构代为办理基金的份额登记、核算、估值等事项，基金托管人委托基金服务机构代为办理基金的核算、估值、复核等事项。</w:t>
      </w:r>
    </w:p>
    <w:p>
      <w:pPr>
        <w:spacing w:line="360" w:lineRule="auto"/>
        <w:ind w:firstLine="420" w:firstLineChars="200"/>
        <w:rPr>
          <w:bCs/>
          <w:color w:val="000000"/>
          <w:szCs w:val="21"/>
        </w:rPr>
      </w:pPr>
      <w:r>
        <w:rPr>
          <w:bCs/>
          <w:color w:val="000000"/>
          <w:szCs w:val="21"/>
        </w:rPr>
        <w:t>6、基金管理人、基金托管人的法定名称、住所发生变更。</w:t>
      </w:r>
    </w:p>
    <w:p>
      <w:pPr>
        <w:spacing w:line="360" w:lineRule="auto"/>
        <w:ind w:firstLine="420" w:firstLineChars="200"/>
        <w:rPr>
          <w:bCs/>
          <w:color w:val="000000"/>
          <w:szCs w:val="21"/>
        </w:rPr>
      </w:pPr>
      <w:r>
        <w:rPr>
          <w:bCs/>
          <w:color w:val="000000"/>
          <w:szCs w:val="21"/>
        </w:rPr>
        <w:t>7、</w:t>
      </w:r>
      <w:r>
        <w:rPr>
          <w:rFonts w:hint="eastAsia"/>
          <w:bCs/>
          <w:color w:val="000000"/>
          <w:szCs w:val="21"/>
        </w:rPr>
        <w:t>基金管理人</w:t>
      </w:r>
      <w:r>
        <w:rPr>
          <w:bCs/>
          <w:color w:val="000000"/>
          <w:szCs w:val="21"/>
        </w:rPr>
        <w:t>变更持有百分之五以上股权的股东、变更公司的实际控制人。</w:t>
      </w:r>
    </w:p>
    <w:p>
      <w:pPr>
        <w:spacing w:line="360" w:lineRule="auto"/>
        <w:ind w:firstLine="420" w:firstLineChars="200"/>
        <w:rPr>
          <w:bCs/>
          <w:color w:val="000000"/>
          <w:szCs w:val="21"/>
        </w:rPr>
      </w:pPr>
      <w:r>
        <w:rPr>
          <w:bCs/>
          <w:color w:val="000000"/>
          <w:szCs w:val="21"/>
        </w:rPr>
        <w:t>8、基金募集期延长或提前结束募集。</w:t>
      </w:r>
    </w:p>
    <w:p>
      <w:pPr>
        <w:spacing w:line="360" w:lineRule="auto"/>
        <w:ind w:firstLine="420" w:firstLineChars="200"/>
        <w:rPr>
          <w:bCs/>
          <w:color w:val="000000"/>
          <w:szCs w:val="21"/>
        </w:rPr>
      </w:pPr>
      <w:r>
        <w:rPr>
          <w:bCs/>
          <w:color w:val="000000"/>
          <w:szCs w:val="21"/>
        </w:rPr>
        <w:t>9、基金管理人高级管理人员、基金经理和基金托管人专门基金托管部门负责人发生变动。</w:t>
      </w:r>
    </w:p>
    <w:p>
      <w:pPr>
        <w:spacing w:line="360" w:lineRule="auto"/>
        <w:ind w:firstLine="420" w:firstLineChars="200"/>
        <w:rPr>
          <w:bCs/>
          <w:color w:val="000000"/>
          <w:szCs w:val="21"/>
        </w:rPr>
      </w:pPr>
      <w:r>
        <w:rPr>
          <w:bCs/>
          <w:color w:val="000000"/>
          <w:szCs w:val="21"/>
        </w:rPr>
        <w:t>10、基金管理人的董事在最近12个月内变更超过百分之五十，基金管理人、基金托管人专门基金托管部门的主要业务人员在最近12个月内变动超过百分之三十。</w:t>
      </w:r>
    </w:p>
    <w:p>
      <w:pPr>
        <w:spacing w:line="360" w:lineRule="auto"/>
        <w:ind w:firstLine="420" w:firstLineChars="200"/>
        <w:rPr>
          <w:bCs/>
          <w:color w:val="000000"/>
          <w:szCs w:val="21"/>
        </w:rPr>
      </w:pPr>
      <w:r>
        <w:rPr>
          <w:bCs/>
          <w:color w:val="000000"/>
          <w:szCs w:val="21"/>
        </w:rPr>
        <w:t>11、涉及基金财产、基金管理业务、基金托管业务的诉讼或仲裁。</w:t>
      </w:r>
    </w:p>
    <w:p>
      <w:pPr>
        <w:spacing w:line="360" w:lineRule="auto"/>
        <w:ind w:firstLine="420" w:firstLineChars="200"/>
        <w:rPr>
          <w:bCs/>
          <w:color w:val="000000"/>
          <w:szCs w:val="21"/>
        </w:rPr>
      </w:pPr>
      <w:r>
        <w:rPr>
          <w:bCs/>
          <w:color w:val="000000"/>
          <w:szCs w:val="21"/>
        </w:rPr>
        <w:t>12、基金管理人或其高级管理人员、基金经理因基金管理业务相关行为受到重大行政处罚、刑事处罚，基金托管人或其专门基金托管部门负责人因基金托管业务相关行为受到重大行政处罚、刑事处罚。</w:t>
      </w:r>
    </w:p>
    <w:p>
      <w:pPr>
        <w:spacing w:line="360" w:lineRule="auto"/>
        <w:ind w:firstLine="420" w:firstLineChars="200"/>
        <w:rPr>
          <w:bCs/>
          <w:color w:val="000000"/>
          <w:szCs w:val="21"/>
        </w:rPr>
      </w:pPr>
      <w:r>
        <w:rPr>
          <w:bCs/>
          <w:color w:val="000000"/>
          <w:szCs w:val="21"/>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pPr>
        <w:spacing w:line="360" w:lineRule="auto"/>
        <w:ind w:firstLine="420" w:firstLineChars="200"/>
        <w:rPr>
          <w:bCs/>
          <w:color w:val="000000"/>
          <w:szCs w:val="21"/>
        </w:rPr>
      </w:pPr>
      <w:r>
        <w:rPr>
          <w:bCs/>
          <w:color w:val="000000"/>
          <w:szCs w:val="21"/>
        </w:rPr>
        <w:t>14、基金收益分配事项。</w:t>
      </w:r>
    </w:p>
    <w:p>
      <w:pPr>
        <w:spacing w:line="360" w:lineRule="auto"/>
        <w:ind w:firstLine="420" w:firstLineChars="200"/>
        <w:rPr>
          <w:bCs/>
          <w:color w:val="000000"/>
          <w:szCs w:val="21"/>
        </w:rPr>
      </w:pPr>
      <w:r>
        <w:rPr>
          <w:bCs/>
          <w:color w:val="000000"/>
          <w:szCs w:val="21"/>
        </w:rPr>
        <w:t>15、管理费、托管费、销售服务费、申购费、赎回费等费用计提标准、计提方式和费率发生变更。</w:t>
      </w:r>
    </w:p>
    <w:p>
      <w:pPr>
        <w:spacing w:line="360" w:lineRule="auto"/>
        <w:ind w:firstLine="420" w:firstLineChars="200"/>
        <w:rPr>
          <w:bCs/>
          <w:color w:val="000000"/>
          <w:szCs w:val="21"/>
        </w:rPr>
      </w:pPr>
      <w:r>
        <w:rPr>
          <w:bCs/>
          <w:color w:val="000000"/>
          <w:szCs w:val="21"/>
        </w:rPr>
        <w:t>16、任一类基金份额净值计价错误达该类基金份额净值百分之零点五。</w:t>
      </w:r>
    </w:p>
    <w:p>
      <w:pPr>
        <w:spacing w:line="360" w:lineRule="auto"/>
        <w:ind w:firstLine="420" w:firstLineChars="200"/>
        <w:rPr>
          <w:bCs/>
          <w:color w:val="000000"/>
          <w:szCs w:val="21"/>
        </w:rPr>
      </w:pPr>
      <w:r>
        <w:rPr>
          <w:bCs/>
          <w:color w:val="000000"/>
          <w:szCs w:val="21"/>
        </w:rPr>
        <w:t>17、本基金开始办理申购、赎回。</w:t>
      </w:r>
    </w:p>
    <w:p>
      <w:pPr>
        <w:spacing w:line="360" w:lineRule="auto"/>
        <w:ind w:firstLine="420" w:firstLineChars="200"/>
        <w:rPr>
          <w:bCs/>
          <w:color w:val="000000"/>
          <w:szCs w:val="21"/>
        </w:rPr>
      </w:pPr>
      <w:r>
        <w:rPr>
          <w:bCs/>
          <w:color w:val="000000"/>
          <w:szCs w:val="21"/>
        </w:rPr>
        <w:t>18、本基金发生巨额赎回并延期办理。</w:t>
      </w:r>
    </w:p>
    <w:p>
      <w:pPr>
        <w:spacing w:line="360" w:lineRule="auto"/>
        <w:ind w:firstLine="420" w:firstLineChars="200"/>
        <w:rPr>
          <w:bCs/>
          <w:color w:val="000000"/>
          <w:szCs w:val="21"/>
        </w:rPr>
      </w:pPr>
      <w:r>
        <w:rPr>
          <w:bCs/>
          <w:color w:val="000000"/>
          <w:szCs w:val="21"/>
        </w:rPr>
        <w:t>19、本基金连续发生巨额赎回并暂停接受赎回申请或延缓支付赎回款项。</w:t>
      </w:r>
    </w:p>
    <w:p>
      <w:pPr>
        <w:spacing w:line="360" w:lineRule="auto"/>
        <w:ind w:firstLine="420" w:firstLineChars="200"/>
        <w:rPr>
          <w:bCs/>
          <w:color w:val="000000"/>
          <w:szCs w:val="21"/>
        </w:rPr>
      </w:pPr>
      <w:r>
        <w:rPr>
          <w:bCs/>
          <w:color w:val="000000"/>
          <w:szCs w:val="21"/>
        </w:rPr>
        <w:t>20、本基金暂停接受申购、赎回申请或重新接受申购、赎回申请。</w:t>
      </w:r>
    </w:p>
    <w:p>
      <w:pPr>
        <w:spacing w:line="360" w:lineRule="auto"/>
        <w:ind w:firstLine="420" w:firstLineChars="200"/>
        <w:rPr>
          <w:bCs/>
          <w:color w:val="000000"/>
          <w:szCs w:val="21"/>
        </w:rPr>
      </w:pPr>
      <w:r>
        <w:rPr>
          <w:bCs/>
          <w:color w:val="000000"/>
          <w:szCs w:val="21"/>
        </w:rPr>
        <w:t>21、发生涉及基金申购、赎回事项调整或潜在影响投资者赎回等重大事项时。</w:t>
      </w:r>
    </w:p>
    <w:p>
      <w:pPr>
        <w:spacing w:line="360" w:lineRule="auto"/>
        <w:ind w:firstLine="420" w:firstLineChars="200"/>
        <w:rPr>
          <w:bCs/>
          <w:color w:val="000000"/>
          <w:szCs w:val="21"/>
        </w:rPr>
      </w:pPr>
      <w:r>
        <w:rPr>
          <w:bCs/>
          <w:color w:val="000000"/>
          <w:szCs w:val="21"/>
        </w:rPr>
        <w:t>22、基金管理人采用摆动定价机制进行估值。</w:t>
      </w:r>
    </w:p>
    <w:p>
      <w:pPr>
        <w:spacing w:line="360" w:lineRule="auto"/>
        <w:ind w:firstLine="420" w:firstLineChars="200"/>
        <w:rPr>
          <w:bCs/>
          <w:color w:val="000000"/>
          <w:szCs w:val="21"/>
        </w:rPr>
      </w:pPr>
      <w:r>
        <w:rPr>
          <w:bCs/>
          <w:color w:val="000000"/>
          <w:szCs w:val="21"/>
        </w:rPr>
        <w:t>23、调整基金份额类别的设置。</w:t>
      </w:r>
    </w:p>
    <w:p>
      <w:pPr>
        <w:spacing w:line="360" w:lineRule="auto"/>
        <w:ind w:firstLine="420" w:firstLineChars="200"/>
        <w:rPr>
          <w:bCs/>
          <w:color w:val="000000"/>
          <w:szCs w:val="21"/>
        </w:rPr>
      </w:pPr>
      <w:r>
        <w:rPr>
          <w:bCs/>
          <w:color w:val="000000"/>
          <w:szCs w:val="21"/>
        </w:rPr>
        <w:t>24、基金推出新业务或服务。</w:t>
      </w:r>
    </w:p>
    <w:p>
      <w:pPr>
        <w:spacing w:line="360" w:lineRule="auto"/>
        <w:ind w:firstLine="420" w:firstLineChars="200"/>
        <w:rPr>
          <w:bCs/>
          <w:color w:val="000000"/>
          <w:szCs w:val="21"/>
        </w:rPr>
      </w:pPr>
      <w:r>
        <w:rPr>
          <w:bCs/>
          <w:color w:val="000000"/>
          <w:szCs w:val="21"/>
        </w:rPr>
        <w:t>25、</w:t>
      </w:r>
      <w:r>
        <w:rPr>
          <w:rFonts w:hint="eastAsia"/>
          <w:bCs/>
          <w:color w:val="000000"/>
          <w:szCs w:val="21"/>
        </w:rPr>
        <w:t>基金变更标的指数。</w:t>
      </w:r>
    </w:p>
    <w:p>
      <w:pPr>
        <w:spacing w:line="360" w:lineRule="auto"/>
        <w:ind w:firstLine="420" w:firstLineChars="200"/>
        <w:rPr>
          <w:bCs/>
          <w:color w:val="000000"/>
          <w:szCs w:val="21"/>
        </w:rPr>
      </w:pPr>
      <w:r>
        <w:rPr>
          <w:rFonts w:hint="eastAsia"/>
          <w:bCs/>
          <w:color w:val="000000"/>
          <w:szCs w:val="21"/>
        </w:rPr>
        <w:t>2</w:t>
      </w:r>
      <w:r>
        <w:rPr>
          <w:bCs/>
          <w:color w:val="000000"/>
          <w:szCs w:val="21"/>
        </w:rPr>
        <w:t>6</w:t>
      </w:r>
      <w:r>
        <w:rPr>
          <w:rFonts w:hint="eastAsia"/>
          <w:bCs/>
          <w:color w:val="000000"/>
          <w:szCs w:val="21"/>
        </w:rPr>
        <w:t>、</w:t>
      </w:r>
      <w:r>
        <w:rPr>
          <w:bCs/>
          <w:color w:val="000000"/>
          <w:szCs w:val="21"/>
        </w:rPr>
        <w:t>基金信息披露义务人认为可能对基金份额持有人权益或者基金份额的价格产生重大影响的其他事项或中国证监会规定的其他事项。</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（八）澄清公告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（九）清算报告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基金合同终止的，基金管理人应当依法组织基金财产清算小组对基金财产进行清算并作出清算报告。基金财产清算小组应当将清算报告登载在规定网站上，并将清算报告提示性公告登载在规定报刊上。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（十）基金份额持有人大会决议</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基金份额持有人大会决定的事项，应当依法报中国证监会备案，并予以公告。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 xml:space="preserve">（十一）投资资产支持证券的相关公告 </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基金管理人应在基金年</w:t>
      </w:r>
      <w:r>
        <w:rPr>
          <w:rFonts w:hint="eastAsia" w:eastAsiaTheme="minorEastAsia"/>
          <w:bCs/>
          <w:color w:val="000000" w:themeColor="text1"/>
          <w:szCs w:val="21"/>
          <w14:textFill>
            <w14:solidFill>
              <w14:schemeClr w14:val="tx1"/>
            </w14:solidFill>
          </w14:textFill>
        </w:rPr>
        <w:t>度</w:t>
      </w:r>
      <w:r>
        <w:rPr>
          <w:rFonts w:eastAsiaTheme="minorEastAsia"/>
          <w:bCs/>
          <w:color w:val="000000" w:themeColor="text1"/>
          <w:szCs w:val="21"/>
          <w14:textFill>
            <w14:solidFill>
              <w14:schemeClr w14:val="tx1"/>
            </w14:solidFill>
          </w14:textFill>
        </w:rPr>
        <w:t>报</w:t>
      </w:r>
      <w:r>
        <w:rPr>
          <w:rFonts w:hint="eastAsia" w:eastAsiaTheme="minorEastAsia"/>
          <w:bCs/>
          <w:color w:val="000000" w:themeColor="text1"/>
          <w:szCs w:val="21"/>
          <w14:textFill>
            <w14:solidFill>
              <w14:schemeClr w14:val="tx1"/>
            </w14:solidFill>
          </w14:textFill>
        </w:rPr>
        <w:t>告</w:t>
      </w:r>
      <w:r>
        <w:rPr>
          <w:rFonts w:eastAsiaTheme="minorEastAsia"/>
          <w:bCs/>
          <w:color w:val="000000" w:themeColor="text1"/>
          <w:szCs w:val="21"/>
          <w14:textFill>
            <w14:solidFill>
              <w14:schemeClr w14:val="tx1"/>
            </w14:solidFill>
          </w14:textFill>
        </w:rPr>
        <w:t>及中期报告中披露其持有的资产支持证券总额、资产支持证券市值占基金净资产的比例和报告期内所有的资产支持证券明细。基金管理人应在基金季度报告中披露本基金持有的资产支持证券总额、资产支持证券市值占基金净资产的比例和报告期末按市值占基金净资产比例大小排序的前10名资产支持证券明细。</w:t>
      </w:r>
      <w:bookmarkStart w:id="430" w:name="_Hlk61337149"/>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（十</w:t>
      </w:r>
      <w:r>
        <w:rPr>
          <w:rFonts w:hint="eastAsia" w:eastAsiaTheme="minorEastAsia"/>
          <w:bCs/>
          <w:color w:val="000000" w:themeColor="text1"/>
          <w:szCs w:val="21"/>
          <w14:textFill>
            <w14:solidFill>
              <w14:schemeClr w14:val="tx1"/>
            </w14:solidFill>
          </w14:textFill>
        </w:rPr>
        <w:t>二</w:t>
      </w:r>
      <w:r>
        <w:rPr>
          <w:rFonts w:eastAsiaTheme="minorEastAsia"/>
          <w:bCs/>
          <w:color w:val="000000" w:themeColor="text1"/>
          <w:szCs w:val="21"/>
          <w14:textFill>
            <w14:solidFill>
              <w14:schemeClr w14:val="tx1"/>
            </w14:solidFill>
          </w14:textFill>
        </w:rPr>
        <w:t>）</w:t>
      </w:r>
      <w:r>
        <w:rPr>
          <w:rFonts w:hint="eastAsia" w:eastAsiaTheme="minorEastAsia"/>
          <w:bCs/>
          <w:color w:val="000000" w:themeColor="text1"/>
          <w:szCs w:val="21"/>
          <w14:textFill>
            <w14:solidFill>
              <w14:schemeClr w14:val="tx1"/>
            </w14:solidFill>
          </w14:textFill>
        </w:rPr>
        <w:t>基金管理人应当在定期报告和招募说明书等文件中设立专门章节披露</w:t>
      </w:r>
      <w:bookmarkStart w:id="431" w:name="_Hlk176009842"/>
      <w:r>
        <w:rPr>
          <w:rFonts w:hint="eastAsia" w:eastAsiaTheme="minorEastAsia"/>
          <w:bCs/>
          <w:color w:val="000000" w:themeColor="text1"/>
          <w:szCs w:val="21"/>
          <w14:textFill>
            <w14:solidFill>
              <w14:schemeClr w14:val="tx1"/>
            </w14:solidFill>
          </w14:textFill>
        </w:rPr>
        <w:t>投资于其他基金的相关情况</w:t>
      </w:r>
      <w:bookmarkEnd w:id="431"/>
      <w:r>
        <w:rPr>
          <w:rFonts w:hint="eastAsia" w:eastAsiaTheme="minorEastAsia"/>
          <w:bCs/>
          <w:color w:val="000000" w:themeColor="text1"/>
          <w:szCs w:val="21"/>
          <w14:textFill>
            <w14:solidFill>
              <w14:schemeClr w14:val="tx1"/>
            </w14:solidFill>
          </w14:textFill>
        </w:rPr>
        <w:t>并揭示相关风险，具体内容包括：</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1、投资政策、持仓情况、损益情况、净值披露时间等。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2、交易及持有基金产生的费用，包括管理费、托管费等，招募说明书中应当列明计算方法并举例说明。</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3、本基金持有的基金发生的重大影响事件，如转换运作方式、与其他基金合并、终止基金合同以及召开基金份额持有人大会等。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4、本基金投资于管理人以及管理人关联方所管理基金的情况。</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（十三）实施侧袋机制期间的信息披露</w:t>
      </w:r>
      <w:bookmarkEnd w:id="430"/>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本基金实施侧袋机制的，相关信息披露义务人应当根据法律法规、基金合同和招募说明书的规定进行信息披露，详见招募说明书的规定。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（十四）</w:t>
      </w:r>
      <w:r>
        <w:rPr>
          <w:rFonts w:eastAsiaTheme="minorEastAsia"/>
          <w:bCs/>
          <w:color w:val="000000" w:themeColor="text1"/>
          <w:szCs w:val="21"/>
          <w14:textFill>
            <w14:solidFill>
              <w14:schemeClr w14:val="tx1"/>
            </w14:solidFill>
          </w14:textFill>
        </w:rPr>
        <w:t>中国证监会规定的其他信息。</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六、信息披露事务管理</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基金管理人、基金托管人应当建立健全信息披露管理制度，指定专门部门及高级管理人员负责管理信息披露事务。</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基金信息披露义务人公开披露基金信息，应当符合中国证监会相关基金信息披露内容与格式准则等法规的规定。</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基金托管人应当按照相关法律法规、中国证监会的规定和《基金合同》的约定，对基金管理人编制的基金资产净值、</w:t>
      </w:r>
      <w:r>
        <w:rPr>
          <w:rFonts w:hint="eastAsia" w:eastAsiaTheme="minorEastAsia"/>
          <w:bCs/>
          <w:color w:val="000000" w:themeColor="text1"/>
          <w:szCs w:val="21"/>
          <w14:textFill>
            <w14:solidFill>
              <w14:schemeClr w14:val="tx1"/>
            </w14:solidFill>
          </w14:textFill>
        </w:rPr>
        <w:t>各类</w:t>
      </w:r>
      <w:r>
        <w:rPr>
          <w:rFonts w:eastAsiaTheme="minorEastAsia"/>
          <w:bCs/>
          <w:color w:val="000000" w:themeColor="text1"/>
          <w:szCs w:val="21"/>
          <w14:textFill>
            <w14:solidFill>
              <w14:schemeClr w14:val="tx1"/>
            </w14:solidFill>
          </w14:textFill>
        </w:rPr>
        <w:t>基金份额净值、基金份额申购赎回价格、基金定期报告、更新的招募说明书、基金产品资料概要、基金清算报告等公开披露的相关基金信息进行复核、审查，并向基金管理人进行书面或电子确认。</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基金管理人在信息披露时，应说明基金托管人所复核的数据和信息。对于托管人复核结果与管理人无法达成一致的，管理人应按照有关法律法规进行信息披露。</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基金管理人、基金托管人应当在规定报刊中选择一家报刊披露本基金信息。基金管理人、基金托管人应当向中国证监会基金电子披露网站报送拟披露的基金信息，并保证相关报送信息的真实、准确、完整、及时。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为基金信息披露义务人公开披露的基金信息出具审计报告、法律意见书的专业机构，应当制作工作底稿，并将相关档案至少保存到《基金合同》终止后10年。</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七、信息披露文件的存放与查阅</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依法必须披露的信息发布后，基金管理人、基金托管人应当按照相关法律法规规定将信息置备于公司住所，供社会公众查阅、复制。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八、暂停或延迟信息披露的情形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当出现下述情况时，基金管理人和基金托管人可暂停或延迟披露基金信息：</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1、不可抗力；</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2、基金投资所涉及的证券交易市场遇法定节假日或因其他原因暂停营业时；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3、发生暂停估值的情形；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4、法律法规、基金合同或中国证监会规定的其他情况。</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九</w:t>
      </w:r>
      <w:r>
        <w:rPr>
          <w:rFonts w:eastAsiaTheme="minorEastAsia"/>
          <w:bCs/>
          <w:color w:val="000000" w:themeColor="text1"/>
          <w:szCs w:val="21"/>
          <w14:textFill>
            <w14:solidFill>
              <w14:schemeClr w14:val="tx1"/>
            </w14:solidFill>
          </w14:textFill>
        </w:rPr>
        <w:t>、法律法规或监管部门对信息披露另有规定的，从其规定。</w:t>
      </w:r>
    </w:p>
    <w:p>
      <w:pPr>
        <w:spacing w:line="360" w:lineRule="auto"/>
        <w:ind w:firstLine="420" w:firstLineChars="200"/>
        <w:rPr>
          <w:rFonts w:eastAsiaTheme="minorEastAsia"/>
          <w:bCs/>
          <w:color w:val="000000" w:themeColor="text1"/>
          <w:szCs w:val="21"/>
          <w14:textFill>
            <w14:solidFill>
              <w14:schemeClr w14:val="tx1"/>
            </w14:solidFill>
          </w14:textFill>
        </w:rPr>
      </w:pPr>
    </w:p>
    <w:bookmarkEnd w:id="427"/>
    <w:p>
      <w:pPr>
        <w:widowControl/>
        <w:jc w:val="left"/>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br w:type="page"/>
      </w:r>
    </w:p>
    <w:p>
      <w:pPr>
        <w:jc w:val="center"/>
        <w:outlineLvl w:val="0"/>
        <w:rPr>
          <w:rFonts w:eastAsiaTheme="minorEastAsia"/>
          <w:b/>
          <w:color w:val="000000" w:themeColor="text1"/>
          <w:szCs w:val="21"/>
          <w14:textFill>
            <w14:solidFill>
              <w14:schemeClr w14:val="tx1"/>
            </w14:solidFill>
          </w14:textFill>
        </w:rPr>
      </w:pPr>
      <w:bookmarkStart w:id="432" w:name="_Toc8049"/>
      <w:bookmarkStart w:id="433" w:name="_Toc139991749"/>
      <w:bookmarkStart w:id="434" w:name="_Toc123102466"/>
      <w:bookmarkStart w:id="435" w:name="_Toc9005"/>
      <w:bookmarkStart w:id="436" w:name="_Toc7170"/>
      <w:bookmarkStart w:id="437" w:name="_Toc22978"/>
      <w:bookmarkStart w:id="438" w:name="_Toc10006"/>
      <w:bookmarkStart w:id="439" w:name="_Toc123051465"/>
      <w:bookmarkStart w:id="440" w:name="_Toc25647"/>
      <w:bookmarkStart w:id="441" w:name="_Toc141703899"/>
      <w:bookmarkStart w:id="442" w:name="_Toc98560364"/>
      <w:bookmarkStart w:id="443" w:name="_Toc8059"/>
      <w:bookmarkStart w:id="444" w:name="_Toc29891"/>
      <w:bookmarkStart w:id="445" w:name="_Toc27464"/>
      <w:bookmarkStart w:id="446" w:name="_Toc11113"/>
      <w:bookmarkStart w:id="447" w:name="_Toc70507737"/>
      <w:bookmarkStart w:id="448" w:name="_Toc123112247"/>
      <w:bookmarkStart w:id="449" w:name="_Toc6237"/>
      <w:r>
        <w:rPr>
          <w:rFonts w:eastAsiaTheme="minorEastAsia"/>
          <w:b/>
          <w:color w:val="000000" w:themeColor="text1"/>
          <w:szCs w:val="21"/>
          <w14:textFill>
            <w14:solidFill>
              <w14:schemeClr w14:val="tx1"/>
            </w14:solidFill>
          </w14:textFill>
        </w:rPr>
        <w:t>第</w:t>
      </w:r>
      <w:r>
        <w:rPr>
          <w:rFonts w:hint="eastAsia" w:eastAsiaTheme="minorEastAsia"/>
          <w:b/>
          <w:color w:val="000000" w:themeColor="text1"/>
          <w:szCs w:val="21"/>
          <w14:textFill>
            <w14:solidFill>
              <w14:schemeClr w14:val="tx1"/>
            </w14:solidFill>
          </w14:textFill>
        </w:rPr>
        <w:t>十九</w:t>
      </w:r>
      <w:r>
        <w:rPr>
          <w:rFonts w:eastAsiaTheme="minorEastAsia"/>
          <w:b/>
          <w:color w:val="000000" w:themeColor="text1"/>
          <w:szCs w:val="21"/>
          <w14:textFill>
            <w14:solidFill>
              <w14:schemeClr w14:val="tx1"/>
            </w14:solidFill>
          </w14:textFill>
        </w:rPr>
        <w:t xml:space="preserve">部分  </w:t>
      </w:r>
      <w:bookmarkStart w:id="450" w:name="_Hlt88828593"/>
      <w:r>
        <w:rPr>
          <w:rFonts w:eastAsiaTheme="minorEastAsia"/>
          <w:b/>
          <w:color w:val="000000" w:themeColor="text1"/>
          <w:szCs w:val="21"/>
          <w14:textFill>
            <w14:solidFill>
              <w14:schemeClr w14:val="tx1"/>
            </w14:solidFill>
          </w14:textFill>
        </w:rPr>
        <w:t>基金合同</w:t>
      </w:r>
      <w:bookmarkEnd w:id="450"/>
      <w:r>
        <w:rPr>
          <w:rFonts w:eastAsiaTheme="minorEastAsia"/>
          <w:b/>
          <w:color w:val="000000" w:themeColor="text1"/>
          <w:szCs w:val="21"/>
          <w14:textFill>
            <w14:solidFill>
              <w14:schemeClr w14:val="tx1"/>
            </w14:solidFill>
          </w14:textFill>
        </w:rPr>
        <w:t>的变更、终止与基金财产的清算</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bookmarkStart w:id="451" w:name="_Toc79392639"/>
      <w:bookmarkStart w:id="452" w:name="_Hlk178017427"/>
      <w:r>
        <w:rPr>
          <w:rFonts w:eastAsiaTheme="minorEastAsia"/>
          <w:bCs/>
          <w:color w:val="000000" w:themeColor="text1"/>
          <w:szCs w:val="21"/>
          <w14:textFill>
            <w14:solidFill>
              <w14:schemeClr w14:val="tx1"/>
            </w14:solidFill>
          </w14:textFill>
        </w:rPr>
        <w:t>一、《基金合同》的变更</w:t>
      </w:r>
      <w:bookmarkEnd w:id="451"/>
    </w:p>
    <w:p>
      <w:pPr>
        <w:autoSpaceDE w:val="0"/>
        <w:autoSpaceDN w:val="0"/>
        <w:adjustRightInd w:val="0"/>
        <w:spacing w:line="360" w:lineRule="auto"/>
        <w:ind w:firstLine="630" w:firstLineChars="300"/>
        <w:jc w:val="left"/>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 xml:space="preserve"> 2、关于《基金合同》变更的基金份额持有人大会决议自表决通过之日起生效，并自决议生效后两日内在规定媒介公告。</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二、《基金合同》的终止事由</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有下列情形之一的</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经履行相关程序后，</w:t>
      </w:r>
      <w:r>
        <w:rPr>
          <w:rFonts w:eastAsiaTheme="minorEastAsia"/>
          <w:bCs/>
          <w:color w:val="000000" w:themeColor="text1"/>
          <w:szCs w:val="21"/>
          <w14:textFill>
            <w14:solidFill>
              <w14:schemeClr w14:val="tx1"/>
            </w14:solidFill>
          </w14:textFill>
        </w:rPr>
        <w:t>《基金合同》应当终止：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1、基金份额持有人大会决定终止的；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2、基金管理人、基金托管人职责终止，在6个月内没有新基金管理人、新基金托管人承接的；</w:t>
      </w:r>
    </w:p>
    <w:p>
      <w:pPr>
        <w:spacing w:line="360" w:lineRule="auto"/>
        <w:ind w:firstLine="420" w:firstLineChars="200"/>
        <w:rPr>
          <w:rFonts w:hint="eastAsia" w:hAnsi="宋体"/>
          <w:bCs/>
          <w:color w:val="000000" w:themeColor="text1"/>
          <w:szCs w:val="21"/>
          <w14:textFill>
            <w14:solidFill>
              <w14:schemeClr w14:val="tx1"/>
            </w14:solidFill>
          </w14:textFill>
        </w:rPr>
      </w:pPr>
      <w:r>
        <w:rPr>
          <w:bCs/>
          <w:color w:val="000000" w:themeColor="text1"/>
          <w:szCs w:val="21"/>
          <w14:textFill>
            <w14:solidFill>
              <w14:schemeClr w14:val="tx1"/>
            </w14:solidFill>
          </w14:textFill>
        </w:rPr>
        <w:t>3、</w:t>
      </w:r>
      <w:r>
        <w:rPr>
          <w:rFonts w:hint="eastAsia" w:hAnsi="宋体"/>
          <w:bCs/>
          <w:color w:val="000000" w:themeColor="text1"/>
          <w:szCs w:val="21"/>
          <w14:textFill>
            <w14:solidFill>
              <w14:schemeClr w14:val="tx1"/>
            </w14:solidFill>
          </w14:textFill>
        </w:rPr>
        <w:t>出现标的指数不符合要求（因成份券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4、《基金合同》约定的其他情形；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5</w:t>
      </w:r>
      <w:r>
        <w:rPr>
          <w:rFonts w:hint="eastAsia" w:hAnsi="宋体"/>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相关法律法规和中国证监会规定的其他情况。</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三、基金财产的清算</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1、基金财产清算小组：自出现《基金合同》终止事由之日起30个工作日内成立清算小组，基金管理人组织基金财产清算小组并在中国证监会的监督下进行基金清算。</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2、基金财产清算小组组成：基金财产清算小组成员由基金管理人、基金托管人、</w:t>
      </w:r>
      <w:r>
        <w:rPr>
          <w:rFonts w:hint="eastAsia" w:eastAsiaTheme="minorEastAsia"/>
          <w:bCs/>
          <w:color w:val="000000" w:themeColor="text1"/>
          <w:szCs w:val="21"/>
          <w14:textFill>
            <w14:solidFill>
              <w14:schemeClr w14:val="tx1"/>
            </w14:solidFill>
          </w14:textFill>
        </w:rPr>
        <w:t>具有从事证券相关业务资格</w:t>
      </w:r>
      <w:r>
        <w:rPr>
          <w:rFonts w:eastAsiaTheme="minorEastAsia"/>
          <w:bCs/>
          <w:color w:val="000000" w:themeColor="text1"/>
          <w:szCs w:val="21"/>
          <w14:textFill>
            <w14:solidFill>
              <w14:schemeClr w14:val="tx1"/>
            </w14:solidFill>
          </w14:textFill>
        </w:rPr>
        <w:t>的注册会计师、律师以及中国证监会指定的人员组成。基金财产清算小组可以聘用必要的工作人员。</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3、基金财产清算小组职责：基金财产清算小组负责基金财产的保管、清理、估价、变现和分配。基金财产清算小组可以依法进行必要的民事活动。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4、基金财产清算程序：</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（1）《基金合同》终止情形出现时，由基金财产清算小组统一接管基金；</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（2）对基金财产和债权债务进行清理和确认；</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（3）对基金财产进行估值和变现；</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（4）制作清算报告；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（5）聘请会计师事务所对清算报告进行外部审计，聘请律师事务所对清算报告出具法律意见书；</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（6）将清算报告报中国证监会备案并公告；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（7）对基金剩余财产进行分配。</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5、基金财产清算的期限为6个月，但因本基金所持证券</w:t>
      </w:r>
      <w:r>
        <w:rPr>
          <w:rFonts w:hint="eastAsia" w:eastAsiaTheme="minorEastAsia"/>
          <w:bCs/>
          <w:color w:val="000000" w:themeColor="text1"/>
          <w:szCs w:val="21"/>
          <w14:textFill>
            <w14:solidFill>
              <w14:schemeClr w14:val="tx1"/>
            </w14:solidFill>
          </w14:textFill>
        </w:rPr>
        <w:t>、基金</w:t>
      </w:r>
      <w:r>
        <w:rPr>
          <w:rFonts w:eastAsiaTheme="minorEastAsia"/>
          <w:bCs/>
          <w:color w:val="000000" w:themeColor="text1"/>
          <w:szCs w:val="21"/>
          <w14:textFill>
            <w14:solidFill>
              <w14:schemeClr w14:val="tx1"/>
            </w14:solidFill>
          </w14:textFill>
        </w:rPr>
        <w:t>的流动性受到限制而不能及时变现的，清算期限可相应顺延。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四、清算费用</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清算费用是指基金财产清算小组在进行基金清算过程中发生的所有合理费用，清算费用由基金财产清算小组优先从基金财产中支付。</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五、基金财产清算剩余资产的分配</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依据基金财产清算的分配方案，将基金财产清算后的全部剩余资产扣除基金财产清算费用、交纳所欠税款并清偿基金债务后，按基金份额持有人持有的</w:t>
      </w:r>
      <w:r>
        <w:rPr>
          <w:rFonts w:hint="eastAsia" w:eastAsiaTheme="minorEastAsia"/>
          <w:bCs/>
          <w:color w:val="000000" w:themeColor="text1"/>
          <w:szCs w:val="21"/>
          <w14:textFill>
            <w14:solidFill>
              <w14:schemeClr w14:val="tx1"/>
            </w14:solidFill>
          </w14:textFill>
        </w:rPr>
        <w:t>各类</w:t>
      </w:r>
      <w:r>
        <w:rPr>
          <w:rFonts w:eastAsiaTheme="minorEastAsia"/>
          <w:bCs/>
          <w:color w:val="000000" w:themeColor="text1"/>
          <w:szCs w:val="21"/>
          <w14:textFill>
            <w14:solidFill>
              <w14:schemeClr w14:val="tx1"/>
            </w14:solidFill>
          </w14:textFill>
        </w:rPr>
        <w:t>基金份额比例进行分配。</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六、基金财产清算的公告</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清算过程中的有关重大事项须及时公告；基金财产清算报告经</w:t>
      </w:r>
      <w:r>
        <w:rPr>
          <w:bCs/>
          <w:color w:val="000000" w:themeColor="text1"/>
          <w:szCs w:val="21"/>
          <w14:textFill>
            <w14:solidFill>
              <w14:schemeClr w14:val="tx1"/>
            </w14:solidFill>
          </w14:textFill>
        </w:rPr>
        <w:t>符合《证券法》规定的</w:t>
      </w:r>
      <w:r>
        <w:rPr>
          <w:rFonts w:eastAsiaTheme="minorEastAsia"/>
          <w:bCs/>
          <w:color w:val="000000" w:themeColor="text1"/>
          <w:szCs w:val="21"/>
          <w14:textFill>
            <w14:solidFill>
              <w14:schemeClr w14:val="tx1"/>
            </w14:solidFill>
          </w14:textFill>
        </w:rPr>
        <w:t>会计师事务所审计并由律师事务所出具法律意见书后报中国证监会备案并公告。</w:t>
      </w:r>
      <w:bookmarkStart w:id="453" w:name="_Hlk176011016"/>
      <w:r>
        <w:rPr>
          <w:rFonts w:eastAsiaTheme="minorEastAsia"/>
          <w:bCs/>
          <w:color w:val="000000" w:themeColor="text1"/>
          <w:szCs w:val="21"/>
          <w14:textFill>
            <w14:solidFill>
              <w14:schemeClr w14:val="tx1"/>
            </w14:solidFill>
          </w14:textFill>
        </w:rPr>
        <w:t>基金财产清算公告于基金财产清算报告报中国证监会备案后由基金财产清算小组进行公告。</w:t>
      </w:r>
      <w:bookmarkEnd w:id="453"/>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七、基金财产清算账册及文件的保存</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基金财产清算账册及有关文件由基金托管人保存</w:t>
      </w:r>
      <w:r>
        <w:rPr>
          <w:rFonts w:hint="eastAsia" w:eastAsiaTheme="minorEastAsia"/>
          <w:bCs/>
          <w:color w:val="000000" w:themeColor="text1"/>
          <w:szCs w:val="21"/>
          <w14:textFill>
            <w14:solidFill>
              <w14:schemeClr w14:val="tx1"/>
            </w14:solidFill>
          </w14:textFill>
        </w:rPr>
        <w:t>，保存期限按照法律法规的规定执行</w:t>
      </w:r>
      <w:r>
        <w:rPr>
          <w:rFonts w:eastAsiaTheme="minorEastAsia"/>
          <w:bCs/>
          <w:color w:val="000000" w:themeColor="text1"/>
          <w:szCs w:val="21"/>
          <w14:textFill>
            <w14:solidFill>
              <w14:schemeClr w14:val="tx1"/>
            </w14:solidFill>
          </w14:textFill>
        </w:rPr>
        <w:t>。</w:t>
      </w:r>
    </w:p>
    <w:bookmarkEnd w:id="452"/>
    <w:p>
      <w:pPr>
        <w:spacing w:line="360" w:lineRule="auto"/>
        <w:ind w:firstLine="420" w:firstLineChars="200"/>
        <w:rPr>
          <w:rFonts w:eastAsiaTheme="minorEastAsia"/>
          <w:bCs/>
          <w:color w:val="000000" w:themeColor="text1"/>
          <w:szCs w:val="21"/>
          <w14:textFill>
            <w14:solidFill>
              <w14:schemeClr w14:val="tx1"/>
            </w14:solidFill>
          </w14:textFill>
        </w:rPr>
      </w:pPr>
    </w:p>
    <w:p>
      <w:pPr>
        <w:jc w:val="center"/>
        <w:outlineLvl w:val="0"/>
        <w:rPr>
          <w:rFonts w:eastAsiaTheme="minorEastAsia"/>
          <w:b/>
          <w:color w:val="000000" w:themeColor="text1"/>
          <w:szCs w:val="21"/>
          <w14:textFill>
            <w14:solidFill>
              <w14:schemeClr w14:val="tx1"/>
            </w14:solidFill>
          </w14:textFill>
        </w:rPr>
      </w:pPr>
      <w:bookmarkStart w:id="454" w:name="_Toc48649720"/>
      <w:bookmarkStart w:id="455" w:name="_Toc123112248"/>
      <w:bookmarkStart w:id="456" w:name="_Toc79392641"/>
      <w:bookmarkStart w:id="457" w:name="_Toc123051466"/>
      <w:bookmarkStart w:id="458" w:name="_Toc98560365"/>
      <w:bookmarkStart w:id="459" w:name="_Toc123102467"/>
      <w:r>
        <w:rPr>
          <w:rFonts w:eastAsiaTheme="minorEastAsia"/>
          <w:b/>
          <w:color w:val="000000" w:themeColor="text1"/>
          <w:szCs w:val="21"/>
          <w14:textFill>
            <w14:solidFill>
              <w14:schemeClr w14:val="tx1"/>
            </w14:solidFill>
          </w14:textFill>
        </w:rPr>
        <w:br w:type="page"/>
      </w:r>
      <w:bookmarkStart w:id="460" w:name="_Toc27058"/>
      <w:bookmarkStart w:id="461" w:name="_Toc23166"/>
      <w:bookmarkStart w:id="462" w:name="_Toc23022"/>
      <w:bookmarkStart w:id="463" w:name="_Toc12191"/>
      <w:bookmarkStart w:id="464" w:name="_Toc30645"/>
      <w:bookmarkStart w:id="465" w:name="_Toc8710"/>
      <w:bookmarkStart w:id="466" w:name="_Toc13398"/>
      <w:bookmarkStart w:id="467" w:name="_Toc9708"/>
      <w:bookmarkStart w:id="468" w:name="_Toc7367"/>
      <w:bookmarkStart w:id="469" w:name="_Toc28549"/>
      <w:bookmarkStart w:id="470" w:name="_Toc141703901"/>
      <w:bookmarkStart w:id="471" w:name="_Toc21240"/>
      <w:bookmarkStart w:id="472" w:name="_Toc70507738"/>
      <w:bookmarkStart w:id="473" w:name="_Toc139991750"/>
      <w:r>
        <w:rPr>
          <w:rFonts w:eastAsiaTheme="minorEastAsia"/>
          <w:b/>
          <w:color w:val="000000" w:themeColor="text1"/>
          <w:szCs w:val="21"/>
          <w14:textFill>
            <w14:solidFill>
              <w14:schemeClr w14:val="tx1"/>
            </w14:solidFill>
          </w14:textFill>
        </w:rPr>
        <w:t>第二十部分  违约责任</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eastAsiaTheme="minorEastAsia"/>
          <w:b/>
          <w:bCs/>
          <w:color w:val="000000" w:themeColor="text1"/>
          <w:szCs w:val="21"/>
          <w14:textFill>
            <w14:solidFill>
              <w14:schemeClr w14:val="tx1"/>
            </w14:solidFill>
          </w14:textFill>
        </w:rPr>
        <w:t>对损失的赔偿，仅限于直接损失。但是发生下列情况，</w:t>
      </w:r>
      <w:r>
        <w:rPr>
          <w:rFonts w:hint="eastAsia" w:eastAsiaTheme="minorEastAsia"/>
          <w:b/>
          <w:bCs/>
          <w:color w:val="000000" w:themeColor="text1"/>
          <w:szCs w:val="21"/>
          <w14:textFill>
            <w14:solidFill>
              <w14:schemeClr w14:val="tx1"/>
            </w14:solidFill>
          </w14:textFill>
        </w:rPr>
        <w:t>相应的</w:t>
      </w:r>
      <w:r>
        <w:rPr>
          <w:rFonts w:eastAsiaTheme="minorEastAsia"/>
          <w:b/>
          <w:bCs/>
          <w:color w:val="000000" w:themeColor="text1"/>
          <w:szCs w:val="21"/>
          <w14:textFill>
            <w14:solidFill>
              <w14:schemeClr w14:val="tx1"/>
            </w14:solidFill>
          </w14:textFill>
        </w:rPr>
        <w:t>当事人免责：</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1、不可抗力；</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2、基金管理人、基金托管人按照当时有效的法律法规或中国证监会的规定作为或不作为而造成的损失等；</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hint="eastAsia" w:eastAsiaTheme="minorEastAsia"/>
          <w:b/>
          <w:bCs/>
          <w:color w:val="000000" w:themeColor="text1"/>
          <w:szCs w:val="21"/>
          <w14:textFill>
            <w14:solidFill>
              <w14:schemeClr w14:val="tx1"/>
            </w14:solidFill>
          </w14:textFill>
        </w:rPr>
        <w:t>3、在没有过错的情况下，基金管理人由于按照《基金合同》规定的投资原则投资或不投资造成的直接损失或潜在损失等。</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三、由于基金管理人、基金托管人不可控制的因素导致业务出现差错，基金管理人和基金托管人虽然已经采取必要、适当、合理的措施进行检查，但是未能发现错误</w:t>
      </w:r>
      <w:r>
        <w:rPr>
          <w:rFonts w:hint="eastAsia" w:eastAsiaTheme="minorEastAsia"/>
          <w:bCs/>
          <w:color w:val="000000" w:themeColor="text1"/>
          <w:szCs w:val="21"/>
          <w14:textFill>
            <w14:solidFill>
              <w14:schemeClr w14:val="tx1"/>
            </w14:solidFill>
          </w14:textFill>
        </w:rPr>
        <w:t>或因前述原因未能避免或更正错误</w:t>
      </w:r>
      <w:r>
        <w:rPr>
          <w:rFonts w:eastAsiaTheme="minorEastAsia"/>
          <w:bCs/>
          <w:color w:val="000000" w:themeColor="text1"/>
          <w:szCs w:val="21"/>
          <w14:textFill>
            <w14:solidFill>
              <w14:schemeClr w14:val="tx1"/>
            </w14:solidFill>
          </w14:textFill>
        </w:rPr>
        <w:t>的，由此造成基金财产或投资人损失，基金管理人和基金托管人免除赔偿责任。但是基金管理人和基金托管人应积极采取必要的措施消除或减轻由此造成的影响。</w:t>
      </w:r>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474" w:name="_Toc3319"/>
      <w:bookmarkStart w:id="475" w:name="_Toc123112249"/>
      <w:bookmarkStart w:id="476" w:name="_Toc24923"/>
      <w:bookmarkStart w:id="477" w:name="_Toc141703902"/>
      <w:bookmarkStart w:id="478" w:name="_Toc8636"/>
      <w:bookmarkStart w:id="479" w:name="_Toc123102468"/>
      <w:bookmarkStart w:id="480" w:name="_Toc25651"/>
      <w:bookmarkStart w:id="481" w:name="_Toc70507739"/>
      <w:bookmarkStart w:id="482" w:name="_Toc1790"/>
      <w:bookmarkStart w:id="483" w:name="_Toc6110"/>
      <w:bookmarkStart w:id="484" w:name="_Toc21983"/>
      <w:bookmarkStart w:id="485" w:name="_Toc7288"/>
      <w:bookmarkStart w:id="486" w:name="_Toc98560366"/>
      <w:bookmarkStart w:id="487" w:name="_Toc30350"/>
      <w:bookmarkStart w:id="488" w:name="_Toc23999"/>
      <w:bookmarkStart w:id="489" w:name="_Toc139991751"/>
      <w:bookmarkStart w:id="490" w:name="_Toc123051467"/>
      <w:bookmarkStart w:id="491" w:name="_Toc6202"/>
      <w:r>
        <w:rPr>
          <w:rFonts w:eastAsiaTheme="minorEastAsia"/>
          <w:b/>
          <w:color w:val="000000" w:themeColor="text1"/>
          <w:szCs w:val="21"/>
          <w14:textFill>
            <w14:solidFill>
              <w14:schemeClr w14:val="tx1"/>
            </w14:solidFill>
          </w14:textFill>
        </w:rPr>
        <w:t>第二十</w:t>
      </w:r>
      <w:r>
        <w:rPr>
          <w:rFonts w:hint="eastAsia" w:eastAsiaTheme="minorEastAsia"/>
          <w:b/>
          <w:color w:val="000000" w:themeColor="text1"/>
          <w:szCs w:val="21"/>
          <w14:textFill>
            <w14:solidFill>
              <w14:schemeClr w14:val="tx1"/>
            </w14:solidFill>
          </w14:textFill>
        </w:rPr>
        <w:t>一</w:t>
      </w:r>
      <w:r>
        <w:rPr>
          <w:rFonts w:eastAsiaTheme="minorEastAsia"/>
          <w:b/>
          <w:color w:val="000000" w:themeColor="text1"/>
          <w:szCs w:val="21"/>
          <w14:textFill>
            <w14:solidFill>
              <w14:schemeClr w14:val="tx1"/>
            </w14:solidFill>
          </w14:textFill>
        </w:rPr>
        <w:t>部分  争议的处理和适用的法律</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2" w:firstLineChars="200"/>
        <w:rPr>
          <w:rFonts w:eastAsiaTheme="minorEastAsia"/>
          <w:b/>
          <w:bCs/>
          <w:color w:val="000000" w:themeColor="text1"/>
          <w:szCs w:val="21"/>
          <w14:textFill>
            <w14:solidFill>
              <w14:schemeClr w14:val="tx1"/>
            </w14:solidFill>
          </w14:textFill>
        </w:rPr>
      </w:pPr>
      <w:bookmarkStart w:id="492" w:name="_Hlk178017607"/>
      <w:r>
        <w:rPr>
          <w:rFonts w:eastAsiaTheme="minorEastAsia"/>
          <w:b/>
          <w:bCs/>
          <w:color w:val="000000" w:themeColor="text1"/>
          <w:szCs w:val="21"/>
          <w14:textFill>
            <w14:solidFill>
              <w14:schemeClr w14:val="tx1"/>
            </w14:solidFill>
          </w14:textFill>
        </w:rPr>
        <w:t>各方当事人同意，因《基金合同》而产生的或与《基金合同》有关的一切争议，如经友好协商</w:t>
      </w:r>
      <w:r>
        <w:rPr>
          <w:rFonts w:hint="eastAsia" w:eastAsiaTheme="minorEastAsia"/>
          <w:b/>
          <w:bCs/>
          <w:color w:val="000000" w:themeColor="text1"/>
          <w:szCs w:val="21"/>
          <w14:textFill>
            <w14:solidFill>
              <w14:schemeClr w14:val="tx1"/>
            </w14:solidFill>
          </w14:textFill>
        </w:rPr>
        <w:t>、调解</w:t>
      </w:r>
      <w:r>
        <w:rPr>
          <w:rFonts w:eastAsiaTheme="minorEastAsia"/>
          <w:b/>
          <w:bCs/>
          <w:color w:val="000000" w:themeColor="text1"/>
          <w:szCs w:val="21"/>
          <w14:textFill>
            <w14:solidFill>
              <w14:schemeClr w14:val="tx1"/>
            </w14:solidFill>
          </w14:textFill>
        </w:rPr>
        <w:t>未能解决的，任何一方均</w:t>
      </w:r>
      <w:r>
        <w:rPr>
          <w:rFonts w:hint="eastAsia" w:eastAsiaTheme="minorEastAsia"/>
          <w:b/>
          <w:bCs/>
          <w:color w:val="000000" w:themeColor="text1"/>
          <w:szCs w:val="21"/>
          <w14:textFill>
            <w14:solidFill>
              <w14:schemeClr w14:val="tx1"/>
            </w14:solidFill>
          </w14:textFill>
        </w:rPr>
        <w:t>应当</w:t>
      </w:r>
      <w:bookmarkStart w:id="493" w:name="_Hlk148368764"/>
      <w:r>
        <w:rPr>
          <w:rFonts w:eastAsiaTheme="minorEastAsia"/>
          <w:b/>
          <w:bCs/>
          <w:color w:val="000000" w:themeColor="text1"/>
          <w:szCs w:val="21"/>
          <w14:textFill>
            <w14:solidFill>
              <w14:schemeClr w14:val="tx1"/>
            </w14:solidFill>
          </w14:textFill>
        </w:rPr>
        <w:t>提交</w:t>
      </w:r>
      <w:bookmarkStart w:id="494" w:name="_Hlk148368747"/>
      <w:r>
        <w:rPr>
          <w:rFonts w:hint="eastAsia" w:eastAsiaTheme="minorEastAsia"/>
          <w:b/>
          <w:bCs/>
          <w:color w:val="000000" w:themeColor="text1"/>
          <w:szCs w:val="21"/>
          <w14:textFill>
            <w14:solidFill>
              <w14:schemeClr w14:val="tx1"/>
            </w14:solidFill>
          </w14:textFill>
        </w:rPr>
        <w:t>中国国际经济贸易仲裁委员会</w:t>
      </w:r>
      <w:r>
        <w:rPr>
          <w:rFonts w:eastAsiaTheme="minorEastAsia"/>
          <w:b/>
          <w:bCs/>
          <w:color w:val="000000" w:themeColor="text1"/>
          <w:szCs w:val="21"/>
          <w14:textFill>
            <w14:solidFill>
              <w14:schemeClr w14:val="tx1"/>
            </w14:solidFill>
          </w14:textFill>
        </w:rPr>
        <w:t>，根据该会当时有效的</w:t>
      </w:r>
      <w:r>
        <w:rPr>
          <w:rFonts w:eastAsiaTheme="minorEastAsia"/>
          <w:b/>
          <w:color w:val="000000" w:themeColor="text1"/>
          <w:szCs w:val="21"/>
          <w14:textFill>
            <w14:solidFill>
              <w14:schemeClr w14:val="tx1"/>
            </w14:solidFill>
          </w14:textFill>
        </w:rPr>
        <w:t>仲裁</w:t>
      </w:r>
      <w:r>
        <w:rPr>
          <w:rFonts w:eastAsiaTheme="minorEastAsia"/>
          <w:b/>
          <w:bCs/>
          <w:color w:val="000000" w:themeColor="text1"/>
          <w:szCs w:val="21"/>
          <w14:textFill>
            <w14:solidFill>
              <w14:schemeClr w14:val="tx1"/>
            </w14:solidFill>
          </w14:textFill>
        </w:rPr>
        <w:t>规则按照普通程序进行</w:t>
      </w:r>
      <w:r>
        <w:rPr>
          <w:rFonts w:eastAsiaTheme="minorEastAsia"/>
          <w:b/>
          <w:color w:val="000000" w:themeColor="text1"/>
          <w:szCs w:val="21"/>
          <w14:textFill>
            <w14:solidFill>
              <w14:schemeClr w14:val="tx1"/>
            </w14:solidFill>
          </w14:textFill>
        </w:rPr>
        <w:t>仲裁</w:t>
      </w:r>
      <w:r>
        <w:rPr>
          <w:rFonts w:eastAsiaTheme="minorEastAsia"/>
          <w:b/>
          <w:bCs/>
          <w:color w:val="000000" w:themeColor="text1"/>
          <w:szCs w:val="21"/>
          <w14:textFill>
            <w14:solidFill>
              <w14:schemeClr w14:val="tx1"/>
            </w14:solidFill>
          </w14:textFill>
        </w:rPr>
        <w:t>，</w:t>
      </w:r>
      <w:r>
        <w:rPr>
          <w:rFonts w:eastAsiaTheme="minorEastAsia"/>
          <w:b/>
          <w:color w:val="000000" w:themeColor="text1"/>
          <w:szCs w:val="21"/>
          <w14:textFill>
            <w14:solidFill>
              <w14:schemeClr w14:val="tx1"/>
            </w14:solidFill>
          </w14:textFill>
        </w:rPr>
        <w:t>仲裁地点</w:t>
      </w:r>
      <w:r>
        <w:rPr>
          <w:rFonts w:eastAsiaTheme="minorEastAsia"/>
          <w:b/>
          <w:bCs/>
          <w:color w:val="000000" w:themeColor="text1"/>
          <w:szCs w:val="21"/>
          <w14:textFill>
            <w14:solidFill>
              <w14:schemeClr w14:val="tx1"/>
            </w14:solidFill>
          </w14:textFill>
        </w:rPr>
        <w:t>为北京，仲裁裁决是终局性</w:t>
      </w:r>
      <w:r>
        <w:rPr>
          <w:rFonts w:eastAsiaTheme="minorEastAsia"/>
          <w:b/>
          <w:color w:val="000000" w:themeColor="text1"/>
          <w:szCs w:val="21"/>
          <w14:textFill>
            <w14:solidFill>
              <w14:schemeClr w14:val="tx1"/>
            </w14:solidFill>
          </w14:textFill>
        </w:rPr>
        <w:t>的</w:t>
      </w:r>
      <w:r>
        <w:rPr>
          <w:rFonts w:eastAsiaTheme="minorEastAsia"/>
          <w:b/>
          <w:bCs/>
          <w:color w:val="000000" w:themeColor="text1"/>
          <w:szCs w:val="21"/>
          <w14:textFill>
            <w14:solidFill>
              <w14:schemeClr w14:val="tx1"/>
            </w14:solidFill>
          </w14:textFill>
        </w:rPr>
        <w:t>并对</w:t>
      </w:r>
      <w:r>
        <w:rPr>
          <w:rFonts w:eastAsiaTheme="minorEastAsia"/>
          <w:b/>
          <w:color w:val="000000" w:themeColor="text1"/>
          <w:szCs w:val="21"/>
          <w14:textFill>
            <w14:solidFill>
              <w14:schemeClr w14:val="tx1"/>
            </w14:solidFill>
          </w14:textFill>
        </w:rPr>
        <w:t>各方当事人</w:t>
      </w:r>
      <w:r>
        <w:rPr>
          <w:rFonts w:eastAsiaTheme="minorEastAsia"/>
          <w:b/>
          <w:bCs/>
          <w:color w:val="000000" w:themeColor="text1"/>
          <w:szCs w:val="21"/>
          <w14:textFill>
            <w14:solidFill>
              <w14:schemeClr w14:val="tx1"/>
            </w14:solidFill>
          </w14:textFill>
        </w:rPr>
        <w:t>具有约束力，</w:t>
      </w:r>
      <w:r>
        <w:rPr>
          <w:rFonts w:hint="eastAsia" w:eastAsiaTheme="minorEastAsia"/>
          <w:b/>
          <w:bCs/>
          <w:color w:val="000000" w:themeColor="text1"/>
          <w:szCs w:val="21"/>
          <w14:textFill>
            <w14:solidFill>
              <w14:schemeClr w14:val="tx1"/>
            </w14:solidFill>
          </w14:textFill>
        </w:rPr>
        <w:t>除非仲裁裁决另有决定，</w:t>
      </w:r>
      <w:r>
        <w:rPr>
          <w:rFonts w:eastAsiaTheme="minorEastAsia"/>
          <w:b/>
          <w:bCs/>
          <w:color w:val="000000" w:themeColor="text1"/>
          <w:szCs w:val="21"/>
          <w14:textFill>
            <w14:solidFill>
              <w14:schemeClr w14:val="tx1"/>
            </w14:solidFill>
          </w14:textFill>
        </w:rPr>
        <w:t>仲裁费由败诉方承担。</w:t>
      </w:r>
      <w:bookmarkEnd w:id="493"/>
      <w:bookmarkEnd w:id="494"/>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争议处理期间，</w:t>
      </w:r>
      <w:r>
        <w:rPr>
          <w:rFonts w:hint="eastAsia" w:eastAsiaTheme="minorEastAsia"/>
          <w:b/>
          <w:bCs/>
          <w:color w:val="000000" w:themeColor="text1"/>
          <w:szCs w:val="21"/>
          <w14:textFill>
            <w14:solidFill>
              <w14:schemeClr w14:val="tx1"/>
            </w14:solidFill>
          </w14:textFill>
        </w:rPr>
        <w:t>基金管理人及基金托管人</w:t>
      </w:r>
      <w:r>
        <w:rPr>
          <w:rFonts w:eastAsiaTheme="minorEastAsia"/>
          <w:b/>
          <w:bCs/>
          <w:color w:val="000000" w:themeColor="text1"/>
          <w:szCs w:val="21"/>
          <w14:textFill>
            <w14:solidFill>
              <w14:schemeClr w14:val="tx1"/>
            </w14:solidFill>
          </w14:textFill>
        </w:rPr>
        <w:t>应恪守各自的职责，继续忠实、勤勉、尽责地履行基金合同规定的义务，维护基金份额持有人的合法权益。</w:t>
      </w:r>
    </w:p>
    <w:p>
      <w:pPr>
        <w:spacing w:line="360" w:lineRule="auto"/>
        <w:ind w:firstLine="422" w:firstLineChars="200"/>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《基金合同》受中国法律</w:t>
      </w:r>
      <w:bookmarkStart w:id="495" w:name="_Hlk175759379"/>
      <w:r>
        <w:rPr>
          <w:rFonts w:hint="eastAsia" w:eastAsiaTheme="minorEastAsia"/>
          <w:b/>
          <w:bCs/>
          <w:color w:val="000000" w:themeColor="text1"/>
          <w:szCs w:val="21"/>
          <w14:textFill>
            <w14:solidFill>
              <w14:schemeClr w14:val="tx1"/>
            </w14:solidFill>
          </w14:textFill>
        </w:rPr>
        <w:t>（</w:t>
      </w:r>
      <w:r>
        <w:rPr>
          <w:b/>
          <w:bCs/>
        </w:rPr>
        <w:t>为本基金合同之目的，</w:t>
      </w:r>
      <w:r>
        <w:rPr>
          <w:rFonts w:hint="eastAsia" w:eastAsiaTheme="minorEastAsia"/>
          <w:b/>
          <w:bCs/>
          <w:color w:val="000000" w:themeColor="text1"/>
          <w:szCs w:val="21"/>
          <w14:textFill>
            <w14:solidFill>
              <w14:schemeClr w14:val="tx1"/>
            </w14:solidFill>
          </w14:textFill>
        </w:rPr>
        <w:t>不包括香港特别行政区、澳门特别行政区和台湾地区法律）</w:t>
      </w:r>
      <w:bookmarkEnd w:id="495"/>
      <w:r>
        <w:rPr>
          <w:rFonts w:eastAsiaTheme="minorEastAsia"/>
          <w:b/>
          <w:bCs/>
          <w:color w:val="000000" w:themeColor="text1"/>
          <w:szCs w:val="21"/>
          <w14:textFill>
            <w14:solidFill>
              <w14:schemeClr w14:val="tx1"/>
            </w14:solidFill>
          </w14:textFill>
        </w:rPr>
        <w:t>管辖</w:t>
      </w:r>
      <w:r>
        <w:rPr>
          <w:b/>
          <w:bCs/>
        </w:rPr>
        <w:t>并从其解释</w:t>
      </w:r>
      <w:r>
        <w:rPr>
          <w:rFonts w:eastAsiaTheme="minorEastAsia"/>
          <w:b/>
          <w:bCs/>
          <w:color w:val="000000" w:themeColor="text1"/>
          <w:szCs w:val="21"/>
          <w14:textFill>
            <w14:solidFill>
              <w14:schemeClr w14:val="tx1"/>
            </w14:solidFill>
          </w14:textFill>
        </w:rPr>
        <w:t>。</w:t>
      </w:r>
    </w:p>
    <w:bookmarkEnd w:id="492"/>
    <w:p>
      <w:pPr>
        <w:spacing w:line="360" w:lineRule="auto"/>
        <w:ind w:firstLine="420" w:firstLineChars="200"/>
        <w:rPr>
          <w:rFonts w:eastAsiaTheme="minorEastAsia"/>
          <w:bCs/>
          <w:color w:val="000000" w:themeColor="text1"/>
          <w:szCs w:val="21"/>
          <w14:textFill>
            <w14:solidFill>
              <w14:schemeClr w14:val="tx1"/>
            </w14:solidFill>
          </w14:textFill>
        </w:rPr>
      </w:pPr>
    </w:p>
    <w:p>
      <w:pPr>
        <w:jc w:val="center"/>
        <w:outlineLvl w:val="0"/>
        <w:rPr>
          <w:rFonts w:eastAsiaTheme="minorEastAsia"/>
          <w:color w:val="000000" w:themeColor="text1"/>
          <w:szCs w:val="21"/>
          <w14:textFill>
            <w14:solidFill>
              <w14:schemeClr w14:val="tx1"/>
            </w14:solidFill>
          </w14:textFill>
        </w:rPr>
      </w:pPr>
      <w:bookmarkStart w:id="496" w:name="_Toc123102469"/>
      <w:bookmarkStart w:id="497" w:name="_Toc20350"/>
      <w:bookmarkStart w:id="498" w:name="_Toc123112250"/>
      <w:bookmarkStart w:id="499" w:name="_Toc8703"/>
      <w:bookmarkStart w:id="500" w:name="_Toc26461"/>
      <w:bookmarkStart w:id="501" w:name="_Toc141703903"/>
      <w:bookmarkStart w:id="502" w:name="_Toc31966"/>
      <w:bookmarkStart w:id="503" w:name="_Toc8454"/>
      <w:bookmarkStart w:id="504" w:name="_Toc23991"/>
      <w:bookmarkStart w:id="505" w:name="_Toc29505"/>
      <w:bookmarkStart w:id="506" w:name="_Toc11618"/>
      <w:bookmarkStart w:id="507" w:name="_Toc484"/>
      <w:bookmarkStart w:id="508" w:name="_Toc123051468"/>
      <w:bookmarkStart w:id="509" w:name="_Toc139991752"/>
      <w:bookmarkStart w:id="510" w:name="_Toc2532"/>
      <w:bookmarkStart w:id="511" w:name="_Toc28690"/>
      <w:r>
        <w:rPr>
          <w:rFonts w:eastAsiaTheme="minorEastAsia"/>
          <w:color w:val="000000" w:themeColor="text1"/>
          <w:szCs w:val="21"/>
          <w14:textFill>
            <w14:solidFill>
              <w14:schemeClr w14:val="tx1"/>
            </w14:solidFill>
          </w14:textFill>
        </w:rPr>
        <w:br w:type="page"/>
      </w:r>
    </w:p>
    <w:p>
      <w:pPr>
        <w:jc w:val="center"/>
        <w:outlineLvl w:val="0"/>
        <w:rPr>
          <w:rFonts w:eastAsiaTheme="minorEastAsia"/>
          <w:b/>
          <w:color w:val="000000" w:themeColor="text1"/>
          <w:szCs w:val="21"/>
          <w14:textFill>
            <w14:solidFill>
              <w14:schemeClr w14:val="tx1"/>
            </w14:solidFill>
          </w14:textFill>
        </w:rPr>
      </w:pPr>
      <w:bookmarkStart w:id="512" w:name="_Toc70507740"/>
      <w:r>
        <w:rPr>
          <w:rFonts w:eastAsiaTheme="minorEastAsia"/>
          <w:b/>
          <w:color w:val="000000" w:themeColor="text1"/>
          <w:szCs w:val="21"/>
          <w14:textFill>
            <w14:solidFill>
              <w14:schemeClr w14:val="tx1"/>
            </w14:solidFill>
          </w14:textFill>
        </w:rPr>
        <w:t>第二十</w:t>
      </w:r>
      <w:r>
        <w:rPr>
          <w:rFonts w:hint="eastAsia" w:eastAsiaTheme="minorEastAsia"/>
          <w:b/>
          <w:color w:val="000000" w:themeColor="text1"/>
          <w:szCs w:val="21"/>
          <w14:textFill>
            <w14:solidFill>
              <w14:schemeClr w14:val="tx1"/>
            </w14:solidFill>
          </w14:textFill>
        </w:rPr>
        <w:t>二</w:t>
      </w:r>
      <w:r>
        <w:rPr>
          <w:rFonts w:eastAsiaTheme="minorEastAsia"/>
          <w:b/>
          <w:color w:val="000000" w:themeColor="text1"/>
          <w:szCs w:val="21"/>
          <w14:textFill>
            <w14:solidFill>
              <w14:schemeClr w14:val="tx1"/>
            </w14:solidFill>
          </w14:textFill>
        </w:rPr>
        <w:t>部分  基金合同的效力</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pPr>
        <w:spacing w:line="360" w:lineRule="auto"/>
        <w:ind w:firstLine="420" w:firstLineChars="200"/>
        <w:rPr>
          <w:rFonts w:eastAsiaTheme="minorEastAsia"/>
          <w:bCs/>
          <w:color w:val="000000" w:themeColor="text1"/>
          <w:szCs w:val="21"/>
          <w14:textFill>
            <w14:solidFill>
              <w14:schemeClr w14:val="tx1"/>
            </w14:solidFill>
          </w14:textFill>
        </w:rPr>
      </w:pP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《基金合同》是约定基金合同当事人之间、基金与基金合同当事人之间权利义务关系的法律文件。</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1、《基金合同》经基金管理人、基金托管人双方盖章以及双方法定代表人或授权代表签字</w:t>
      </w:r>
      <w:r>
        <w:rPr>
          <w:rFonts w:hint="eastAsia" w:eastAsiaTheme="minorEastAsia"/>
          <w:bCs/>
          <w:color w:val="000000" w:themeColor="text1"/>
          <w:szCs w:val="21"/>
          <w14:textFill>
            <w14:solidFill>
              <w14:schemeClr w14:val="tx1"/>
            </w14:solidFill>
          </w14:textFill>
        </w:rPr>
        <w:t>（或盖章）</w:t>
      </w:r>
      <w:r>
        <w:rPr>
          <w:rFonts w:eastAsiaTheme="minorEastAsia"/>
          <w:bCs/>
          <w:color w:val="000000" w:themeColor="text1"/>
          <w:szCs w:val="21"/>
          <w14:textFill>
            <w14:solidFill>
              <w14:schemeClr w14:val="tx1"/>
            </w14:solidFill>
          </w14:textFill>
        </w:rPr>
        <w:t>并在募集结束后经基金管理人向中国证监会办理基金备案手续，并经中国证监会书面确认后生效。</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2、《基金合同》的有效期自其生效之日起至基金财产清算结果报中国证监会备案并公告之日止。</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3、《基金合同》自生效之日起对包括基金管理人、基金托管人和基金份额持有人在内的《基金合同》各方当事人具有同等的法律约束力。</w:t>
      </w:r>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w:t>
      </w:r>
      <w:bookmarkStart w:id="513" w:name="_Hlk178017626"/>
      <w:r>
        <w:rPr>
          <w:rFonts w:eastAsiaTheme="minorEastAsia"/>
          <w:bCs/>
          <w:color w:val="000000" w:themeColor="text1"/>
          <w:szCs w:val="21"/>
          <w14:textFill>
            <w14:solidFill>
              <w14:schemeClr w14:val="tx1"/>
            </w14:solidFill>
          </w14:textFill>
        </w:rPr>
        <w:t>《基金合同》正本一式</w:t>
      </w:r>
      <w:r>
        <w:rPr>
          <w:rFonts w:hint="eastAsia" w:eastAsiaTheme="minorEastAsia"/>
          <w:bCs/>
          <w:color w:val="000000" w:themeColor="text1"/>
          <w:szCs w:val="21"/>
          <w14:textFill>
            <w14:solidFill>
              <w14:schemeClr w14:val="tx1"/>
            </w14:solidFill>
          </w14:textFill>
        </w:rPr>
        <w:t>六</w:t>
      </w:r>
      <w:r>
        <w:rPr>
          <w:rFonts w:eastAsiaTheme="minorEastAsia"/>
          <w:bCs/>
          <w:color w:val="000000" w:themeColor="text1"/>
          <w:szCs w:val="21"/>
          <w14:textFill>
            <w14:solidFill>
              <w14:schemeClr w14:val="tx1"/>
            </w14:solidFill>
          </w14:textFill>
        </w:rPr>
        <w:t>份，除上报有关监管机构</w:t>
      </w:r>
      <w:r>
        <w:rPr>
          <w:rFonts w:hint="eastAsia" w:eastAsiaTheme="minorEastAsia"/>
          <w:bCs/>
          <w:color w:val="000000" w:themeColor="text1"/>
          <w:szCs w:val="21"/>
          <w14:textFill>
            <w14:solidFill>
              <w14:schemeClr w14:val="tx1"/>
            </w14:solidFill>
          </w14:textFill>
        </w:rPr>
        <w:t>二</w:t>
      </w:r>
      <w:r>
        <w:rPr>
          <w:rFonts w:eastAsiaTheme="minorEastAsia"/>
          <w:bCs/>
          <w:color w:val="000000" w:themeColor="text1"/>
          <w:szCs w:val="21"/>
          <w14:textFill>
            <w14:solidFill>
              <w14:schemeClr w14:val="tx1"/>
            </w14:solidFill>
          </w14:textFill>
        </w:rPr>
        <w:t>份外，基金管理人、基金托管人各持有</w:t>
      </w:r>
      <w:r>
        <w:rPr>
          <w:rFonts w:hint="eastAsia" w:eastAsiaTheme="minorEastAsia"/>
          <w:bCs/>
          <w:color w:val="000000" w:themeColor="text1"/>
          <w:szCs w:val="21"/>
          <w14:textFill>
            <w14:solidFill>
              <w14:schemeClr w14:val="tx1"/>
            </w14:solidFill>
          </w14:textFill>
        </w:rPr>
        <w:t>二</w:t>
      </w:r>
      <w:r>
        <w:rPr>
          <w:rFonts w:eastAsiaTheme="minorEastAsia"/>
          <w:bCs/>
          <w:color w:val="000000" w:themeColor="text1"/>
          <w:szCs w:val="21"/>
          <w14:textFill>
            <w14:solidFill>
              <w14:schemeClr w14:val="tx1"/>
            </w14:solidFill>
          </w14:textFill>
        </w:rPr>
        <w:t>份，每份具有同等的法律效力。</w:t>
      </w:r>
      <w:bookmarkEnd w:id="513"/>
    </w:p>
    <w:p>
      <w:pPr>
        <w:spacing w:line="360" w:lineRule="auto"/>
        <w:ind w:firstLine="420" w:firstLineChars="200"/>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5、《基金合同》可印制成册，供投资者在基金管理人、基金托管人、销售机构的办公场所和营业场所查阅。</w:t>
      </w:r>
    </w:p>
    <w:p>
      <w:pPr>
        <w:jc w:val="center"/>
        <w:outlineLvl w:val="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br w:type="page"/>
      </w:r>
      <w:bookmarkStart w:id="514" w:name="_Toc70507741"/>
      <w:bookmarkStart w:id="515" w:name="_Toc9704"/>
      <w:bookmarkStart w:id="516" w:name="_Toc21726"/>
      <w:r>
        <w:rPr>
          <w:rFonts w:eastAsiaTheme="minorEastAsia"/>
          <w:b/>
          <w:color w:val="000000" w:themeColor="text1"/>
          <w:szCs w:val="21"/>
          <w14:textFill>
            <w14:solidFill>
              <w14:schemeClr w14:val="tx1"/>
            </w14:solidFill>
          </w14:textFill>
        </w:rPr>
        <w:t>第二十</w:t>
      </w:r>
      <w:r>
        <w:rPr>
          <w:rFonts w:hint="eastAsia" w:eastAsiaTheme="minorEastAsia"/>
          <w:b/>
          <w:color w:val="000000" w:themeColor="text1"/>
          <w:szCs w:val="21"/>
          <w14:textFill>
            <w14:solidFill>
              <w14:schemeClr w14:val="tx1"/>
            </w14:solidFill>
          </w14:textFill>
        </w:rPr>
        <w:t>三</w:t>
      </w:r>
      <w:r>
        <w:rPr>
          <w:rFonts w:eastAsiaTheme="minorEastAsia"/>
          <w:b/>
          <w:color w:val="000000" w:themeColor="text1"/>
          <w:szCs w:val="21"/>
          <w14:textFill>
            <w14:solidFill>
              <w14:schemeClr w14:val="tx1"/>
            </w14:solidFill>
          </w14:textFill>
        </w:rPr>
        <w:t>部分  其他事项</w:t>
      </w:r>
      <w:bookmarkEnd w:id="514"/>
      <w:bookmarkEnd w:id="515"/>
      <w:bookmarkEnd w:id="516"/>
    </w:p>
    <w:p>
      <w:pPr>
        <w:spacing w:line="360" w:lineRule="auto"/>
        <w:ind w:firstLine="420" w:firstLineChars="200"/>
        <w:rPr>
          <w:rFonts w:eastAsiaTheme="minorEastAsia"/>
          <w:color w:val="000000" w:themeColor="text1"/>
          <w:szCs w:val="21"/>
          <w14:textFill>
            <w14:solidFill>
              <w14:schemeClr w14:val="tx1"/>
            </w14:solidFill>
          </w14:textFill>
        </w:rPr>
      </w:pPr>
    </w:p>
    <w:p>
      <w:pPr>
        <w:spacing w:line="360" w:lineRule="auto"/>
        <w:ind w:firstLine="420" w:firstLineChars="200"/>
        <w:rPr>
          <w:ins w:id="0" w:author="研究发展部-周苏" w:date="2026-06-25T10:12:00Z"/>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《基金合同》如有未尽事宜，由《基金合同》当事人各方按有关法律法规协商解决。</w:t>
      </w:r>
    </w:p>
    <w:bookmarkEnd w:id="59"/>
    <w:bookmarkEnd w:id="60"/>
    <w:p>
      <w:pPr>
        <w:widowControl/>
        <w:jc w:val="left"/>
        <w:rPr>
          <w:rFonts w:eastAsiaTheme="minorEastAsia"/>
          <w:bCs/>
          <w:color w:val="000000" w:themeColor="text1"/>
          <w:szCs w:val="21"/>
          <w14:textFill>
            <w14:solidFill>
              <w14:schemeClr w14:val="tx1"/>
            </w14:solidFill>
          </w14:textFill>
        </w:rPr>
      </w:pPr>
      <w:bookmarkStart w:id="517" w:name="_GoBack"/>
      <w:bookmarkEnd w:id="517"/>
    </w:p>
    <w:sectPr>
      <w:footerReference r:id="rId1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仿宋_GB2312">
    <w:altName w:val="宋体"/>
    <w:panose1 w:val="02010609030101010101"/>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3AEFF" w:usb1="C200FDFF" w:usb2="03501B28" w:usb3="00000000" w:csb0="600101FF" w:csb1="DFFF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Align="top"/>
    </w:pPr>
    <w:r>
      <w:rPr>
        <w:rFonts w:hint="eastAsia"/>
      </w:rPr>
      <w:fldChar w:fldCharType="begin"/>
    </w:r>
    <w:r>
      <w:rPr>
        <w:rStyle w:val="22"/>
        <w:rFonts w:hint="eastAsia"/>
      </w:rPr>
      <w:instrText xml:space="preserve"> PAGE  </w:instrText>
    </w:r>
    <w:r>
      <w:rPr>
        <w:rFonts w:hint="eastAsia"/>
      </w:rPr>
      <w:fldChar w:fldCharType="separate"/>
    </w:r>
    <w:r>
      <w:rPr>
        <w:rStyle w:val="22"/>
      </w:rPr>
      <w:t>1</w:t>
    </w:r>
    <w:r>
      <w:rPr>
        <w:rFonts w:hint="eastAsia"/>
      </w:rPr>
      <w:fldChar w:fldCharType="end"/>
    </w:r>
  </w:p>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78</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wordWrap w:val="0"/>
      <w:adjustRightInd w:val="0"/>
      <w:jc w:val="both"/>
    </w:pPr>
    <w:r>
      <w:rPr>
        <w:rFonts w:hint="eastAsia"/>
        <w:color w:val="000000"/>
      </w:rPr>
      <w:t>XXXX</w:t>
    </w:r>
    <w:r>
      <w:rPr>
        <w:rFonts w:hint="eastAsia"/>
      </w:rPr>
      <w:t>证券投资基金                             募集申请材料－基金合同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abs>
        <w:tab w:val="right" w:pos="8280"/>
      </w:tabs>
      <w:wordWrap w:val="0"/>
      <w:adjustRightInd w:val="0"/>
      <w:jc w:val="right"/>
      <w:rPr>
        <w:sz w:val="18"/>
        <w:szCs w:val="18"/>
      </w:rPr>
    </w:pPr>
    <w:r>
      <w:rPr>
        <w:rFonts w:hint="eastAsia"/>
        <w:color w:val="000000"/>
        <w:sz w:val="18"/>
        <w:szCs w:val="18"/>
      </w:rPr>
      <w:t>华夏中证REITs全收益指数证券投资基金</w:t>
    </w:r>
    <w:r>
      <w:rPr>
        <w:rFonts w:hint="eastAsia"/>
        <w:sz w:val="18"/>
        <w:szCs w:val="18"/>
      </w:rPr>
      <w:t>基金合同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color w:val="000000"/>
        <w:szCs w:val="18"/>
      </w:rPr>
      <w:t>华夏中证REITs全收益指数证券投资基金</w:t>
    </w:r>
    <w:r>
      <w:rPr>
        <w:rFonts w:hint="eastAsia"/>
        <w:szCs w:val="18"/>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56"/>
      <w:lvlText w:val=""/>
      <w:lvlJc w:val="left"/>
      <w:pPr>
        <w:tabs>
          <w:tab w:val="left" w:pos="360"/>
        </w:tabs>
        <w:ind w:left="360" w:hanging="360"/>
      </w:pPr>
      <w:rPr>
        <w:rFonts w:hint="default" w:ascii="Symbol" w:hAnsi="Symbol"/>
        <w:color w:val="auto"/>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研究发展部-周苏">
    <w15:presenceInfo w15:providerId="AD" w15:userId="S-1-5-21-4040542111-3479009570-1042660180-20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988"/>
    <w:rsid w:val="00001C77"/>
    <w:rsid w:val="00002174"/>
    <w:rsid w:val="00002D19"/>
    <w:rsid w:val="00003573"/>
    <w:rsid w:val="000041B7"/>
    <w:rsid w:val="00004AA2"/>
    <w:rsid w:val="00005187"/>
    <w:rsid w:val="00005B88"/>
    <w:rsid w:val="00005BB4"/>
    <w:rsid w:val="00005DCE"/>
    <w:rsid w:val="0000745F"/>
    <w:rsid w:val="00010F62"/>
    <w:rsid w:val="000127E8"/>
    <w:rsid w:val="00013240"/>
    <w:rsid w:val="00013E12"/>
    <w:rsid w:val="00014407"/>
    <w:rsid w:val="00014789"/>
    <w:rsid w:val="0001519D"/>
    <w:rsid w:val="000151E0"/>
    <w:rsid w:val="000154A3"/>
    <w:rsid w:val="00016373"/>
    <w:rsid w:val="000164DF"/>
    <w:rsid w:val="000167AB"/>
    <w:rsid w:val="0001781D"/>
    <w:rsid w:val="0002187F"/>
    <w:rsid w:val="000234CD"/>
    <w:rsid w:val="00023715"/>
    <w:rsid w:val="000249CC"/>
    <w:rsid w:val="00025C47"/>
    <w:rsid w:val="00027F73"/>
    <w:rsid w:val="00030021"/>
    <w:rsid w:val="00030F52"/>
    <w:rsid w:val="00031841"/>
    <w:rsid w:val="00032166"/>
    <w:rsid w:val="00032A61"/>
    <w:rsid w:val="00036014"/>
    <w:rsid w:val="00041741"/>
    <w:rsid w:val="00043361"/>
    <w:rsid w:val="000437D3"/>
    <w:rsid w:val="000449B4"/>
    <w:rsid w:val="00044CEC"/>
    <w:rsid w:val="00044FAD"/>
    <w:rsid w:val="00045DAE"/>
    <w:rsid w:val="000468EE"/>
    <w:rsid w:val="00046A68"/>
    <w:rsid w:val="00046C10"/>
    <w:rsid w:val="00046DA3"/>
    <w:rsid w:val="000473F1"/>
    <w:rsid w:val="00050C0C"/>
    <w:rsid w:val="000514DF"/>
    <w:rsid w:val="0005303B"/>
    <w:rsid w:val="00053588"/>
    <w:rsid w:val="00054296"/>
    <w:rsid w:val="0005445A"/>
    <w:rsid w:val="00060B4A"/>
    <w:rsid w:val="00060EB2"/>
    <w:rsid w:val="00061C96"/>
    <w:rsid w:val="000621BE"/>
    <w:rsid w:val="0006245B"/>
    <w:rsid w:val="00062F4F"/>
    <w:rsid w:val="000632AC"/>
    <w:rsid w:val="000633E2"/>
    <w:rsid w:val="000634D7"/>
    <w:rsid w:val="00063527"/>
    <w:rsid w:val="00063567"/>
    <w:rsid w:val="00063973"/>
    <w:rsid w:val="00063E34"/>
    <w:rsid w:val="00063E73"/>
    <w:rsid w:val="00064103"/>
    <w:rsid w:val="000651BE"/>
    <w:rsid w:val="00065829"/>
    <w:rsid w:val="000659FA"/>
    <w:rsid w:val="00065BA6"/>
    <w:rsid w:val="000664EC"/>
    <w:rsid w:val="000665A9"/>
    <w:rsid w:val="0007157F"/>
    <w:rsid w:val="00071888"/>
    <w:rsid w:val="00073967"/>
    <w:rsid w:val="00073C6A"/>
    <w:rsid w:val="000742E5"/>
    <w:rsid w:val="0007536D"/>
    <w:rsid w:val="0007609B"/>
    <w:rsid w:val="00076493"/>
    <w:rsid w:val="000767CA"/>
    <w:rsid w:val="000769FA"/>
    <w:rsid w:val="0007702C"/>
    <w:rsid w:val="0008053A"/>
    <w:rsid w:val="0008229F"/>
    <w:rsid w:val="000830B0"/>
    <w:rsid w:val="00083475"/>
    <w:rsid w:val="000836E3"/>
    <w:rsid w:val="00084F2B"/>
    <w:rsid w:val="00085424"/>
    <w:rsid w:val="000854C7"/>
    <w:rsid w:val="00085A6C"/>
    <w:rsid w:val="000869EA"/>
    <w:rsid w:val="00090AD0"/>
    <w:rsid w:val="00091D1E"/>
    <w:rsid w:val="00091FC6"/>
    <w:rsid w:val="000929C4"/>
    <w:rsid w:val="00092A1B"/>
    <w:rsid w:val="000931FB"/>
    <w:rsid w:val="00093241"/>
    <w:rsid w:val="00094483"/>
    <w:rsid w:val="000949D9"/>
    <w:rsid w:val="00096502"/>
    <w:rsid w:val="0009662F"/>
    <w:rsid w:val="00096CDC"/>
    <w:rsid w:val="000A0421"/>
    <w:rsid w:val="000A0BB0"/>
    <w:rsid w:val="000A17E8"/>
    <w:rsid w:val="000A1EC3"/>
    <w:rsid w:val="000A26FC"/>
    <w:rsid w:val="000A390D"/>
    <w:rsid w:val="000A3AC4"/>
    <w:rsid w:val="000A42AC"/>
    <w:rsid w:val="000A63D9"/>
    <w:rsid w:val="000A74D9"/>
    <w:rsid w:val="000B04BD"/>
    <w:rsid w:val="000B0E34"/>
    <w:rsid w:val="000B0EC3"/>
    <w:rsid w:val="000B3260"/>
    <w:rsid w:val="000B3A02"/>
    <w:rsid w:val="000B492F"/>
    <w:rsid w:val="000B51E1"/>
    <w:rsid w:val="000B5554"/>
    <w:rsid w:val="000B595E"/>
    <w:rsid w:val="000B603B"/>
    <w:rsid w:val="000B6111"/>
    <w:rsid w:val="000B622B"/>
    <w:rsid w:val="000B68E0"/>
    <w:rsid w:val="000B69B8"/>
    <w:rsid w:val="000B7C47"/>
    <w:rsid w:val="000B7C81"/>
    <w:rsid w:val="000C0110"/>
    <w:rsid w:val="000C01E6"/>
    <w:rsid w:val="000C1295"/>
    <w:rsid w:val="000C201B"/>
    <w:rsid w:val="000C5149"/>
    <w:rsid w:val="000D0D0C"/>
    <w:rsid w:val="000D4027"/>
    <w:rsid w:val="000D42EB"/>
    <w:rsid w:val="000D66A5"/>
    <w:rsid w:val="000D7197"/>
    <w:rsid w:val="000D73E1"/>
    <w:rsid w:val="000E01BE"/>
    <w:rsid w:val="000E05AB"/>
    <w:rsid w:val="000E0EBD"/>
    <w:rsid w:val="000E3CAA"/>
    <w:rsid w:val="000E4334"/>
    <w:rsid w:val="000E4587"/>
    <w:rsid w:val="000E589D"/>
    <w:rsid w:val="000E701F"/>
    <w:rsid w:val="000E7993"/>
    <w:rsid w:val="000E7EDA"/>
    <w:rsid w:val="000F0103"/>
    <w:rsid w:val="000F048C"/>
    <w:rsid w:val="000F2110"/>
    <w:rsid w:val="000F293A"/>
    <w:rsid w:val="000F4418"/>
    <w:rsid w:val="000F4FFF"/>
    <w:rsid w:val="000F5433"/>
    <w:rsid w:val="000F5FD4"/>
    <w:rsid w:val="000F6F90"/>
    <w:rsid w:val="000F71B7"/>
    <w:rsid w:val="000F7248"/>
    <w:rsid w:val="000F7707"/>
    <w:rsid w:val="001004E2"/>
    <w:rsid w:val="00100B97"/>
    <w:rsid w:val="00102563"/>
    <w:rsid w:val="001041FE"/>
    <w:rsid w:val="00104BC2"/>
    <w:rsid w:val="00106360"/>
    <w:rsid w:val="00106F21"/>
    <w:rsid w:val="00107CE1"/>
    <w:rsid w:val="00110872"/>
    <w:rsid w:val="001116F9"/>
    <w:rsid w:val="00112759"/>
    <w:rsid w:val="0011281A"/>
    <w:rsid w:val="00112A50"/>
    <w:rsid w:val="001133CD"/>
    <w:rsid w:val="001146A7"/>
    <w:rsid w:val="00114C34"/>
    <w:rsid w:val="00114FB2"/>
    <w:rsid w:val="0011609B"/>
    <w:rsid w:val="001217F6"/>
    <w:rsid w:val="00121B45"/>
    <w:rsid w:val="00122730"/>
    <w:rsid w:val="00122D3C"/>
    <w:rsid w:val="00122EFD"/>
    <w:rsid w:val="001236F7"/>
    <w:rsid w:val="001247F8"/>
    <w:rsid w:val="001255CD"/>
    <w:rsid w:val="001257AB"/>
    <w:rsid w:val="001259FC"/>
    <w:rsid w:val="00125E01"/>
    <w:rsid w:val="00131049"/>
    <w:rsid w:val="00131A76"/>
    <w:rsid w:val="0013333E"/>
    <w:rsid w:val="00134243"/>
    <w:rsid w:val="00134262"/>
    <w:rsid w:val="001348FB"/>
    <w:rsid w:val="00135129"/>
    <w:rsid w:val="001377DA"/>
    <w:rsid w:val="00137803"/>
    <w:rsid w:val="00137860"/>
    <w:rsid w:val="00140273"/>
    <w:rsid w:val="001411A2"/>
    <w:rsid w:val="0014226D"/>
    <w:rsid w:val="001426E1"/>
    <w:rsid w:val="001427C7"/>
    <w:rsid w:val="00142C64"/>
    <w:rsid w:val="00144A7C"/>
    <w:rsid w:val="001451C4"/>
    <w:rsid w:val="001453E6"/>
    <w:rsid w:val="001461A0"/>
    <w:rsid w:val="001465CD"/>
    <w:rsid w:val="00147471"/>
    <w:rsid w:val="0014797C"/>
    <w:rsid w:val="00150F6D"/>
    <w:rsid w:val="001530DE"/>
    <w:rsid w:val="00153811"/>
    <w:rsid w:val="00155AC0"/>
    <w:rsid w:val="00155D7A"/>
    <w:rsid w:val="00156896"/>
    <w:rsid w:val="001571CD"/>
    <w:rsid w:val="00157717"/>
    <w:rsid w:val="001577A5"/>
    <w:rsid w:val="00157934"/>
    <w:rsid w:val="0016171E"/>
    <w:rsid w:val="001618AF"/>
    <w:rsid w:val="0016204E"/>
    <w:rsid w:val="00162431"/>
    <w:rsid w:val="0016287B"/>
    <w:rsid w:val="00162977"/>
    <w:rsid w:val="00162A1F"/>
    <w:rsid w:val="00163429"/>
    <w:rsid w:val="001638EE"/>
    <w:rsid w:val="00166EC2"/>
    <w:rsid w:val="00171BE1"/>
    <w:rsid w:val="00171D65"/>
    <w:rsid w:val="00172A27"/>
    <w:rsid w:val="001747C0"/>
    <w:rsid w:val="00174EB1"/>
    <w:rsid w:val="001752CF"/>
    <w:rsid w:val="001756E2"/>
    <w:rsid w:val="00175CA4"/>
    <w:rsid w:val="00176065"/>
    <w:rsid w:val="00176B77"/>
    <w:rsid w:val="00180A91"/>
    <w:rsid w:val="00181080"/>
    <w:rsid w:val="00181608"/>
    <w:rsid w:val="00181B18"/>
    <w:rsid w:val="00181BF4"/>
    <w:rsid w:val="001826FF"/>
    <w:rsid w:val="00182953"/>
    <w:rsid w:val="00182C27"/>
    <w:rsid w:val="00183628"/>
    <w:rsid w:val="00183A4E"/>
    <w:rsid w:val="00184735"/>
    <w:rsid w:val="00184757"/>
    <w:rsid w:val="001847AF"/>
    <w:rsid w:val="00184C5D"/>
    <w:rsid w:val="00194D5C"/>
    <w:rsid w:val="00196BAA"/>
    <w:rsid w:val="001A0812"/>
    <w:rsid w:val="001A18BB"/>
    <w:rsid w:val="001A1AF5"/>
    <w:rsid w:val="001A1E18"/>
    <w:rsid w:val="001A28D2"/>
    <w:rsid w:val="001A3284"/>
    <w:rsid w:val="001A4F87"/>
    <w:rsid w:val="001A7126"/>
    <w:rsid w:val="001B07D6"/>
    <w:rsid w:val="001B1DF0"/>
    <w:rsid w:val="001B23F3"/>
    <w:rsid w:val="001B29DE"/>
    <w:rsid w:val="001B3188"/>
    <w:rsid w:val="001B5496"/>
    <w:rsid w:val="001C1363"/>
    <w:rsid w:val="001C1B2D"/>
    <w:rsid w:val="001C2826"/>
    <w:rsid w:val="001C30FA"/>
    <w:rsid w:val="001C437C"/>
    <w:rsid w:val="001C4943"/>
    <w:rsid w:val="001C5A1D"/>
    <w:rsid w:val="001C5A6F"/>
    <w:rsid w:val="001C707F"/>
    <w:rsid w:val="001D0D3D"/>
    <w:rsid w:val="001D19CA"/>
    <w:rsid w:val="001D1F27"/>
    <w:rsid w:val="001D2764"/>
    <w:rsid w:val="001D2E4C"/>
    <w:rsid w:val="001D2F69"/>
    <w:rsid w:val="001D4295"/>
    <w:rsid w:val="001D4AE8"/>
    <w:rsid w:val="001D504D"/>
    <w:rsid w:val="001D5AED"/>
    <w:rsid w:val="001D5CA1"/>
    <w:rsid w:val="001D5EEA"/>
    <w:rsid w:val="001D7E45"/>
    <w:rsid w:val="001E2CD4"/>
    <w:rsid w:val="001E46B4"/>
    <w:rsid w:val="001E54D9"/>
    <w:rsid w:val="001E5B05"/>
    <w:rsid w:val="001E6143"/>
    <w:rsid w:val="001E61B8"/>
    <w:rsid w:val="001E6D6F"/>
    <w:rsid w:val="001E7F78"/>
    <w:rsid w:val="001F084E"/>
    <w:rsid w:val="001F08C3"/>
    <w:rsid w:val="001F1141"/>
    <w:rsid w:val="001F178E"/>
    <w:rsid w:val="001F25AE"/>
    <w:rsid w:val="001F28F3"/>
    <w:rsid w:val="001F36B3"/>
    <w:rsid w:val="001F5DB9"/>
    <w:rsid w:val="001F6284"/>
    <w:rsid w:val="001F6B87"/>
    <w:rsid w:val="001F7973"/>
    <w:rsid w:val="001F7ECE"/>
    <w:rsid w:val="002012DC"/>
    <w:rsid w:val="00201701"/>
    <w:rsid w:val="0020177B"/>
    <w:rsid w:val="002022D0"/>
    <w:rsid w:val="002035F9"/>
    <w:rsid w:val="0020422A"/>
    <w:rsid w:val="00204367"/>
    <w:rsid w:val="002047BC"/>
    <w:rsid w:val="0020498C"/>
    <w:rsid w:val="00204A98"/>
    <w:rsid w:val="00205AF9"/>
    <w:rsid w:val="002071D7"/>
    <w:rsid w:val="002075DC"/>
    <w:rsid w:val="00207BDC"/>
    <w:rsid w:val="00213FCE"/>
    <w:rsid w:val="002140EB"/>
    <w:rsid w:val="00216337"/>
    <w:rsid w:val="002167F9"/>
    <w:rsid w:val="0022086C"/>
    <w:rsid w:val="002224C3"/>
    <w:rsid w:val="002235D4"/>
    <w:rsid w:val="002249E9"/>
    <w:rsid w:val="00225A31"/>
    <w:rsid w:val="002276BA"/>
    <w:rsid w:val="00230137"/>
    <w:rsid w:val="00230E47"/>
    <w:rsid w:val="0023277B"/>
    <w:rsid w:val="00233449"/>
    <w:rsid w:val="00234950"/>
    <w:rsid w:val="002354EF"/>
    <w:rsid w:val="00235D59"/>
    <w:rsid w:val="00236402"/>
    <w:rsid w:val="002369D5"/>
    <w:rsid w:val="00236BA6"/>
    <w:rsid w:val="00237779"/>
    <w:rsid w:val="00240413"/>
    <w:rsid w:val="00240BE3"/>
    <w:rsid w:val="00240E7C"/>
    <w:rsid w:val="00241334"/>
    <w:rsid w:val="00241F8F"/>
    <w:rsid w:val="002421A9"/>
    <w:rsid w:val="002424FE"/>
    <w:rsid w:val="00242E67"/>
    <w:rsid w:val="00242F8D"/>
    <w:rsid w:val="0024389A"/>
    <w:rsid w:val="002440FB"/>
    <w:rsid w:val="00245CF7"/>
    <w:rsid w:val="002469B3"/>
    <w:rsid w:val="00246A78"/>
    <w:rsid w:val="002500C3"/>
    <w:rsid w:val="002507B4"/>
    <w:rsid w:val="00250976"/>
    <w:rsid w:val="00251D58"/>
    <w:rsid w:val="002527D0"/>
    <w:rsid w:val="00252AD1"/>
    <w:rsid w:val="00253D83"/>
    <w:rsid w:val="00254737"/>
    <w:rsid w:val="002554B0"/>
    <w:rsid w:val="0025649C"/>
    <w:rsid w:val="002564DD"/>
    <w:rsid w:val="00256C90"/>
    <w:rsid w:val="002570A7"/>
    <w:rsid w:val="002578F1"/>
    <w:rsid w:val="00257C0A"/>
    <w:rsid w:val="002624AE"/>
    <w:rsid w:val="0026548C"/>
    <w:rsid w:val="00265905"/>
    <w:rsid w:val="00265F19"/>
    <w:rsid w:val="00266690"/>
    <w:rsid w:val="002675C9"/>
    <w:rsid w:val="00267D13"/>
    <w:rsid w:val="00272147"/>
    <w:rsid w:val="0027216F"/>
    <w:rsid w:val="00272BA6"/>
    <w:rsid w:val="0027390F"/>
    <w:rsid w:val="00273E81"/>
    <w:rsid w:val="00274567"/>
    <w:rsid w:val="00277498"/>
    <w:rsid w:val="00277EA9"/>
    <w:rsid w:val="0028012E"/>
    <w:rsid w:val="002809F1"/>
    <w:rsid w:val="00280A36"/>
    <w:rsid w:val="0028199B"/>
    <w:rsid w:val="00284829"/>
    <w:rsid w:val="00285BAD"/>
    <w:rsid w:val="002872BE"/>
    <w:rsid w:val="0028733C"/>
    <w:rsid w:val="00291063"/>
    <w:rsid w:val="00291BA3"/>
    <w:rsid w:val="00292969"/>
    <w:rsid w:val="00292D7B"/>
    <w:rsid w:val="00293555"/>
    <w:rsid w:val="00294F02"/>
    <w:rsid w:val="00296235"/>
    <w:rsid w:val="00296647"/>
    <w:rsid w:val="00296697"/>
    <w:rsid w:val="00296FD2"/>
    <w:rsid w:val="00297E53"/>
    <w:rsid w:val="002A040E"/>
    <w:rsid w:val="002A1E0D"/>
    <w:rsid w:val="002A30A1"/>
    <w:rsid w:val="002A30D9"/>
    <w:rsid w:val="002A3C31"/>
    <w:rsid w:val="002A3D1D"/>
    <w:rsid w:val="002A5F75"/>
    <w:rsid w:val="002A62EE"/>
    <w:rsid w:val="002A72EB"/>
    <w:rsid w:val="002A747A"/>
    <w:rsid w:val="002B06CA"/>
    <w:rsid w:val="002B0A81"/>
    <w:rsid w:val="002B2541"/>
    <w:rsid w:val="002B273F"/>
    <w:rsid w:val="002B287B"/>
    <w:rsid w:val="002B2CDB"/>
    <w:rsid w:val="002B4B66"/>
    <w:rsid w:val="002B5F05"/>
    <w:rsid w:val="002B6BA9"/>
    <w:rsid w:val="002B72CD"/>
    <w:rsid w:val="002C01F3"/>
    <w:rsid w:val="002C0356"/>
    <w:rsid w:val="002C09AD"/>
    <w:rsid w:val="002C5FBD"/>
    <w:rsid w:val="002C69F5"/>
    <w:rsid w:val="002C76F7"/>
    <w:rsid w:val="002C791D"/>
    <w:rsid w:val="002D008D"/>
    <w:rsid w:val="002D0D47"/>
    <w:rsid w:val="002D180E"/>
    <w:rsid w:val="002D2EED"/>
    <w:rsid w:val="002D399D"/>
    <w:rsid w:val="002D424D"/>
    <w:rsid w:val="002D4E31"/>
    <w:rsid w:val="002E14F1"/>
    <w:rsid w:val="002E27CC"/>
    <w:rsid w:val="002E4146"/>
    <w:rsid w:val="002E4903"/>
    <w:rsid w:val="002E5AAA"/>
    <w:rsid w:val="002E7C4A"/>
    <w:rsid w:val="002F19FB"/>
    <w:rsid w:val="002F2860"/>
    <w:rsid w:val="002F2A33"/>
    <w:rsid w:val="002F2A39"/>
    <w:rsid w:val="002F35C7"/>
    <w:rsid w:val="002F44D2"/>
    <w:rsid w:val="002F4BE1"/>
    <w:rsid w:val="0030094C"/>
    <w:rsid w:val="00304D32"/>
    <w:rsid w:val="00304DF8"/>
    <w:rsid w:val="00304F12"/>
    <w:rsid w:val="00306EA8"/>
    <w:rsid w:val="0030713C"/>
    <w:rsid w:val="003110BF"/>
    <w:rsid w:val="0031134F"/>
    <w:rsid w:val="00311D45"/>
    <w:rsid w:val="003130A8"/>
    <w:rsid w:val="00313817"/>
    <w:rsid w:val="00313D95"/>
    <w:rsid w:val="00315C49"/>
    <w:rsid w:val="00316977"/>
    <w:rsid w:val="00316CDC"/>
    <w:rsid w:val="003172F4"/>
    <w:rsid w:val="00317AF6"/>
    <w:rsid w:val="00317B34"/>
    <w:rsid w:val="00320C2C"/>
    <w:rsid w:val="00320FB0"/>
    <w:rsid w:val="003215C9"/>
    <w:rsid w:val="003221EA"/>
    <w:rsid w:val="003230D4"/>
    <w:rsid w:val="00323186"/>
    <w:rsid w:val="00325A26"/>
    <w:rsid w:val="00325C9C"/>
    <w:rsid w:val="00326DCA"/>
    <w:rsid w:val="003279EA"/>
    <w:rsid w:val="003300E2"/>
    <w:rsid w:val="00330BBD"/>
    <w:rsid w:val="00332278"/>
    <w:rsid w:val="00332438"/>
    <w:rsid w:val="003333AE"/>
    <w:rsid w:val="00334370"/>
    <w:rsid w:val="003345A6"/>
    <w:rsid w:val="0033578E"/>
    <w:rsid w:val="00335808"/>
    <w:rsid w:val="00335AE7"/>
    <w:rsid w:val="00336E9F"/>
    <w:rsid w:val="003406C3"/>
    <w:rsid w:val="003415BB"/>
    <w:rsid w:val="00342A30"/>
    <w:rsid w:val="00343C2B"/>
    <w:rsid w:val="00343DF1"/>
    <w:rsid w:val="00343E3B"/>
    <w:rsid w:val="0034595E"/>
    <w:rsid w:val="003460FC"/>
    <w:rsid w:val="00346F50"/>
    <w:rsid w:val="00347618"/>
    <w:rsid w:val="00347E6E"/>
    <w:rsid w:val="00347F84"/>
    <w:rsid w:val="00350015"/>
    <w:rsid w:val="00351B85"/>
    <w:rsid w:val="00352321"/>
    <w:rsid w:val="003527A3"/>
    <w:rsid w:val="00352EB2"/>
    <w:rsid w:val="00353464"/>
    <w:rsid w:val="00353727"/>
    <w:rsid w:val="00353846"/>
    <w:rsid w:val="00353B6F"/>
    <w:rsid w:val="00353F9A"/>
    <w:rsid w:val="00354528"/>
    <w:rsid w:val="0035470A"/>
    <w:rsid w:val="003548DE"/>
    <w:rsid w:val="00354BC4"/>
    <w:rsid w:val="0035534C"/>
    <w:rsid w:val="0035569C"/>
    <w:rsid w:val="003568C7"/>
    <w:rsid w:val="00356AF7"/>
    <w:rsid w:val="00357191"/>
    <w:rsid w:val="003572EF"/>
    <w:rsid w:val="003577C1"/>
    <w:rsid w:val="00357AE4"/>
    <w:rsid w:val="003609C6"/>
    <w:rsid w:val="00361B0A"/>
    <w:rsid w:val="0036206A"/>
    <w:rsid w:val="00363B58"/>
    <w:rsid w:val="0036488C"/>
    <w:rsid w:val="0036610E"/>
    <w:rsid w:val="00367732"/>
    <w:rsid w:val="00372151"/>
    <w:rsid w:val="00372680"/>
    <w:rsid w:val="00372B31"/>
    <w:rsid w:val="003733BB"/>
    <w:rsid w:val="003736D3"/>
    <w:rsid w:val="00376DCE"/>
    <w:rsid w:val="0037798A"/>
    <w:rsid w:val="00381114"/>
    <w:rsid w:val="003821D2"/>
    <w:rsid w:val="00383778"/>
    <w:rsid w:val="00383E2D"/>
    <w:rsid w:val="00384A25"/>
    <w:rsid w:val="00385D7A"/>
    <w:rsid w:val="00386161"/>
    <w:rsid w:val="0038637E"/>
    <w:rsid w:val="0038675D"/>
    <w:rsid w:val="003868CD"/>
    <w:rsid w:val="00390282"/>
    <w:rsid w:val="00390914"/>
    <w:rsid w:val="00392C27"/>
    <w:rsid w:val="00392FF8"/>
    <w:rsid w:val="00393019"/>
    <w:rsid w:val="00393855"/>
    <w:rsid w:val="003938AC"/>
    <w:rsid w:val="003953DF"/>
    <w:rsid w:val="003953F7"/>
    <w:rsid w:val="00395E80"/>
    <w:rsid w:val="00397C34"/>
    <w:rsid w:val="003A07BD"/>
    <w:rsid w:val="003A1D88"/>
    <w:rsid w:val="003A2CFD"/>
    <w:rsid w:val="003A2DA1"/>
    <w:rsid w:val="003A39FA"/>
    <w:rsid w:val="003A3BBC"/>
    <w:rsid w:val="003A4703"/>
    <w:rsid w:val="003A4714"/>
    <w:rsid w:val="003A47C6"/>
    <w:rsid w:val="003A554D"/>
    <w:rsid w:val="003A6801"/>
    <w:rsid w:val="003A681F"/>
    <w:rsid w:val="003A6D58"/>
    <w:rsid w:val="003B37B8"/>
    <w:rsid w:val="003B3E0C"/>
    <w:rsid w:val="003B3E12"/>
    <w:rsid w:val="003B53D5"/>
    <w:rsid w:val="003B5BDF"/>
    <w:rsid w:val="003B7212"/>
    <w:rsid w:val="003B7676"/>
    <w:rsid w:val="003C03B0"/>
    <w:rsid w:val="003C161C"/>
    <w:rsid w:val="003C22AD"/>
    <w:rsid w:val="003C2C0B"/>
    <w:rsid w:val="003C313E"/>
    <w:rsid w:val="003C42F0"/>
    <w:rsid w:val="003C487C"/>
    <w:rsid w:val="003C6314"/>
    <w:rsid w:val="003C755A"/>
    <w:rsid w:val="003C7FF1"/>
    <w:rsid w:val="003D25D9"/>
    <w:rsid w:val="003D2932"/>
    <w:rsid w:val="003D2FC1"/>
    <w:rsid w:val="003D3373"/>
    <w:rsid w:val="003D4265"/>
    <w:rsid w:val="003D4BA9"/>
    <w:rsid w:val="003D5901"/>
    <w:rsid w:val="003D5E28"/>
    <w:rsid w:val="003D6429"/>
    <w:rsid w:val="003D7294"/>
    <w:rsid w:val="003E1699"/>
    <w:rsid w:val="003E25B5"/>
    <w:rsid w:val="003E2AEA"/>
    <w:rsid w:val="003E2B2D"/>
    <w:rsid w:val="003E2C67"/>
    <w:rsid w:val="003E67C0"/>
    <w:rsid w:val="003E79C0"/>
    <w:rsid w:val="003F0144"/>
    <w:rsid w:val="003F0AB3"/>
    <w:rsid w:val="003F1A4A"/>
    <w:rsid w:val="003F24AE"/>
    <w:rsid w:val="003F2C7A"/>
    <w:rsid w:val="003F2E4C"/>
    <w:rsid w:val="003F37EE"/>
    <w:rsid w:val="003F475F"/>
    <w:rsid w:val="003F56DE"/>
    <w:rsid w:val="003F69E5"/>
    <w:rsid w:val="003F6A46"/>
    <w:rsid w:val="003F7417"/>
    <w:rsid w:val="003F7618"/>
    <w:rsid w:val="003F7735"/>
    <w:rsid w:val="00400AFD"/>
    <w:rsid w:val="00400ED5"/>
    <w:rsid w:val="00401117"/>
    <w:rsid w:val="00401D70"/>
    <w:rsid w:val="00402097"/>
    <w:rsid w:val="004029AF"/>
    <w:rsid w:val="00403E52"/>
    <w:rsid w:val="00404A87"/>
    <w:rsid w:val="00405081"/>
    <w:rsid w:val="00405279"/>
    <w:rsid w:val="0040554F"/>
    <w:rsid w:val="0040621A"/>
    <w:rsid w:val="0040643E"/>
    <w:rsid w:val="00407538"/>
    <w:rsid w:val="0041055B"/>
    <w:rsid w:val="00410D9C"/>
    <w:rsid w:val="00411D47"/>
    <w:rsid w:val="00412BDE"/>
    <w:rsid w:val="00412D3F"/>
    <w:rsid w:val="004133D4"/>
    <w:rsid w:val="004143B9"/>
    <w:rsid w:val="0041446B"/>
    <w:rsid w:val="004146D0"/>
    <w:rsid w:val="00415CD1"/>
    <w:rsid w:val="00416BAE"/>
    <w:rsid w:val="004177D4"/>
    <w:rsid w:val="004202B3"/>
    <w:rsid w:val="00420DF2"/>
    <w:rsid w:val="00421ECB"/>
    <w:rsid w:val="00421F4D"/>
    <w:rsid w:val="0042381F"/>
    <w:rsid w:val="00424004"/>
    <w:rsid w:val="0042481E"/>
    <w:rsid w:val="00424866"/>
    <w:rsid w:val="00430943"/>
    <w:rsid w:val="00430BC8"/>
    <w:rsid w:val="00431426"/>
    <w:rsid w:val="0043215F"/>
    <w:rsid w:val="00432536"/>
    <w:rsid w:val="00432EB3"/>
    <w:rsid w:val="0043370A"/>
    <w:rsid w:val="00433E69"/>
    <w:rsid w:val="0043453F"/>
    <w:rsid w:val="00434E99"/>
    <w:rsid w:val="00435407"/>
    <w:rsid w:val="0043560F"/>
    <w:rsid w:val="0043626D"/>
    <w:rsid w:val="004402FA"/>
    <w:rsid w:val="0044073C"/>
    <w:rsid w:val="0044138D"/>
    <w:rsid w:val="00443B96"/>
    <w:rsid w:val="00443C17"/>
    <w:rsid w:val="00444360"/>
    <w:rsid w:val="00445066"/>
    <w:rsid w:val="00445D28"/>
    <w:rsid w:val="004476D4"/>
    <w:rsid w:val="00450A89"/>
    <w:rsid w:val="0045106E"/>
    <w:rsid w:val="0045153C"/>
    <w:rsid w:val="00451BEA"/>
    <w:rsid w:val="00452328"/>
    <w:rsid w:val="00452E71"/>
    <w:rsid w:val="0045467E"/>
    <w:rsid w:val="00455A16"/>
    <w:rsid w:val="00457AEB"/>
    <w:rsid w:val="00460FAB"/>
    <w:rsid w:val="00461021"/>
    <w:rsid w:val="004614A6"/>
    <w:rsid w:val="004618BE"/>
    <w:rsid w:val="004625AD"/>
    <w:rsid w:val="00462D36"/>
    <w:rsid w:val="004640EB"/>
    <w:rsid w:val="00466995"/>
    <w:rsid w:val="00467401"/>
    <w:rsid w:val="004676DF"/>
    <w:rsid w:val="00467ADF"/>
    <w:rsid w:val="004703F1"/>
    <w:rsid w:val="00471AD8"/>
    <w:rsid w:val="00473786"/>
    <w:rsid w:val="0047512A"/>
    <w:rsid w:val="00475727"/>
    <w:rsid w:val="004800D0"/>
    <w:rsid w:val="00480B6E"/>
    <w:rsid w:val="00480D50"/>
    <w:rsid w:val="0048142D"/>
    <w:rsid w:val="00482803"/>
    <w:rsid w:val="00483379"/>
    <w:rsid w:val="004843EA"/>
    <w:rsid w:val="00484DFE"/>
    <w:rsid w:val="0048536B"/>
    <w:rsid w:val="004854BB"/>
    <w:rsid w:val="00490DC7"/>
    <w:rsid w:val="00492B67"/>
    <w:rsid w:val="00493A76"/>
    <w:rsid w:val="004940FA"/>
    <w:rsid w:val="00496B0A"/>
    <w:rsid w:val="00497501"/>
    <w:rsid w:val="004975AD"/>
    <w:rsid w:val="004A0135"/>
    <w:rsid w:val="004A0263"/>
    <w:rsid w:val="004A145D"/>
    <w:rsid w:val="004A16C1"/>
    <w:rsid w:val="004A2AD4"/>
    <w:rsid w:val="004A3413"/>
    <w:rsid w:val="004A4DAE"/>
    <w:rsid w:val="004A57F5"/>
    <w:rsid w:val="004A672F"/>
    <w:rsid w:val="004A6EB5"/>
    <w:rsid w:val="004B04B5"/>
    <w:rsid w:val="004B05F4"/>
    <w:rsid w:val="004B0D8D"/>
    <w:rsid w:val="004B20CF"/>
    <w:rsid w:val="004B2298"/>
    <w:rsid w:val="004B34F5"/>
    <w:rsid w:val="004B3F19"/>
    <w:rsid w:val="004B5582"/>
    <w:rsid w:val="004C1A1D"/>
    <w:rsid w:val="004C3D3E"/>
    <w:rsid w:val="004C3EE1"/>
    <w:rsid w:val="004C49A6"/>
    <w:rsid w:val="004C50A4"/>
    <w:rsid w:val="004C532E"/>
    <w:rsid w:val="004C620D"/>
    <w:rsid w:val="004C6679"/>
    <w:rsid w:val="004C66A9"/>
    <w:rsid w:val="004C68F0"/>
    <w:rsid w:val="004C77FB"/>
    <w:rsid w:val="004C7D40"/>
    <w:rsid w:val="004D09C7"/>
    <w:rsid w:val="004D0DCE"/>
    <w:rsid w:val="004D1298"/>
    <w:rsid w:val="004D245A"/>
    <w:rsid w:val="004D3398"/>
    <w:rsid w:val="004D3BC2"/>
    <w:rsid w:val="004D3F84"/>
    <w:rsid w:val="004D4502"/>
    <w:rsid w:val="004D4A2F"/>
    <w:rsid w:val="004D693A"/>
    <w:rsid w:val="004D7ECF"/>
    <w:rsid w:val="004E0ABE"/>
    <w:rsid w:val="004E139B"/>
    <w:rsid w:val="004E3980"/>
    <w:rsid w:val="004E4710"/>
    <w:rsid w:val="004E4AA1"/>
    <w:rsid w:val="004E53E6"/>
    <w:rsid w:val="004E62A8"/>
    <w:rsid w:val="004E69E5"/>
    <w:rsid w:val="004F134B"/>
    <w:rsid w:val="004F15E8"/>
    <w:rsid w:val="004F1D68"/>
    <w:rsid w:val="004F2BEC"/>
    <w:rsid w:val="004F4AAE"/>
    <w:rsid w:val="004F5B3B"/>
    <w:rsid w:val="004F5DF8"/>
    <w:rsid w:val="004F6368"/>
    <w:rsid w:val="004F6921"/>
    <w:rsid w:val="0050241A"/>
    <w:rsid w:val="00502A47"/>
    <w:rsid w:val="00503EA2"/>
    <w:rsid w:val="005042CC"/>
    <w:rsid w:val="00504DCF"/>
    <w:rsid w:val="00504EDC"/>
    <w:rsid w:val="00504EF4"/>
    <w:rsid w:val="00505BB3"/>
    <w:rsid w:val="00505C7E"/>
    <w:rsid w:val="0050715F"/>
    <w:rsid w:val="00507526"/>
    <w:rsid w:val="005075BF"/>
    <w:rsid w:val="00510209"/>
    <w:rsid w:val="005103CD"/>
    <w:rsid w:val="00510AE4"/>
    <w:rsid w:val="00510C65"/>
    <w:rsid w:val="00511B0C"/>
    <w:rsid w:val="005121A2"/>
    <w:rsid w:val="005130D6"/>
    <w:rsid w:val="00513625"/>
    <w:rsid w:val="0051483C"/>
    <w:rsid w:val="0051575F"/>
    <w:rsid w:val="00515C50"/>
    <w:rsid w:val="00517DA1"/>
    <w:rsid w:val="00517EFD"/>
    <w:rsid w:val="00520020"/>
    <w:rsid w:val="005201D7"/>
    <w:rsid w:val="005206C3"/>
    <w:rsid w:val="00520FF9"/>
    <w:rsid w:val="0052157C"/>
    <w:rsid w:val="0052292A"/>
    <w:rsid w:val="00522D82"/>
    <w:rsid w:val="005239B8"/>
    <w:rsid w:val="005254BE"/>
    <w:rsid w:val="00525524"/>
    <w:rsid w:val="00525ADD"/>
    <w:rsid w:val="005263D7"/>
    <w:rsid w:val="0052742C"/>
    <w:rsid w:val="00530F26"/>
    <w:rsid w:val="00532224"/>
    <w:rsid w:val="0053371E"/>
    <w:rsid w:val="00533FE5"/>
    <w:rsid w:val="00534451"/>
    <w:rsid w:val="00534532"/>
    <w:rsid w:val="00534B94"/>
    <w:rsid w:val="00535C1B"/>
    <w:rsid w:val="005365BC"/>
    <w:rsid w:val="00537376"/>
    <w:rsid w:val="00537492"/>
    <w:rsid w:val="005405FB"/>
    <w:rsid w:val="00540A4F"/>
    <w:rsid w:val="00542B6C"/>
    <w:rsid w:val="00543974"/>
    <w:rsid w:val="005450C6"/>
    <w:rsid w:val="00545DD4"/>
    <w:rsid w:val="00547E7E"/>
    <w:rsid w:val="005503FA"/>
    <w:rsid w:val="00550FBA"/>
    <w:rsid w:val="005518CA"/>
    <w:rsid w:val="005532AF"/>
    <w:rsid w:val="005542BF"/>
    <w:rsid w:val="0055565D"/>
    <w:rsid w:val="00555C9B"/>
    <w:rsid w:val="00556B63"/>
    <w:rsid w:val="00557C88"/>
    <w:rsid w:val="0056120D"/>
    <w:rsid w:val="00561217"/>
    <w:rsid w:val="005613A0"/>
    <w:rsid w:val="005667B7"/>
    <w:rsid w:val="00570628"/>
    <w:rsid w:val="00570FA0"/>
    <w:rsid w:val="0057335D"/>
    <w:rsid w:val="00574BDE"/>
    <w:rsid w:val="00575818"/>
    <w:rsid w:val="00575D18"/>
    <w:rsid w:val="005770F3"/>
    <w:rsid w:val="0058008A"/>
    <w:rsid w:val="005813C3"/>
    <w:rsid w:val="005815AA"/>
    <w:rsid w:val="00582B7F"/>
    <w:rsid w:val="00582F78"/>
    <w:rsid w:val="005834A8"/>
    <w:rsid w:val="00583D30"/>
    <w:rsid w:val="00585569"/>
    <w:rsid w:val="00585A3E"/>
    <w:rsid w:val="00586529"/>
    <w:rsid w:val="00587B7E"/>
    <w:rsid w:val="005907AD"/>
    <w:rsid w:val="0059143B"/>
    <w:rsid w:val="00592EE7"/>
    <w:rsid w:val="0059439A"/>
    <w:rsid w:val="00594B76"/>
    <w:rsid w:val="005950FC"/>
    <w:rsid w:val="0059547B"/>
    <w:rsid w:val="00595976"/>
    <w:rsid w:val="005969AD"/>
    <w:rsid w:val="0059721C"/>
    <w:rsid w:val="005A0A94"/>
    <w:rsid w:val="005A0C45"/>
    <w:rsid w:val="005A1164"/>
    <w:rsid w:val="005A16F0"/>
    <w:rsid w:val="005A2FBC"/>
    <w:rsid w:val="005A3162"/>
    <w:rsid w:val="005A3DDB"/>
    <w:rsid w:val="005A4903"/>
    <w:rsid w:val="005A4A99"/>
    <w:rsid w:val="005A55B8"/>
    <w:rsid w:val="005A5767"/>
    <w:rsid w:val="005A5D5F"/>
    <w:rsid w:val="005A63E5"/>
    <w:rsid w:val="005A677D"/>
    <w:rsid w:val="005A6B5F"/>
    <w:rsid w:val="005A7711"/>
    <w:rsid w:val="005B0D8B"/>
    <w:rsid w:val="005B17F7"/>
    <w:rsid w:val="005B1E5A"/>
    <w:rsid w:val="005B1FCA"/>
    <w:rsid w:val="005B25CE"/>
    <w:rsid w:val="005B2765"/>
    <w:rsid w:val="005B3DEA"/>
    <w:rsid w:val="005B417B"/>
    <w:rsid w:val="005B42F7"/>
    <w:rsid w:val="005B51FE"/>
    <w:rsid w:val="005B52CF"/>
    <w:rsid w:val="005B5536"/>
    <w:rsid w:val="005C05F2"/>
    <w:rsid w:val="005C0C33"/>
    <w:rsid w:val="005C1163"/>
    <w:rsid w:val="005C2911"/>
    <w:rsid w:val="005C57CE"/>
    <w:rsid w:val="005C64CE"/>
    <w:rsid w:val="005C766C"/>
    <w:rsid w:val="005D0BBC"/>
    <w:rsid w:val="005D3EA7"/>
    <w:rsid w:val="005D4F0F"/>
    <w:rsid w:val="005D5AF8"/>
    <w:rsid w:val="005D5CF8"/>
    <w:rsid w:val="005D6C51"/>
    <w:rsid w:val="005D6D69"/>
    <w:rsid w:val="005D7290"/>
    <w:rsid w:val="005D7D91"/>
    <w:rsid w:val="005E020A"/>
    <w:rsid w:val="005E3656"/>
    <w:rsid w:val="005E4438"/>
    <w:rsid w:val="005E7104"/>
    <w:rsid w:val="005F12FA"/>
    <w:rsid w:val="005F18DE"/>
    <w:rsid w:val="005F1C6A"/>
    <w:rsid w:val="005F1C7B"/>
    <w:rsid w:val="005F2DF3"/>
    <w:rsid w:val="005F2DFA"/>
    <w:rsid w:val="005F3983"/>
    <w:rsid w:val="005F3E76"/>
    <w:rsid w:val="005F4473"/>
    <w:rsid w:val="005F4C0B"/>
    <w:rsid w:val="005F55E8"/>
    <w:rsid w:val="005F5901"/>
    <w:rsid w:val="005F7757"/>
    <w:rsid w:val="005F7B2A"/>
    <w:rsid w:val="00601541"/>
    <w:rsid w:val="006018AC"/>
    <w:rsid w:val="00601C58"/>
    <w:rsid w:val="006032EB"/>
    <w:rsid w:val="0060483F"/>
    <w:rsid w:val="006048E6"/>
    <w:rsid w:val="00604B1D"/>
    <w:rsid w:val="00604D80"/>
    <w:rsid w:val="00606BF4"/>
    <w:rsid w:val="00607908"/>
    <w:rsid w:val="00612AFB"/>
    <w:rsid w:val="00613059"/>
    <w:rsid w:val="006144CE"/>
    <w:rsid w:val="00614872"/>
    <w:rsid w:val="00615AA0"/>
    <w:rsid w:val="00616066"/>
    <w:rsid w:val="006164BD"/>
    <w:rsid w:val="006179C4"/>
    <w:rsid w:val="006203FC"/>
    <w:rsid w:val="006209C4"/>
    <w:rsid w:val="00621159"/>
    <w:rsid w:val="00622ACD"/>
    <w:rsid w:val="0062391B"/>
    <w:rsid w:val="00623E38"/>
    <w:rsid w:val="00623FBB"/>
    <w:rsid w:val="00624816"/>
    <w:rsid w:val="006256CB"/>
    <w:rsid w:val="006257F1"/>
    <w:rsid w:val="006260DB"/>
    <w:rsid w:val="006266E3"/>
    <w:rsid w:val="006270D7"/>
    <w:rsid w:val="006306DC"/>
    <w:rsid w:val="00632102"/>
    <w:rsid w:val="006325ED"/>
    <w:rsid w:val="00633536"/>
    <w:rsid w:val="00633F2C"/>
    <w:rsid w:val="0063444F"/>
    <w:rsid w:val="0063563A"/>
    <w:rsid w:val="00636062"/>
    <w:rsid w:val="00636527"/>
    <w:rsid w:val="00636AE0"/>
    <w:rsid w:val="006377B6"/>
    <w:rsid w:val="006412FC"/>
    <w:rsid w:val="00641E86"/>
    <w:rsid w:val="006426A2"/>
    <w:rsid w:val="00642E67"/>
    <w:rsid w:val="0064381B"/>
    <w:rsid w:val="0064387D"/>
    <w:rsid w:val="00644E22"/>
    <w:rsid w:val="0064538E"/>
    <w:rsid w:val="0064544F"/>
    <w:rsid w:val="006473D4"/>
    <w:rsid w:val="006518B8"/>
    <w:rsid w:val="006519C9"/>
    <w:rsid w:val="00653610"/>
    <w:rsid w:val="00654074"/>
    <w:rsid w:val="0065433E"/>
    <w:rsid w:val="00655268"/>
    <w:rsid w:val="00657947"/>
    <w:rsid w:val="00657CED"/>
    <w:rsid w:val="006606D6"/>
    <w:rsid w:val="0066127F"/>
    <w:rsid w:val="0066151B"/>
    <w:rsid w:val="00661783"/>
    <w:rsid w:val="00661B7E"/>
    <w:rsid w:val="00661BDD"/>
    <w:rsid w:val="00662313"/>
    <w:rsid w:val="00663462"/>
    <w:rsid w:val="00663928"/>
    <w:rsid w:val="00663EBB"/>
    <w:rsid w:val="00664937"/>
    <w:rsid w:val="00664995"/>
    <w:rsid w:val="006649C3"/>
    <w:rsid w:val="00664B96"/>
    <w:rsid w:val="00664C4F"/>
    <w:rsid w:val="00665044"/>
    <w:rsid w:val="0066737B"/>
    <w:rsid w:val="00671EA7"/>
    <w:rsid w:val="006722C7"/>
    <w:rsid w:val="00672FEC"/>
    <w:rsid w:val="00673D2C"/>
    <w:rsid w:val="00674445"/>
    <w:rsid w:val="00674CB8"/>
    <w:rsid w:val="0067603C"/>
    <w:rsid w:val="00676C52"/>
    <w:rsid w:val="0067743E"/>
    <w:rsid w:val="00677630"/>
    <w:rsid w:val="00677AE3"/>
    <w:rsid w:val="006804B0"/>
    <w:rsid w:val="00680C2C"/>
    <w:rsid w:val="00682A6B"/>
    <w:rsid w:val="00682D5E"/>
    <w:rsid w:val="00683A37"/>
    <w:rsid w:val="00684DBE"/>
    <w:rsid w:val="00685571"/>
    <w:rsid w:val="006912A5"/>
    <w:rsid w:val="00692ADF"/>
    <w:rsid w:val="00693AD4"/>
    <w:rsid w:val="006951E1"/>
    <w:rsid w:val="006954E7"/>
    <w:rsid w:val="006956F8"/>
    <w:rsid w:val="00695B25"/>
    <w:rsid w:val="00696CB6"/>
    <w:rsid w:val="00696F09"/>
    <w:rsid w:val="0069707C"/>
    <w:rsid w:val="00697562"/>
    <w:rsid w:val="006A0513"/>
    <w:rsid w:val="006A10C2"/>
    <w:rsid w:val="006A2B53"/>
    <w:rsid w:val="006A347F"/>
    <w:rsid w:val="006A3FB5"/>
    <w:rsid w:val="006A5272"/>
    <w:rsid w:val="006A57F6"/>
    <w:rsid w:val="006A6AFA"/>
    <w:rsid w:val="006A7917"/>
    <w:rsid w:val="006A7C2D"/>
    <w:rsid w:val="006B0561"/>
    <w:rsid w:val="006B08A5"/>
    <w:rsid w:val="006B1413"/>
    <w:rsid w:val="006B1A0D"/>
    <w:rsid w:val="006B1BAA"/>
    <w:rsid w:val="006B1DD8"/>
    <w:rsid w:val="006B2C52"/>
    <w:rsid w:val="006B5980"/>
    <w:rsid w:val="006B6232"/>
    <w:rsid w:val="006B6366"/>
    <w:rsid w:val="006B6BA0"/>
    <w:rsid w:val="006B7655"/>
    <w:rsid w:val="006C0B87"/>
    <w:rsid w:val="006C116E"/>
    <w:rsid w:val="006C1CDC"/>
    <w:rsid w:val="006C2DB4"/>
    <w:rsid w:val="006C3AD9"/>
    <w:rsid w:val="006C3DEF"/>
    <w:rsid w:val="006C46AF"/>
    <w:rsid w:val="006C4EB6"/>
    <w:rsid w:val="006C54A0"/>
    <w:rsid w:val="006C5E59"/>
    <w:rsid w:val="006C7049"/>
    <w:rsid w:val="006D0FF4"/>
    <w:rsid w:val="006D1271"/>
    <w:rsid w:val="006D14DD"/>
    <w:rsid w:val="006D19C4"/>
    <w:rsid w:val="006D2294"/>
    <w:rsid w:val="006D2CCB"/>
    <w:rsid w:val="006D4266"/>
    <w:rsid w:val="006D5166"/>
    <w:rsid w:val="006D6D6F"/>
    <w:rsid w:val="006D710E"/>
    <w:rsid w:val="006D75F6"/>
    <w:rsid w:val="006E04B4"/>
    <w:rsid w:val="006E06BD"/>
    <w:rsid w:val="006E1616"/>
    <w:rsid w:val="006E28D1"/>
    <w:rsid w:val="006E327B"/>
    <w:rsid w:val="006E36EC"/>
    <w:rsid w:val="006E4A29"/>
    <w:rsid w:val="006E509E"/>
    <w:rsid w:val="006E51F0"/>
    <w:rsid w:val="006E6193"/>
    <w:rsid w:val="006E6468"/>
    <w:rsid w:val="006E70BF"/>
    <w:rsid w:val="006E725B"/>
    <w:rsid w:val="006F0221"/>
    <w:rsid w:val="006F218D"/>
    <w:rsid w:val="006F2B9D"/>
    <w:rsid w:val="006F3DCE"/>
    <w:rsid w:val="006F4086"/>
    <w:rsid w:val="006F4694"/>
    <w:rsid w:val="006F7AA9"/>
    <w:rsid w:val="007016AB"/>
    <w:rsid w:val="00702CBB"/>
    <w:rsid w:val="00704DE2"/>
    <w:rsid w:val="00704E10"/>
    <w:rsid w:val="0070610B"/>
    <w:rsid w:val="007063C4"/>
    <w:rsid w:val="0070658C"/>
    <w:rsid w:val="00706D92"/>
    <w:rsid w:val="00706E72"/>
    <w:rsid w:val="0070793A"/>
    <w:rsid w:val="00707C4C"/>
    <w:rsid w:val="007104B8"/>
    <w:rsid w:val="00710A18"/>
    <w:rsid w:val="007114B2"/>
    <w:rsid w:val="00712BEB"/>
    <w:rsid w:val="00713E87"/>
    <w:rsid w:val="007146FC"/>
    <w:rsid w:val="00716A5B"/>
    <w:rsid w:val="00717096"/>
    <w:rsid w:val="007214CB"/>
    <w:rsid w:val="00721FC4"/>
    <w:rsid w:val="00722A12"/>
    <w:rsid w:val="00723DD1"/>
    <w:rsid w:val="00724099"/>
    <w:rsid w:val="0072427E"/>
    <w:rsid w:val="00724EC9"/>
    <w:rsid w:val="00725525"/>
    <w:rsid w:val="007257E9"/>
    <w:rsid w:val="0072725F"/>
    <w:rsid w:val="00731EF0"/>
    <w:rsid w:val="0073237E"/>
    <w:rsid w:val="00733876"/>
    <w:rsid w:val="0073470B"/>
    <w:rsid w:val="00734E79"/>
    <w:rsid w:val="00735B9E"/>
    <w:rsid w:val="00735CD4"/>
    <w:rsid w:val="00737607"/>
    <w:rsid w:val="0074004A"/>
    <w:rsid w:val="00740377"/>
    <w:rsid w:val="00740F08"/>
    <w:rsid w:val="0074143A"/>
    <w:rsid w:val="00741F0F"/>
    <w:rsid w:val="00742CED"/>
    <w:rsid w:val="00742D54"/>
    <w:rsid w:val="00742E13"/>
    <w:rsid w:val="00745502"/>
    <w:rsid w:val="00745DB4"/>
    <w:rsid w:val="007476F0"/>
    <w:rsid w:val="00750785"/>
    <w:rsid w:val="00750EA8"/>
    <w:rsid w:val="0075205B"/>
    <w:rsid w:val="00752115"/>
    <w:rsid w:val="00752B31"/>
    <w:rsid w:val="007533A4"/>
    <w:rsid w:val="0075356C"/>
    <w:rsid w:val="00756D09"/>
    <w:rsid w:val="00760D8C"/>
    <w:rsid w:val="00761BFB"/>
    <w:rsid w:val="00761C61"/>
    <w:rsid w:val="00763243"/>
    <w:rsid w:val="00763E2A"/>
    <w:rsid w:val="00763F79"/>
    <w:rsid w:val="0076439A"/>
    <w:rsid w:val="00764534"/>
    <w:rsid w:val="0076503A"/>
    <w:rsid w:val="00765666"/>
    <w:rsid w:val="0076589E"/>
    <w:rsid w:val="00767C9F"/>
    <w:rsid w:val="0077030D"/>
    <w:rsid w:val="00770349"/>
    <w:rsid w:val="00770C37"/>
    <w:rsid w:val="0077109B"/>
    <w:rsid w:val="0077279B"/>
    <w:rsid w:val="007735A8"/>
    <w:rsid w:val="00774778"/>
    <w:rsid w:val="00774B59"/>
    <w:rsid w:val="00776828"/>
    <w:rsid w:val="00776AB4"/>
    <w:rsid w:val="00777442"/>
    <w:rsid w:val="0077782C"/>
    <w:rsid w:val="0078030C"/>
    <w:rsid w:val="0078113C"/>
    <w:rsid w:val="007816C0"/>
    <w:rsid w:val="00781C90"/>
    <w:rsid w:val="00783042"/>
    <w:rsid w:val="00785990"/>
    <w:rsid w:val="00785D96"/>
    <w:rsid w:val="007867E4"/>
    <w:rsid w:val="0078717F"/>
    <w:rsid w:val="007875B8"/>
    <w:rsid w:val="00787D85"/>
    <w:rsid w:val="007904C5"/>
    <w:rsid w:val="0079076C"/>
    <w:rsid w:val="007909DD"/>
    <w:rsid w:val="007915A2"/>
    <w:rsid w:val="007916C8"/>
    <w:rsid w:val="00791ADD"/>
    <w:rsid w:val="00792B9A"/>
    <w:rsid w:val="00794A01"/>
    <w:rsid w:val="00794A23"/>
    <w:rsid w:val="007A1528"/>
    <w:rsid w:val="007A1548"/>
    <w:rsid w:val="007A2793"/>
    <w:rsid w:val="007A3B8F"/>
    <w:rsid w:val="007A3C21"/>
    <w:rsid w:val="007A5089"/>
    <w:rsid w:val="007A56E5"/>
    <w:rsid w:val="007A578D"/>
    <w:rsid w:val="007A7610"/>
    <w:rsid w:val="007B0926"/>
    <w:rsid w:val="007B31AD"/>
    <w:rsid w:val="007B443F"/>
    <w:rsid w:val="007B449C"/>
    <w:rsid w:val="007B6DFD"/>
    <w:rsid w:val="007B720C"/>
    <w:rsid w:val="007C0A3C"/>
    <w:rsid w:val="007C24E3"/>
    <w:rsid w:val="007C32A5"/>
    <w:rsid w:val="007C345F"/>
    <w:rsid w:val="007C3471"/>
    <w:rsid w:val="007C3D3B"/>
    <w:rsid w:val="007C4862"/>
    <w:rsid w:val="007C501C"/>
    <w:rsid w:val="007C5661"/>
    <w:rsid w:val="007C6846"/>
    <w:rsid w:val="007C7469"/>
    <w:rsid w:val="007C7DC3"/>
    <w:rsid w:val="007D2DAB"/>
    <w:rsid w:val="007D307A"/>
    <w:rsid w:val="007D3E89"/>
    <w:rsid w:val="007D4016"/>
    <w:rsid w:val="007D56EB"/>
    <w:rsid w:val="007D5E34"/>
    <w:rsid w:val="007D65C9"/>
    <w:rsid w:val="007D6F51"/>
    <w:rsid w:val="007E28BC"/>
    <w:rsid w:val="007E2E67"/>
    <w:rsid w:val="007E58AC"/>
    <w:rsid w:val="007E599F"/>
    <w:rsid w:val="007E6252"/>
    <w:rsid w:val="007E625E"/>
    <w:rsid w:val="007E6B41"/>
    <w:rsid w:val="007F06F8"/>
    <w:rsid w:val="007F0880"/>
    <w:rsid w:val="007F12D0"/>
    <w:rsid w:val="007F1AD2"/>
    <w:rsid w:val="007F1DD3"/>
    <w:rsid w:val="007F37A5"/>
    <w:rsid w:val="007F4157"/>
    <w:rsid w:val="007F4298"/>
    <w:rsid w:val="007F4C61"/>
    <w:rsid w:val="007F4D9C"/>
    <w:rsid w:val="007F52CB"/>
    <w:rsid w:val="007F70F0"/>
    <w:rsid w:val="007F715E"/>
    <w:rsid w:val="007F75AD"/>
    <w:rsid w:val="00800ACD"/>
    <w:rsid w:val="00800E55"/>
    <w:rsid w:val="00800EF9"/>
    <w:rsid w:val="00801A31"/>
    <w:rsid w:val="00803A80"/>
    <w:rsid w:val="00803B9A"/>
    <w:rsid w:val="00804DB4"/>
    <w:rsid w:val="0081037E"/>
    <w:rsid w:val="0081132B"/>
    <w:rsid w:val="00814B97"/>
    <w:rsid w:val="00815698"/>
    <w:rsid w:val="00816895"/>
    <w:rsid w:val="00816A95"/>
    <w:rsid w:val="0082160B"/>
    <w:rsid w:val="00821E90"/>
    <w:rsid w:val="00822393"/>
    <w:rsid w:val="00823A87"/>
    <w:rsid w:val="0082457E"/>
    <w:rsid w:val="00824C41"/>
    <w:rsid w:val="008256E7"/>
    <w:rsid w:val="0082573E"/>
    <w:rsid w:val="00825C4B"/>
    <w:rsid w:val="008261DF"/>
    <w:rsid w:val="00826CCC"/>
    <w:rsid w:val="00827A14"/>
    <w:rsid w:val="00827F32"/>
    <w:rsid w:val="00830D09"/>
    <w:rsid w:val="008314E4"/>
    <w:rsid w:val="00832214"/>
    <w:rsid w:val="008327A7"/>
    <w:rsid w:val="00833C53"/>
    <w:rsid w:val="008345F0"/>
    <w:rsid w:val="00834874"/>
    <w:rsid w:val="008354A7"/>
    <w:rsid w:val="008355E8"/>
    <w:rsid w:val="008356E3"/>
    <w:rsid w:val="00837AC2"/>
    <w:rsid w:val="00837E23"/>
    <w:rsid w:val="008403A2"/>
    <w:rsid w:val="008408D1"/>
    <w:rsid w:val="00841EB5"/>
    <w:rsid w:val="00841F9A"/>
    <w:rsid w:val="00843FF5"/>
    <w:rsid w:val="00844578"/>
    <w:rsid w:val="0084461B"/>
    <w:rsid w:val="00844BFB"/>
    <w:rsid w:val="00845C58"/>
    <w:rsid w:val="0084732F"/>
    <w:rsid w:val="008478B0"/>
    <w:rsid w:val="00847BB1"/>
    <w:rsid w:val="008519A5"/>
    <w:rsid w:val="00852605"/>
    <w:rsid w:val="008532E1"/>
    <w:rsid w:val="00853448"/>
    <w:rsid w:val="00861E3D"/>
    <w:rsid w:val="00862DA8"/>
    <w:rsid w:val="00863A72"/>
    <w:rsid w:val="00863B2A"/>
    <w:rsid w:val="00865AC4"/>
    <w:rsid w:val="008660CC"/>
    <w:rsid w:val="0087020C"/>
    <w:rsid w:val="008703E1"/>
    <w:rsid w:val="00870B00"/>
    <w:rsid w:val="00870DEA"/>
    <w:rsid w:val="00871C97"/>
    <w:rsid w:val="00872BC8"/>
    <w:rsid w:val="008734D9"/>
    <w:rsid w:val="00874669"/>
    <w:rsid w:val="008749A4"/>
    <w:rsid w:val="008758A6"/>
    <w:rsid w:val="00876596"/>
    <w:rsid w:val="0087743E"/>
    <w:rsid w:val="00877C02"/>
    <w:rsid w:val="008800B0"/>
    <w:rsid w:val="00880A7E"/>
    <w:rsid w:val="00881011"/>
    <w:rsid w:val="008811AA"/>
    <w:rsid w:val="008813EB"/>
    <w:rsid w:val="0088198B"/>
    <w:rsid w:val="00882501"/>
    <w:rsid w:val="0088343D"/>
    <w:rsid w:val="008835E1"/>
    <w:rsid w:val="008837C8"/>
    <w:rsid w:val="00883FDA"/>
    <w:rsid w:val="00884015"/>
    <w:rsid w:val="00884416"/>
    <w:rsid w:val="008854DD"/>
    <w:rsid w:val="008869CF"/>
    <w:rsid w:val="00886E35"/>
    <w:rsid w:val="008870F2"/>
    <w:rsid w:val="00891034"/>
    <w:rsid w:val="0089305B"/>
    <w:rsid w:val="00893C55"/>
    <w:rsid w:val="0089569F"/>
    <w:rsid w:val="008958F2"/>
    <w:rsid w:val="00897B94"/>
    <w:rsid w:val="008A18A2"/>
    <w:rsid w:val="008A2369"/>
    <w:rsid w:val="008A2719"/>
    <w:rsid w:val="008A2BA2"/>
    <w:rsid w:val="008A6917"/>
    <w:rsid w:val="008B05EF"/>
    <w:rsid w:val="008B0B94"/>
    <w:rsid w:val="008B0C1D"/>
    <w:rsid w:val="008B12A1"/>
    <w:rsid w:val="008B170D"/>
    <w:rsid w:val="008B1792"/>
    <w:rsid w:val="008B223B"/>
    <w:rsid w:val="008B2DF4"/>
    <w:rsid w:val="008B523A"/>
    <w:rsid w:val="008B66A6"/>
    <w:rsid w:val="008B673A"/>
    <w:rsid w:val="008B6B8C"/>
    <w:rsid w:val="008C169F"/>
    <w:rsid w:val="008C1D2A"/>
    <w:rsid w:val="008C252A"/>
    <w:rsid w:val="008C2FF7"/>
    <w:rsid w:val="008C3E6C"/>
    <w:rsid w:val="008C4370"/>
    <w:rsid w:val="008C5A89"/>
    <w:rsid w:val="008C5E7E"/>
    <w:rsid w:val="008C7957"/>
    <w:rsid w:val="008D0B34"/>
    <w:rsid w:val="008D1D0E"/>
    <w:rsid w:val="008D2D19"/>
    <w:rsid w:val="008D3073"/>
    <w:rsid w:val="008D4950"/>
    <w:rsid w:val="008D4DAA"/>
    <w:rsid w:val="008D6898"/>
    <w:rsid w:val="008D74FF"/>
    <w:rsid w:val="008D7586"/>
    <w:rsid w:val="008E03D7"/>
    <w:rsid w:val="008E1B53"/>
    <w:rsid w:val="008E3585"/>
    <w:rsid w:val="008E4140"/>
    <w:rsid w:val="008E4320"/>
    <w:rsid w:val="008E7D56"/>
    <w:rsid w:val="008E7FDB"/>
    <w:rsid w:val="008F08AC"/>
    <w:rsid w:val="008F0F00"/>
    <w:rsid w:val="008F526B"/>
    <w:rsid w:val="008F5834"/>
    <w:rsid w:val="008F643E"/>
    <w:rsid w:val="008F651A"/>
    <w:rsid w:val="008F6839"/>
    <w:rsid w:val="008F708E"/>
    <w:rsid w:val="008F73BC"/>
    <w:rsid w:val="0090062C"/>
    <w:rsid w:val="009010FE"/>
    <w:rsid w:val="009012F7"/>
    <w:rsid w:val="009013B7"/>
    <w:rsid w:val="00901EB5"/>
    <w:rsid w:val="00901ED0"/>
    <w:rsid w:val="0090223A"/>
    <w:rsid w:val="00903168"/>
    <w:rsid w:val="00903903"/>
    <w:rsid w:val="00904132"/>
    <w:rsid w:val="00906119"/>
    <w:rsid w:val="00906A51"/>
    <w:rsid w:val="00907328"/>
    <w:rsid w:val="00910AA6"/>
    <w:rsid w:val="00910AE6"/>
    <w:rsid w:val="00911209"/>
    <w:rsid w:val="0091127A"/>
    <w:rsid w:val="009112FA"/>
    <w:rsid w:val="009144D9"/>
    <w:rsid w:val="00916633"/>
    <w:rsid w:val="00916C35"/>
    <w:rsid w:val="00922006"/>
    <w:rsid w:val="009227C4"/>
    <w:rsid w:val="009243EE"/>
    <w:rsid w:val="009254A0"/>
    <w:rsid w:val="009258D2"/>
    <w:rsid w:val="00925D88"/>
    <w:rsid w:val="00927DB8"/>
    <w:rsid w:val="00927F13"/>
    <w:rsid w:val="00930CCF"/>
    <w:rsid w:val="00931133"/>
    <w:rsid w:val="00933100"/>
    <w:rsid w:val="00933C4E"/>
    <w:rsid w:val="0093492B"/>
    <w:rsid w:val="00935906"/>
    <w:rsid w:val="00936B84"/>
    <w:rsid w:val="0093770F"/>
    <w:rsid w:val="0094023D"/>
    <w:rsid w:val="00940B29"/>
    <w:rsid w:val="009414AE"/>
    <w:rsid w:val="0094150A"/>
    <w:rsid w:val="0094231F"/>
    <w:rsid w:val="00942549"/>
    <w:rsid w:val="00943452"/>
    <w:rsid w:val="009434A7"/>
    <w:rsid w:val="00944078"/>
    <w:rsid w:val="00945FDF"/>
    <w:rsid w:val="0094788B"/>
    <w:rsid w:val="00947D59"/>
    <w:rsid w:val="00950269"/>
    <w:rsid w:val="00951044"/>
    <w:rsid w:val="0095126F"/>
    <w:rsid w:val="00951CB4"/>
    <w:rsid w:val="009523F5"/>
    <w:rsid w:val="00955028"/>
    <w:rsid w:val="00955356"/>
    <w:rsid w:val="0095747A"/>
    <w:rsid w:val="009601BE"/>
    <w:rsid w:val="0096050B"/>
    <w:rsid w:val="0096195F"/>
    <w:rsid w:val="00961C37"/>
    <w:rsid w:val="00963044"/>
    <w:rsid w:val="00964070"/>
    <w:rsid w:val="009646BA"/>
    <w:rsid w:val="00964C1F"/>
    <w:rsid w:val="00966438"/>
    <w:rsid w:val="00966574"/>
    <w:rsid w:val="00966B8D"/>
    <w:rsid w:val="00966F62"/>
    <w:rsid w:val="00967F60"/>
    <w:rsid w:val="00972C20"/>
    <w:rsid w:val="009743AF"/>
    <w:rsid w:val="00974B84"/>
    <w:rsid w:val="00975624"/>
    <w:rsid w:val="00975A8C"/>
    <w:rsid w:val="009771BB"/>
    <w:rsid w:val="00977C31"/>
    <w:rsid w:val="00977FB6"/>
    <w:rsid w:val="009801E5"/>
    <w:rsid w:val="00981788"/>
    <w:rsid w:val="00982E88"/>
    <w:rsid w:val="00984725"/>
    <w:rsid w:val="00985086"/>
    <w:rsid w:val="009855E5"/>
    <w:rsid w:val="00985B40"/>
    <w:rsid w:val="00986730"/>
    <w:rsid w:val="009910B6"/>
    <w:rsid w:val="00991550"/>
    <w:rsid w:val="009917DE"/>
    <w:rsid w:val="009926C7"/>
    <w:rsid w:val="00992BC7"/>
    <w:rsid w:val="00993C22"/>
    <w:rsid w:val="00993C92"/>
    <w:rsid w:val="00993E32"/>
    <w:rsid w:val="00994107"/>
    <w:rsid w:val="0099574F"/>
    <w:rsid w:val="00996D3B"/>
    <w:rsid w:val="009A25AC"/>
    <w:rsid w:val="009A2B1E"/>
    <w:rsid w:val="009A2D85"/>
    <w:rsid w:val="009A3015"/>
    <w:rsid w:val="009A65D2"/>
    <w:rsid w:val="009A771F"/>
    <w:rsid w:val="009A7729"/>
    <w:rsid w:val="009B06CB"/>
    <w:rsid w:val="009B0E90"/>
    <w:rsid w:val="009B116F"/>
    <w:rsid w:val="009B121F"/>
    <w:rsid w:val="009B45C6"/>
    <w:rsid w:val="009B4B32"/>
    <w:rsid w:val="009B6696"/>
    <w:rsid w:val="009B6FF8"/>
    <w:rsid w:val="009B78C8"/>
    <w:rsid w:val="009B7BEA"/>
    <w:rsid w:val="009B7F98"/>
    <w:rsid w:val="009C1D20"/>
    <w:rsid w:val="009C21C0"/>
    <w:rsid w:val="009C312E"/>
    <w:rsid w:val="009C3408"/>
    <w:rsid w:val="009C3A7C"/>
    <w:rsid w:val="009C3E46"/>
    <w:rsid w:val="009C4B59"/>
    <w:rsid w:val="009C70B1"/>
    <w:rsid w:val="009D017D"/>
    <w:rsid w:val="009D04C7"/>
    <w:rsid w:val="009D0697"/>
    <w:rsid w:val="009D3453"/>
    <w:rsid w:val="009D39B6"/>
    <w:rsid w:val="009D401D"/>
    <w:rsid w:val="009D4798"/>
    <w:rsid w:val="009D68DB"/>
    <w:rsid w:val="009D6C45"/>
    <w:rsid w:val="009E3AA1"/>
    <w:rsid w:val="009E4216"/>
    <w:rsid w:val="009E4376"/>
    <w:rsid w:val="009E47BD"/>
    <w:rsid w:val="009E4975"/>
    <w:rsid w:val="009E5491"/>
    <w:rsid w:val="009E5DC1"/>
    <w:rsid w:val="009E61DB"/>
    <w:rsid w:val="009E73E9"/>
    <w:rsid w:val="009E754D"/>
    <w:rsid w:val="009F0C5A"/>
    <w:rsid w:val="009F1CE6"/>
    <w:rsid w:val="009F233F"/>
    <w:rsid w:val="009F279F"/>
    <w:rsid w:val="009F27B9"/>
    <w:rsid w:val="009F2D54"/>
    <w:rsid w:val="009F45F2"/>
    <w:rsid w:val="009F4A61"/>
    <w:rsid w:val="009F5310"/>
    <w:rsid w:val="009F5522"/>
    <w:rsid w:val="009F7126"/>
    <w:rsid w:val="00A024E7"/>
    <w:rsid w:val="00A04ACC"/>
    <w:rsid w:val="00A04C26"/>
    <w:rsid w:val="00A04CC3"/>
    <w:rsid w:val="00A05DD5"/>
    <w:rsid w:val="00A1167F"/>
    <w:rsid w:val="00A11F59"/>
    <w:rsid w:val="00A159F0"/>
    <w:rsid w:val="00A165DC"/>
    <w:rsid w:val="00A16EA0"/>
    <w:rsid w:val="00A17938"/>
    <w:rsid w:val="00A17F0C"/>
    <w:rsid w:val="00A22AF8"/>
    <w:rsid w:val="00A23B16"/>
    <w:rsid w:val="00A24C81"/>
    <w:rsid w:val="00A27498"/>
    <w:rsid w:val="00A309D7"/>
    <w:rsid w:val="00A3137F"/>
    <w:rsid w:val="00A3147A"/>
    <w:rsid w:val="00A323AE"/>
    <w:rsid w:val="00A3351C"/>
    <w:rsid w:val="00A33BE4"/>
    <w:rsid w:val="00A34051"/>
    <w:rsid w:val="00A34807"/>
    <w:rsid w:val="00A34AAB"/>
    <w:rsid w:val="00A34CB7"/>
    <w:rsid w:val="00A366DE"/>
    <w:rsid w:val="00A37524"/>
    <w:rsid w:val="00A407CA"/>
    <w:rsid w:val="00A40F2F"/>
    <w:rsid w:val="00A41077"/>
    <w:rsid w:val="00A41AD6"/>
    <w:rsid w:val="00A4303A"/>
    <w:rsid w:val="00A43581"/>
    <w:rsid w:val="00A47637"/>
    <w:rsid w:val="00A47D00"/>
    <w:rsid w:val="00A47F30"/>
    <w:rsid w:val="00A50289"/>
    <w:rsid w:val="00A507E5"/>
    <w:rsid w:val="00A516C9"/>
    <w:rsid w:val="00A52CF4"/>
    <w:rsid w:val="00A53664"/>
    <w:rsid w:val="00A53C72"/>
    <w:rsid w:val="00A5565A"/>
    <w:rsid w:val="00A574F2"/>
    <w:rsid w:val="00A60910"/>
    <w:rsid w:val="00A60F0F"/>
    <w:rsid w:val="00A61212"/>
    <w:rsid w:val="00A61323"/>
    <w:rsid w:val="00A613F3"/>
    <w:rsid w:val="00A61F15"/>
    <w:rsid w:val="00A62E7C"/>
    <w:rsid w:val="00A64E51"/>
    <w:rsid w:val="00A66EA8"/>
    <w:rsid w:val="00A67052"/>
    <w:rsid w:val="00A67645"/>
    <w:rsid w:val="00A70A2C"/>
    <w:rsid w:val="00A70C49"/>
    <w:rsid w:val="00A71F9D"/>
    <w:rsid w:val="00A72209"/>
    <w:rsid w:val="00A72A01"/>
    <w:rsid w:val="00A72F27"/>
    <w:rsid w:val="00A7444B"/>
    <w:rsid w:val="00A762D9"/>
    <w:rsid w:val="00A778EF"/>
    <w:rsid w:val="00A8053B"/>
    <w:rsid w:val="00A80D3D"/>
    <w:rsid w:val="00A819B6"/>
    <w:rsid w:val="00A81B53"/>
    <w:rsid w:val="00A81B93"/>
    <w:rsid w:val="00A823CE"/>
    <w:rsid w:val="00A82C67"/>
    <w:rsid w:val="00A84882"/>
    <w:rsid w:val="00A84A4A"/>
    <w:rsid w:val="00A852B4"/>
    <w:rsid w:val="00A85F97"/>
    <w:rsid w:val="00A8601A"/>
    <w:rsid w:val="00A862C2"/>
    <w:rsid w:val="00A864F1"/>
    <w:rsid w:val="00A86872"/>
    <w:rsid w:val="00A86D72"/>
    <w:rsid w:val="00A87749"/>
    <w:rsid w:val="00A91F67"/>
    <w:rsid w:val="00A92774"/>
    <w:rsid w:val="00A930B4"/>
    <w:rsid w:val="00A9396B"/>
    <w:rsid w:val="00A93C89"/>
    <w:rsid w:val="00A94346"/>
    <w:rsid w:val="00A95510"/>
    <w:rsid w:val="00A95E93"/>
    <w:rsid w:val="00A9669B"/>
    <w:rsid w:val="00A979FE"/>
    <w:rsid w:val="00AA03C9"/>
    <w:rsid w:val="00AA0D8C"/>
    <w:rsid w:val="00AA2070"/>
    <w:rsid w:val="00AA21D0"/>
    <w:rsid w:val="00AA481D"/>
    <w:rsid w:val="00AA62C3"/>
    <w:rsid w:val="00AA6B74"/>
    <w:rsid w:val="00AA7C9C"/>
    <w:rsid w:val="00AB102A"/>
    <w:rsid w:val="00AB2B86"/>
    <w:rsid w:val="00AB36D8"/>
    <w:rsid w:val="00AB3E47"/>
    <w:rsid w:val="00AB4A88"/>
    <w:rsid w:val="00AB6C70"/>
    <w:rsid w:val="00AB7DC4"/>
    <w:rsid w:val="00AC02F2"/>
    <w:rsid w:val="00AC1673"/>
    <w:rsid w:val="00AC2782"/>
    <w:rsid w:val="00AC3C67"/>
    <w:rsid w:val="00AC44D5"/>
    <w:rsid w:val="00AC4F6D"/>
    <w:rsid w:val="00AC502E"/>
    <w:rsid w:val="00AC59CD"/>
    <w:rsid w:val="00AC6492"/>
    <w:rsid w:val="00AC7805"/>
    <w:rsid w:val="00AD1FAA"/>
    <w:rsid w:val="00AD298C"/>
    <w:rsid w:val="00AD29B9"/>
    <w:rsid w:val="00AD2E71"/>
    <w:rsid w:val="00AD40DA"/>
    <w:rsid w:val="00AD61CE"/>
    <w:rsid w:val="00AD65DC"/>
    <w:rsid w:val="00AD70EF"/>
    <w:rsid w:val="00AD7DEC"/>
    <w:rsid w:val="00AD7FC1"/>
    <w:rsid w:val="00AE148B"/>
    <w:rsid w:val="00AE21CC"/>
    <w:rsid w:val="00AE3195"/>
    <w:rsid w:val="00AE3EB0"/>
    <w:rsid w:val="00AE52BC"/>
    <w:rsid w:val="00AE5705"/>
    <w:rsid w:val="00AF28F3"/>
    <w:rsid w:val="00AF408B"/>
    <w:rsid w:val="00AF4F31"/>
    <w:rsid w:val="00AF5744"/>
    <w:rsid w:val="00AF7617"/>
    <w:rsid w:val="00B0147D"/>
    <w:rsid w:val="00B01B33"/>
    <w:rsid w:val="00B01CE0"/>
    <w:rsid w:val="00B02E42"/>
    <w:rsid w:val="00B04007"/>
    <w:rsid w:val="00B0440D"/>
    <w:rsid w:val="00B0443A"/>
    <w:rsid w:val="00B07A70"/>
    <w:rsid w:val="00B07F67"/>
    <w:rsid w:val="00B10708"/>
    <w:rsid w:val="00B10D66"/>
    <w:rsid w:val="00B10DC2"/>
    <w:rsid w:val="00B114A1"/>
    <w:rsid w:val="00B12CAB"/>
    <w:rsid w:val="00B16129"/>
    <w:rsid w:val="00B16B18"/>
    <w:rsid w:val="00B16B5C"/>
    <w:rsid w:val="00B16D77"/>
    <w:rsid w:val="00B1792A"/>
    <w:rsid w:val="00B21434"/>
    <w:rsid w:val="00B216D1"/>
    <w:rsid w:val="00B23188"/>
    <w:rsid w:val="00B236FD"/>
    <w:rsid w:val="00B238C9"/>
    <w:rsid w:val="00B241D2"/>
    <w:rsid w:val="00B26E1F"/>
    <w:rsid w:val="00B315D9"/>
    <w:rsid w:val="00B32AAB"/>
    <w:rsid w:val="00B34407"/>
    <w:rsid w:val="00B36AAF"/>
    <w:rsid w:val="00B37CB0"/>
    <w:rsid w:val="00B406FD"/>
    <w:rsid w:val="00B40800"/>
    <w:rsid w:val="00B41771"/>
    <w:rsid w:val="00B44DE8"/>
    <w:rsid w:val="00B45D94"/>
    <w:rsid w:val="00B514FC"/>
    <w:rsid w:val="00B548D7"/>
    <w:rsid w:val="00B56957"/>
    <w:rsid w:val="00B60DB9"/>
    <w:rsid w:val="00B61D9F"/>
    <w:rsid w:val="00B6213E"/>
    <w:rsid w:val="00B6297F"/>
    <w:rsid w:val="00B6519A"/>
    <w:rsid w:val="00B6553D"/>
    <w:rsid w:val="00B65C39"/>
    <w:rsid w:val="00B675AE"/>
    <w:rsid w:val="00B67AA2"/>
    <w:rsid w:val="00B71286"/>
    <w:rsid w:val="00B712DC"/>
    <w:rsid w:val="00B718FB"/>
    <w:rsid w:val="00B720DE"/>
    <w:rsid w:val="00B725DA"/>
    <w:rsid w:val="00B77095"/>
    <w:rsid w:val="00B80359"/>
    <w:rsid w:val="00B82040"/>
    <w:rsid w:val="00B82AB7"/>
    <w:rsid w:val="00B83214"/>
    <w:rsid w:val="00B85110"/>
    <w:rsid w:val="00B86F53"/>
    <w:rsid w:val="00B8705D"/>
    <w:rsid w:val="00B90322"/>
    <w:rsid w:val="00B90330"/>
    <w:rsid w:val="00B906DA"/>
    <w:rsid w:val="00B916DA"/>
    <w:rsid w:val="00B9226F"/>
    <w:rsid w:val="00B95114"/>
    <w:rsid w:val="00B96356"/>
    <w:rsid w:val="00B96880"/>
    <w:rsid w:val="00B97B43"/>
    <w:rsid w:val="00B97E39"/>
    <w:rsid w:val="00BA064E"/>
    <w:rsid w:val="00BA0771"/>
    <w:rsid w:val="00BA0D02"/>
    <w:rsid w:val="00BA33C4"/>
    <w:rsid w:val="00BA3A62"/>
    <w:rsid w:val="00BA5085"/>
    <w:rsid w:val="00BA5575"/>
    <w:rsid w:val="00BA5960"/>
    <w:rsid w:val="00BA5A65"/>
    <w:rsid w:val="00BA5B06"/>
    <w:rsid w:val="00BA642A"/>
    <w:rsid w:val="00BB058F"/>
    <w:rsid w:val="00BB0DAD"/>
    <w:rsid w:val="00BB16A7"/>
    <w:rsid w:val="00BB3012"/>
    <w:rsid w:val="00BB5B45"/>
    <w:rsid w:val="00BB69CE"/>
    <w:rsid w:val="00BB6ACA"/>
    <w:rsid w:val="00BB72AC"/>
    <w:rsid w:val="00BB7597"/>
    <w:rsid w:val="00BB7D2F"/>
    <w:rsid w:val="00BC0C49"/>
    <w:rsid w:val="00BC1827"/>
    <w:rsid w:val="00BC2719"/>
    <w:rsid w:val="00BC2D95"/>
    <w:rsid w:val="00BC3652"/>
    <w:rsid w:val="00BC4118"/>
    <w:rsid w:val="00BC43E2"/>
    <w:rsid w:val="00BC4EC6"/>
    <w:rsid w:val="00BC5636"/>
    <w:rsid w:val="00BC5CD6"/>
    <w:rsid w:val="00BC6DCB"/>
    <w:rsid w:val="00BC7A74"/>
    <w:rsid w:val="00BD04B4"/>
    <w:rsid w:val="00BD2D57"/>
    <w:rsid w:val="00BD3A22"/>
    <w:rsid w:val="00BD3D96"/>
    <w:rsid w:val="00BD558C"/>
    <w:rsid w:val="00BD6AE8"/>
    <w:rsid w:val="00BD6D2B"/>
    <w:rsid w:val="00BE01B6"/>
    <w:rsid w:val="00BE0304"/>
    <w:rsid w:val="00BE0960"/>
    <w:rsid w:val="00BE1386"/>
    <w:rsid w:val="00BE2904"/>
    <w:rsid w:val="00BE3240"/>
    <w:rsid w:val="00BE5B0F"/>
    <w:rsid w:val="00BE5DEA"/>
    <w:rsid w:val="00BE5E09"/>
    <w:rsid w:val="00BE5E3F"/>
    <w:rsid w:val="00BE67A1"/>
    <w:rsid w:val="00BE70D7"/>
    <w:rsid w:val="00BE775F"/>
    <w:rsid w:val="00BE7834"/>
    <w:rsid w:val="00BF0823"/>
    <w:rsid w:val="00BF0F79"/>
    <w:rsid w:val="00BF3DEC"/>
    <w:rsid w:val="00BF3FF6"/>
    <w:rsid w:val="00BF61AF"/>
    <w:rsid w:val="00BF7B17"/>
    <w:rsid w:val="00C0058D"/>
    <w:rsid w:val="00C025A8"/>
    <w:rsid w:val="00C0351C"/>
    <w:rsid w:val="00C04281"/>
    <w:rsid w:val="00C067E0"/>
    <w:rsid w:val="00C06C9A"/>
    <w:rsid w:val="00C07095"/>
    <w:rsid w:val="00C10010"/>
    <w:rsid w:val="00C1080C"/>
    <w:rsid w:val="00C10947"/>
    <w:rsid w:val="00C109B2"/>
    <w:rsid w:val="00C10DA0"/>
    <w:rsid w:val="00C11505"/>
    <w:rsid w:val="00C12699"/>
    <w:rsid w:val="00C1351A"/>
    <w:rsid w:val="00C13AD7"/>
    <w:rsid w:val="00C15309"/>
    <w:rsid w:val="00C16215"/>
    <w:rsid w:val="00C16A98"/>
    <w:rsid w:val="00C17059"/>
    <w:rsid w:val="00C179C4"/>
    <w:rsid w:val="00C17F7C"/>
    <w:rsid w:val="00C22DC8"/>
    <w:rsid w:val="00C23F95"/>
    <w:rsid w:val="00C241D2"/>
    <w:rsid w:val="00C2423C"/>
    <w:rsid w:val="00C244DE"/>
    <w:rsid w:val="00C257CB"/>
    <w:rsid w:val="00C258A3"/>
    <w:rsid w:val="00C25949"/>
    <w:rsid w:val="00C25D61"/>
    <w:rsid w:val="00C2676A"/>
    <w:rsid w:val="00C3082C"/>
    <w:rsid w:val="00C3100B"/>
    <w:rsid w:val="00C3218B"/>
    <w:rsid w:val="00C32B0F"/>
    <w:rsid w:val="00C338E3"/>
    <w:rsid w:val="00C342A2"/>
    <w:rsid w:val="00C347D8"/>
    <w:rsid w:val="00C34888"/>
    <w:rsid w:val="00C350DC"/>
    <w:rsid w:val="00C3531F"/>
    <w:rsid w:val="00C357CA"/>
    <w:rsid w:val="00C35926"/>
    <w:rsid w:val="00C366C7"/>
    <w:rsid w:val="00C3743E"/>
    <w:rsid w:val="00C37875"/>
    <w:rsid w:val="00C37A90"/>
    <w:rsid w:val="00C4064E"/>
    <w:rsid w:val="00C40667"/>
    <w:rsid w:val="00C41EAD"/>
    <w:rsid w:val="00C43A5C"/>
    <w:rsid w:val="00C4576F"/>
    <w:rsid w:val="00C46092"/>
    <w:rsid w:val="00C4640B"/>
    <w:rsid w:val="00C50BF7"/>
    <w:rsid w:val="00C5103B"/>
    <w:rsid w:val="00C52922"/>
    <w:rsid w:val="00C529C2"/>
    <w:rsid w:val="00C5348D"/>
    <w:rsid w:val="00C53F93"/>
    <w:rsid w:val="00C54277"/>
    <w:rsid w:val="00C551C1"/>
    <w:rsid w:val="00C5723B"/>
    <w:rsid w:val="00C573F6"/>
    <w:rsid w:val="00C57A61"/>
    <w:rsid w:val="00C57EAA"/>
    <w:rsid w:val="00C6018D"/>
    <w:rsid w:val="00C61357"/>
    <w:rsid w:val="00C61D17"/>
    <w:rsid w:val="00C621DB"/>
    <w:rsid w:val="00C625C5"/>
    <w:rsid w:val="00C62704"/>
    <w:rsid w:val="00C62E68"/>
    <w:rsid w:val="00C62F7B"/>
    <w:rsid w:val="00C63BF7"/>
    <w:rsid w:val="00C64A70"/>
    <w:rsid w:val="00C64E8C"/>
    <w:rsid w:val="00C65162"/>
    <w:rsid w:val="00C654FA"/>
    <w:rsid w:val="00C65D38"/>
    <w:rsid w:val="00C664E1"/>
    <w:rsid w:val="00C6658A"/>
    <w:rsid w:val="00C70479"/>
    <w:rsid w:val="00C71AF1"/>
    <w:rsid w:val="00C72386"/>
    <w:rsid w:val="00C728A6"/>
    <w:rsid w:val="00C72CEB"/>
    <w:rsid w:val="00C72DA2"/>
    <w:rsid w:val="00C72EC6"/>
    <w:rsid w:val="00C7326B"/>
    <w:rsid w:val="00C73482"/>
    <w:rsid w:val="00C73594"/>
    <w:rsid w:val="00C757C5"/>
    <w:rsid w:val="00C7651D"/>
    <w:rsid w:val="00C76C3D"/>
    <w:rsid w:val="00C8025D"/>
    <w:rsid w:val="00C81009"/>
    <w:rsid w:val="00C818D1"/>
    <w:rsid w:val="00C81E21"/>
    <w:rsid w:val="00C823E9"/>
    <w:rsid w:val="00C860B2"/>
    <w:rsid w:val="00C8758E"/>
    <w:rsid w:val="00C90E82"/>
    <w:rsid w:val="00C90FE7"/>
    <w:rsid w:val="00C915BB"/>
    <w:rsid w:val="00C91B38"/>
    <w:rsid w:val="00C934C0"/>
    <w:rsid w:val="00C947F7"/>
    <w:rsid w:val="00C94C88"/>
    <w:rsid w:val="00C9525E"/>
    <w:rsid w:val="00C9529B"/>
    <w:rsid w:val="00C952FA"/>
    <w:rsid w:val="00C9557F"/>
    <w:rsid w:val="00C96CA6"/>
    <w:rsid w:val="00C97993"/>
    <w:rsid w:val="00C97D80"/>
    <w:rsid w:val="00CA080E"/>
    <w:rsid w:val="00CA08AE"/>
    <w:rsid w:val="00CA08E6"/>
    <w:rsid w:val="00CA0C04"/>
    <w:rsid w:val="00CA280B"/>
    <w:rsid w:val="00CA6023"/>
    <w:rsid w:val="00CA64D2"/>
    <w:rsid w:val="00CA7379"/>
    <w:rsid w:val="00CA7CD1"/>
    <w:rsid w:val="00CB0DC8"/>
    <w:rsid w:val="00CB32BD"/>
    <w:rsid w:val="00CB5013"/>
    <w:rsid w:val="00CB52D0"/>
    <w:rsid w:val="00CB645B"/>
    <w:rsid w:val="00CB65FD"/>
    <w:rsid w:val="00CB7302"/>
    <w:rsid w:val="00CB7A7C"/>
    <w:rsid w:val="00CC2563"/>
    <w:rsid w:val="00CC3721"/>
    <w:rsid w:val="00CC3CBA"/>
    <w:rsid w:val="00CC684A"/>
    <w:rsid w:val="00CC7EAF"/>
    <w:rsid w:val="00CD0FF6"/>
    <w:rsid w:val="00CD1843"/>
    <w:rsid w:val="00CD1B74"/>
    <w:rsid w:val="00CD1B76"/>
    <w:rsid w:val="00CD3B74"/>
    <w:rsid w:val="00CD3CBB"/>
    <w:rsid w:val="00CD4936"/>
    <w:rsid w:val="00CD595C"/>
    <w:rsid w:val="00CD5B23"/>
    <w:rsid w:val="00CD5E79"/>
    <w:rsid w:val="00CD5F50"/>
    <w:rsid w:val="00CD6D7F"/>
    <w:rsid w:val="00CD7375"/>
    <w:rsid w:val="00CD73F0"/>
    <w:rsid w:val="00CD7FCE"/>
    <w:rsid w:val="00CE0287"/>
    <w:rsid w:val="00CE06A9"/>
    <w:rsid w:val="00CE0B3C"/>
    <w:rsid w:val="00CE32EA"/>
    <w:rsid w:val="00CE469E"/>
    <w:rsid w:val="00CE4DF0"/>
    <w:rsid w:val="00CE74C0"/>
    <w:rsid w:val="00CE7FF5"/>
    <w:rsid w:val="00CF0F38"/>
    <w:rsid w:val="00CF1D5B"/>
    <w:rsid w:val="00CF2529"/>
    <w:rsid w:val="00CF2892"/>
    <w:rsid w:val="00CF39FD"/>
    <w:rsid w:val="00CF3BE4"/>
    <w:rsid w:val="00CF4670"/>
    <w:rsid w:val="00CF57C8"/>
    <w:rsid w:val="00CF6D38"/>
    <w:rsid w:val="00CF6FFE"/>
    <w:rsid w:val="00CF7099"/>
    <w:rsid w:val="00D014F0"/>
    <w:rsid w:val="00D038CD"/>
    <w:rsid w:val="00D03B63"/>
    <w:rsid w:val="00D04657"/>
    <w:rsid w:val="00D04EEF"/>
    <w:rsid w:val="00D057FF"/>
    <w:rsid w:val="00D060C7"/>
    <w:rsid w:val="00D06E4F"/>
    <w:rsid w:val="00D0739C"/>
    <w:rsid w:val="00D074C7"/>
    <w:rsid w:val="00D0797F"/>
    <w:rsid w:val="00D109EE"/>
    <w:rsid w:val="00D112A5"/>
    <w:rsid w:val="00D128A1"/>
    <w:rsid w:val="00D130C0"/>
    <w:rsid w:val="00D13823"/>
    <w:rsid w:val="00D14476"/>
    <w:rsid w:val="00D14793"/>
    <w:rsid w:val="00D14B6B"/>
    <w:rsid w:val="00D1534F"/>
    <w:rsid w:val="00D154F2"/>
    <w:rsid w:val="00D1628D"/>
    <w:rsid w:val="00D16CD1"/>
    <w:rsid w:val="00D1720B"/>
    <w:rsid w:val="00D17DE0"/>
    <w:rsid w:val="00D204DF"/>
    <w:rsid w:val="00D20843"/>
    <w:rsid w:val="00D20985"/>
    <w:rsid w:val="00D20BB4"/>
    <w:rsid w:val="00D21D2A"/>
    <w:rsid w:val="00D222B1"/>
    <w:rsid w:val="00D2234D"/>
    <w:rsid w:val="00D2328C"/>
    <w:rsid w:val="00D23DE4"/>
    <w:rsid w:val="00D24A8A"/>
    <w:rsid w:val="00D2514F"/>
    <w:rsid w:val="00D27B45"/>
    <w:rsid w:val="00D32EA7"/>
    <w:rsid w:val="00D33819"/>
    <w:rsid w:val="00D37406"/>
    <w:rsid w:val="00D3772B"/>
    <w:rsid w:val="00D37C02"/>
    <w:rsid w:val="00D37FD2"/>
    <w:rsid w:val="00D418DF"/>
    <w:rsid w:val="00D426A3"/>
    <w:rsid w:val="00D43554"/>
    <w:rsid w:val="00D436B5"/>
    <w:rsid w:val="00D43F8E"/>
    <w:rsid w:val="00D44242"/>
    <w:rsid w:val="00D464BF"/>
    <w:rsid w:val="00D46959"/>
    <w:rsid w:val="00D47C36"/>
    <w:rsid w:val="00D50AED"/>
    <w:rsid w:val="00D50F30"/>
    <w:rsid w:val="00D51ADC"/>
    <w:rsid w:val="00D51C53"/>
    <w:rsid w:val="00D52211"/>
    <w:rsid w:val="00D52A42"/>
    <w:rsid w:val="00D52CFC"/>
    <w:rsid w:val="00D5305A"/>
    <w:rsid w:val="00D53499"/>
    <w:rsid w:val="00D53F01"/>
    <w:rsid w:val="00D54158"/>
    <w:rsid w:val="00D54ECE"/>
    <w:rsid w:val="00D5651C"/>
    <w:rsid w:val="00D57E51"/>
    <w:rsid w:val="00D604F2"/>
    <w:rsid w:val="00D61A11"/>
    <w:rsid w:val="00D62DBB"/>
    <w:rsid w:val="00D650C3"/>
    <w:rsid w:val="00D655CB"/>
    <w:rsid w:val="00D65E79"/>
    <w:rsid w:val="00D66796"/>
    <w:rsid w:val="00D67209"/>
    <w:rsid w:val="00D678DF"/>
    <w:rsid w:val="00D67C3C"/>
    <w:rsid w:val="00D719E9"/>
    <w:rsid w:val="00D73C53"/>
    <w:rsid w:val="00D743F6"/>
    <w:rsid w:val="00D74DE4"/>
    <w:rsid w:val="00D75243"/>
    <w:rsid w:val="00D75605"/>
    <w:rsid w:val="00D75650"/>
    <w:rsid w:val="00D768F5"/>
    <w:rsid w:val="00D77FF6"/>
    <w:rsid w:val="00D80E97"/>
    <w:rsid w:val="00D83F8D"/>
    <w:rsid w:val="00D8436A"/>
    <w:rsid w:val="00D845EC"/>
    <w:rsid w:val="00D84A85"/>
    <w:rsid w:val="00D850A5"/>
    <w:rsid w:val="00D8608B"/>
    <w:rsid w:val="00D86A16"/>
    <w:rsid w:val="00D87776"/>
    <w:rsid w:val="00D90471"/>
    <w:rsid w:val="00D9148E"/>
    <w:rsid w:val="00D91567"/>
    <w:rsid w:val="00D9156C"/>
    <w:rsid w:val="00D91DD6"/>
    <w:rsid w:val="00D92882"/>
    <w:rsid w:val="00D92D25"/>
    <w:rsid w:val="00D9412D"/>
    <w:rsid w:val="00D95A0F"/>
    <w:rsid w:val="00D971EB"/>
    <w:rsid w:val="00D9799A"/>
    <w:rsid w:val="00DA227F"/>
    <w:rsid w:val="00DA2F68"/>
    <w:rsid w:val="00DA384A"/>
    <w:rsid w:val="00DA4F92"/>
    <w:rsid w:val="00DA56E2"/>
    <w:rsid w:val="00DA5E46"/>
    <w:rsid w:val="00DA76AB"/>
    <w:rsid w:val="00DB0E74"/>
    <w:rsid w:val="00DB13E6"/>
    <w:rsid w:val="00DB186A"/>
    <w:rsid w:val="00DB26C6"/>
    <w:rsid w:val="00DB375B"/>
    <w:rsid w:val="00DB4054"/>
    <w:rsid w:val="00DB4D13"/>
    <w:rsid w:val="00DB65F1"/>
    <w:rsid w:val="00DB725E"/>
    <w:rsid w:val="00DB76FA"/>
    <w:rsid w:val="00DC108A"/>
    <w:rsid w:val="00DC29E1"/>
    <w:rsid w:val="00DC31A2"/>
    <w:rsid w:val="00DC51A8"/>
    <w:rsid w:val="00DC5595"/>
    <w:rsid w:val="00DC602D"/>
    <w:rsid w:val="00DC62AC"/>
    <w:rsid w:val="00DC6D2A"/>
    <w:rsid w:val="00DC6D85"/>
    <w:rsid w:val="00DD0C55"/>
    <w:rsid w:val="00DD20D2"/>
    <w:rsid w:val="00DD4B61"/>
    <w:rsid w:val="00DD7337"/>
    <w:rsid w:val="00DD7FC0"/>
    <w:rsid w:val="00DE039F"/>
    <w:rsid w:val="00DE0A89"/>
    <w:rsid w:val="00DE1C20"/>
    <w:rsid w:val="00DE3360"/>
    <w:rsid w:val="00DE3615"/>
    <w:rsid w:val="00DE58D1"/>
    <w:rsid w:val="00DE638C"/>
    <w:rsid w:val="00DE71B2"/>
    <w:rsid w:val="00DE7C62"/>
    <w:rsid w:val="00DF0EDF"/>
    <w:rsid w:val="00DF1214"/>
    <w:rsid w:val="00DF1E1E"/>
    <w:rsid w:val="00DF4F68"/>
    <w:rsid w:val="00DF6978"/>
    <w:rsid w:val="00DF7BCD"/>
    <w:rsid w:val="00DF7F64"/>
    <w:rsid w:val="00E002F5"/>
    <w:rsid w:val="00E00454"/>
    <w:rsid w:val="00E02E1A"/>
    <w:rsid w:val="00E03508"/>
    <w:rsid w:val="00E035A5"/>
    <w:rsid w:val="00E0466F"/>
    <w:rsid w:val="00E04B32"/>
    <w:rsid w:val="00E057E8"/>
    <w:rsid w:val="00E06F14"/>
    <w:rsid w:val="00E073D9"/>
    <w:rsid w:val="00E07612"/>
    <w:rsid w:val="00E10D11"/>
    <w:rsid w:val="00E140E9"/>
    <w:rsid w:val="00E15F6A"/>
    <w:rsid w:val="00E17720"/>
    <w:rsid w:val="00E17724"/>
    <w:rsid w:val="00E20B4A"/>
    <w:rsid w:val="00E20EC7"/>
    <w:rsid w:val="00E2452F"/>
    <w:rsid w:val="00E24FB3"/>
    <w:rsid w:val="00E24FD5"/>
    <w:rsid w:val="00E256BD"/>
    <w:rsid w:val="00E2775F"/>
    <w:rsid w:val="00E31704"/>
    <w:rsid w:val="00E3306D"/>
    <w:rsid w:val="00E33130"/>
    <w:rsid w:val="00E33138"/>
    <w:rsid w:val="00E3514E"/>
    <w:rsid w:val="00E40606"/>
    <w:rsid w:val="00E41B1A"/>
    <w:rsid w:val="00E41DE3"/>
    <w:rsid w:val="00E4205D"/>
    <w:rsid w:val="00E42D62"/>
    <w:rsid w:val="00E46032"/>
    <w:rsid w:val="00E4681A"/>
    <w:rsid w:val="00E475FB"/>
    <w:rsid w:val="00E478A9"/>
    <w:rsid w:val="00E50BAC"/>
    <w:rsid w:val="00E554DE"/>
    <w:rsid w:val="00E55923"/>
    <w:rsid w:val="00E56E63"/>
    <w:rsid w:val="00E60857"/>
    <w:rsid w:val="00E616E5"/>
    <w:rsid w:val="00E61CAC"/>
    <w:rsid w:val="00E62058"/>
    <w:rsid w:val="00E62133"/>
    <w:rsid w:val="00E6296D"/>
    <w:rsid w:val="00E62AD9"/>
    <w:rsid w:val="00E6308F"/>
    <w:rsid w:val="00E63099"/>
    <w:rsid w:val="00E63B3C"/>
    <w:rsid w:val="00E656C4"/>
    <w:rsid w:val="00E65C23"/>
    <w:rsid w:val="00E65FCB"/>
    <w:rsid w:val="00E66B97"/>
    <w:rsid w:val="00E67A1A"/>
    <w:rsid w:val="00E8014A"/>
    <w:rsid w:val="00E806F3"/>
    <w:rsid w:val="00E81576"/>
    <w:rsid w:val="00E84750"/>
    <w:rsid w:val="00E84F3E"/>
    <w:rsid w:val="00E85CAA"/>
    <w:rsid w:val="00E9070D"/>
    <w:rsid w:val="00E93099"/>
    <w:rsid w:val="00E94368"/>
    <w:rsid w:val="00E94FE4"/>
    <w:rsid w:val="00E95AB1"/>
    <w:rsid w:val="00E95BAB"/>
    <w:rsid w:val="00E96C15"/>
    <w:rsid w:val="00E96C5B"/>
    <w:rsid w:val="00E96EC8"/>
    <w:rsid w:val="00EA0062"/>
    <w:rsid w:val="00EA0F1C"/>
    <w:rsid w:val="00EA36F9"/>
    <w:rsid w:val="00EA38E9"/>
    <w:rsid w:val="00EA45C3"/>
    <w:rsid w:val="00EA45DF"/>
    <w:rsid w:val="00EA56D5"/>
    <w:rsid w:val="00EA5AE4"/>
    <w:rsid w:val="00EA5C92"/>
    <w:rsid w:val="00EA6ABF"/>
    <w:rsid w:val="00EB2841"/>
    <w:rsid w:val="00EB2934"/>
    <w:rsid w:val="00EB40C6"/>
    <w:rsid w:val="00EB4552"/>
    <w:rsid w:val="00EB5622"/>
    <w:rsid w:val="00EB6B36"/>
    <w:rsid w:val="00EC101D"/>
    <w:rsid w:val="00EC1417"/>
    <w:rsid w:val="00EC177F"/>
    <w:rsid w:val="00EC31AE"/>
    <w:rsid w:val="00EC458B"/>
    <w:rsid w:val="00EC475F"/>
    <w:rsid w:val="00EC536B"/>
    <w:rsid w:val="00EC594B"/>
    <w:rsid w:val="00EC5A62"/>
    <w:rsid w:val="00EC604D"/>
    <w:rsid w:val="00EC62CA"/>
    <w:rsid w:val="00EC6332"/>
    <w:rsid w:val="00EC7113"/>
    <w:rsid w:val="00EC7818"/>
    <w:rsid w:val="00EC7AE1"/>
    <w:rsid w:val="00ED0A9E"/>
    <w:rsid w:val="00ED0BFB"/>
    <w:rsid w:val="00ED16C2"/>
    <w:rsid w:val="00ED196C"/>
    <w:rsid w:val="00ED2AFE"/>
    <w:rsid w:val="00ED39B7"/>
    <w:rsid w:val="00ED3B21"/>
    <w:rsid w:val="00ED3B3F"/>
    <w:rsid w:val="00ED4A99"/>
    <w:rsid w:val="00ED4F29"/>
    <w:rsid w:val="00ED5830"/>
    <w:rsid w:val="00ED621A"/>
    <w:rsid w:val="00ED669A"/>
    <w:rsid w:val="00ED6B10"/>
    <w:rsid w:val="00ED6F0E"/>
    <w:rsid w:val="00ED7203"/>
    <w:rsid w:val="00EE12D3"/>
    <w:rsid w:val="00EE1B6C"/>
    <w:rsid w:val="00EE2322"/>
    <w:rsid w:val="00EE2431"/>
    <w:rsid w:val="00EE3C6C"/>
    <w:rsid w:val="00EE4FA2"/>
    <w:rsid w:val="00EE5D43"/>
    <w:rsid w:val="00EE6142"/>
    <w:rsid w:val="00EE6290"/>
    <w:rsid w:val="00EE6304"/>
    <w:rsid w:val="00EE64A4"/>
    <w:rsid w:val="00EE7A33"/>
    <w:rsid w:val="00EE7B33"/>
    <w:rsid w:val="00EF0CBC"/>
    <w:rsid w:val="00EF0CC8"/>
    <w:rsid w:val="00EF0FC3"/>
    <w:rsid w:val="00EF2076"/>
    <w:rsid w:val="00EF31DC"/>
    <w:rsid w:val="00EF3ECF"/>
    <w:rsid w:val="00EF4273"/>
    <w:rsid w:val="00EF4A9F"/>
    <w:rsid w:val="00EF5034"/>
    <w:rsid w:val="00EF5C36"/>
    <w:rsid w:val="00EF6C85"/>
    <w:rsid w:val="00EF7F4A"/>
    <w:rsid w:val="00F01F6B"/>
    <w:rsid w:val="00F029F2"/>
    <w:rsid w:val="00F02F84"/>
    <w:rsid w:val="00F03165"/>
    <w:rsid w:val="00F03F92"/>
    <w:rsid w:val="00F04673"/>
    <w:rsid w:val="00F04B72"/>
    <w:rsid w:val="00F05593"/>
    <w:rsid w:val="00F07CB2"/>
    <w:rsid w:val="00F1091F"/>
    <w:rsid w:val="00F11BBC"/>
    <w:rsid w:val="00F12166"/>
    <w:rsid w:val="00F12B7F"/>
    <w:rsid w:val="00F1343F"/>
    <w:rsid w:val="00F14587"/>
    <w:rsid w:val="00F14C8C"/>
    <w:rsid w:val="00F14D4D"/>
    <w:rsid w:val="00F15EF2"/>
    <w:rsid w:val="00F16693"/>
    <w:rsid w:val="00F16E86"/>
    <w:rsid w:val="00F17083"/>
    <w:rsid w:val="00F21325"/>
    <w:rsid w:val="00F214C1"/>
    <w:rsid w:val="00F21E3A"/>
    <w:rsid w:val="00F21E78"/>
    <w:rsid w:val="00F2209E"/>
    <w:rsid w:val="00F23570"/>
    <w:rsid w:val="00F244F4"/>
    <w:rsid w:val="00F25790"/>
    <w:rsid w:val="00F2596F"/>
    <w:rsid w:val="00F25C01"/>
    <w:rsid w:val="00F26DDE"/>
    <w:rsid w:val="00F303CC"/>
    <w:rsid w:val="00F314E9"/>
    <w:rsid w:val="00F31B5D"/>
    <w:rsid w:val="00F33748"/>
    <w:rsid w:val="00F33F29"/>
    <w:rsid w:val="00F346F8"/>
    <w:rsid w:val="00F34C2E"/>
    <w:rsid w:val="00F35111"/>
    <w:rsid w:val="00F37127"/>
    <w:rsid w:val="00F37243"/>
    <w:rsid w:val="00F37E83"/>
    <w:rsid w:val="00F40831"/>
    <w:rsid w:val="00F416D4"/>
    <w:rsid w:val="00F43BC1"/>
    <w:rsid w:val="00F441E8"/>
    <w:rsid w:val="00F44A59"/>
    <w:rsid w:val="00F45B8A"/>
    <w:rsid w:val="00F478E2"/>
    <w:rsid w:val="00F51326"/>
    <w:rsid w:val="00F5196B"/>
    <w:rsid w:val="00F5276E"/>
    <w:rsid w:val="00F52B6B"/>
    <w:rsid w:val="00F52E12"/>
    <w:rsid w:val="00F532EC"/>
    <w:rsid w:val="00F533C9"/>
    <w:rsid w:val="00F53B5F"/>
    <w:rsid w:val="00F5469C"/>
    <w:rsid w:val="00F548FF"/>
    <w:rsid w:val="00F54DA2"/>
    <w:rsid w:val="00F55196"/>
    <w:rsid w:val="00F55A5E"/>
    <w:rsid w:val="00F60C4A"/>
    <w:rsid w:val="00F610F8"/>
    <w:rsid w:val="00F61F8F"/>
    <w:rsid w:val="00F62294"/>
    <w:rsid w:val="00F638A4"/>
    <w:rsid w:val="00F63D1D"/>
    <w:rsid w:val="00F6544D"/>
    <w:rsid w:val="00F65A93"/>
    <w:rsid w:val="00F65E16"/>
    <w:rsid w:val="00F66990"/>
    <w:rsid w:val="00F67252"/>
    <w:rsid w:val="00F67332"/>
    <w:rsid w:val="00F67B1D"/>
    <w:rsid w:val="00F70452"/>
    <w:rsid w:val="00F708DC"/>
    <w:rsid w:val="00F70E8E"/>
    <w:rsid w:val="00F71485"/>
    <w:rsid w:val="00F72A45"/>
    <w:rsid w:val="00F74674"/>
    <w:rsid w:val="00F7569F"/>
    <w:rsid w:val="00F7572E"/>
    <w:rsid w:val="00F769B9"/>
    <w:rsid w:val="00F80781"/>
    <w:rsid w:val="00F826F1"/>
    <w:rsid w:val="00F8372A"/>
    <w:rsid w:val="00F8388D"/>
    <w:rsid w:val="00F845A5"/>
    <w:rsid w:val="00F84ECC"/>
    <w:rsid w:val="00F85C0D"/>
    <w:rsid w:val="00F85E59"/>
    <w:rsid w:val="00F861B5"/>
    <w:rsid w:val="00F86253"/>
    <w:rsid w:val="00F905C1"/>
    <w:rsid w:val="00F90D74"/>
    <w:rsid w:val="00F918BC"/>
    <w:rsid w:val="00F91B25"/>
    <w:rsid w:val="00F91BBA"/>
    <w:rsid w:val="00F92706"/>
    <w:rsid w:val="00F941CE"/>
    <w:rsid w:val="00F958CD"/>
    <w:rsid w:val="00F95D20"/>
    <w:rsid w:val="00F971B4"/>
    <w:rsid w:val="00F97728"/>
    <w:rsid w:val="00FA0F48"/>
    <w:rsid w:val="00FA1999"/>
    <w:rsid w:val="00FA2804"/>
    <w:rsid w:val="00FA332B"/>
    <w:rsid w:val="00FA3A19"/>
    <w:rsid w:val="00FA4BAC"/>
    <w:rsid w:val="00FA4FC0"/>
    <w:rsid w:val="00FA6262"/>
    <w:rsid w:val="00FA7E80"/>
    <w:rsid w:val="00FB01C2"/>
    <w:rsid w:val="00FB0E0C"/>
    <w:rsid w:val="00FB1082"/>
    <w:rsid w:val="00FB1207"/>
    <w:rsid w:val="00FB14B6"/>
    <w:rsid w:val="00FB1C03"/>
    <w:rsid w:val="00FB296F"/>
    <w:rsid w:val="00FB4236"/>
    <w:rsid w:val="00FB43A4"/>
    <w:rsid w:val="00FB4B3F"/>
    <w:rsid w:val="00FB4B8A"/>
    <w:rsid w:val="00FB5B18"/>
    <w:rsid w:val="00FB6FE7"/>
    <w:rsid w:val="00FB7DAB"/>
    <w:rsid w:val="00FC0769"/>
    <w:rsid w:val="00FC0773"/>
    <w:rsid w:val="00FC1AC9"/>
    <w:rsid w:val="00FC2C77"/>
    <w:rsid w:val="00FC2D56"/>
    <w:rsid w:val="00FC350A"/>
    <w:rsid w:val="00FC3539"/>
    <w:rsid w:val="00FC490F"/>
    <w:rsid w:val="00FC4D9C"/>
    <w:rsid w:val="00FC56DA"/>
    <w:rsid w:val="00FC5AC1"/>
    <w:rsid w:val="00FC7791"/>
    <w:rsid w:val="00FD079D"/>
    <w:rsid w:val="00FD0DA5"/>
    <w:rsid w:val="00FD2A3E"/>
    <w:rsid w:val="00FD53B9"/>
    <w:rsid w:val="00FD6996"/>
    <w:rsid w:val="00FD6DF9"/>
    <w:rsid w:val="00FE0600"/>
    <w:rsid w:val="00FE0B54"/>
    <w:rsid w:val="00FE24BF"/>
    <w:rsid w:val="00FE34E8"/>
    <w:rsid w:val="00FE42AF"/>
    <w:rsid w:val="00FE5C45"/>
    <w:rsid w:val="00FE66B1"/>
    <w:rsid w:val="00FE6CC3"/>
    <w:rsid w:val="00FF04FA"/>
    <w:rsid w:val="00FF06B3"/>
    <w:rsid w:val="00FF3395"/>
    <w:rsid w:val="00FF418E"/>
    <w:rsid w:val="00FF45E5"/>
    <w:rsid w:val="00FF5138"/>
    <w:rsid w:val="00FF52E3"/>
    <w:rsid w:val="00FF52FC"/>
    <w:rsid w:val="00FF603D"/>
    <w:rsid w:val="00FF6200"/>
    <w:rsid w:val="00FF6204"/>
    <w:rsid w:val="00FF6C7C"/>
    <w:rsid w:val="00FF7290"/>
    <w:rsid w:val="05686220"/>
    <w:rsid w:val="10B71505"/>
    <w:rsid w:val="1C0315DC"/>
    <w:rsid w:val="1C21548F"/>
    <w:rsid w:val="1D514A67"/>
    <w:rsid w:val="1D63493B"/>
    <w:rsid w:val="23126609"/>
    <w:rsid w:val="259D2C00"/>
    <w:rsid w:val="25BE7393"/>
    <w:rsid w:val="29635A2D"/>
    <w:rsid w:val="2BCC67B9"/>
    <w:rsid w:val="30405EE0"/>
    <w:rsid w:val="3519688A"/>
    <w:rsid w:val="35DACA72"/>
    <w:rsid w:val="3C777A33"/>
    <w:rsid w:val="4099400B"/>
    <w:rsid w:val="4ED06632"/>
    <w:rsid w:val="544771B7"/>
    <w:rsid w:val="58FF03A7"/>
    <w:rsid w:val="5FD960E0"/>
    <w:rsid w:val="628B3905"/>
    <w:rsid w:val="6AE04D07"/>
    <w:rsid w:val="766E74CF"/>
    <w:rsid w:val="78F2691E"/>
    <w:rsid w:val="7EFFDC1B"/>
    <w:rsid w:val="7F8D88F0"/>
    <w:rsid w:val="BCFC3074"/>
    <w:rsid w:val="BF7BC0B7"/>
    <w:rsid w:val="D6FF6AC7"/>
    <w:rsid w:val="E755A2EB"/>
    <w:rsid w:val="EEF6A431"/>
    <w:rsid w:val="FBB51A90"/>
    <w:rsid w:val="FDFDDE18"/>
    <w:rsid w:val="FEFD9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50"/>
    <w:qFormat/>
    <w:uiPriority w:val="0"/>
    <w:pPr>
      <w:keepNext/>
      <w:keepLines/>
      <w:spacing w:before="260" w:after="260" w:line="413" w:lineRule="auto"/>
      <w:outlineLvl w:val="2"/>
    </w:pPr>
    <w:rPr>
      <w:b/>
      <w:sz w:val="32"/>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28"/>
    <w:unhideWhenUsed/>
    <w:qFormat/>
    <w:uiPriority w:val="0"/>
    <w:pPr>
      <w:jc w:val="left"/>
    </w:pPr>
  </w:style>
  <w:style w:type="paragraph" w:styleId="8">
    <w:name w:val="Body Text"/>
    <w:basedOn w:val="1"/>
    <w:link w:val="31"/>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73"/>
    <w:qFormat/>
    <w:uiPriority w:val="99"/>
    <w:pPr>
      <w:tabs>
        <w:tab w:val="center" w:pos="4153"/>
        <w:tab w:val="right" w:pos="8306"/>
      </w:tabs>
      <w:snapToGrid w:val="0"/>
      <w:jc w:val="left"/>
    </w:pPr>
    <w:rPr>
      <w:sz w:val="18"/>
    </w:rPr>
  </w:style>
  <w:style w:type="paragraph" w:styleId="14">
    <w:name w:val="header"/>
    <w:basedOn w:val="1"/>
    <w:link w:val="52"/>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Title"/>
    <w:basedOn w:val="1"/>
    <w:next w:val="1"/>
    <w:link w:val="51"/>
    <w:qFormat/>
    <w:uiPriority w:val="0"/>
    <w:pPr>
      <w:spacing w:before="240" w:after="60"/>
      <w:jc w:val="center"/>
      <w:outlineLvl w:val="0"/>
    </w:pPr>
    <w:rPr>
      <w:rFonts w:ascii="Cambria" w:hAnsi="Cambria"/>
      <w:b/>
      <w:sz w:val="32"/>
    </w:rPr>
  </w:style>
  <w:style w:type="paragraph" w:styleId="19">
    <w:name w:val="annotation subject"/>
    <w:basedOn w:val="1"/>
    <w:next w:val="7"/>
    <w:qFormat/>
    <w:uiPriority w:val="0"/>
    <w:rPr>
      <w:b/>
    </w:rPr>
  </w:style>
  <w:style w:type="character" w:styleId="22">
    <w:name w:val="page number"/>
    <w:basedOn w:val="21"/>
    <w:qFormat/>
    <w:uiPriority w:val="0"/>
  </w:style>
  <w:style w:type="character" w:styleId="23">
    <w:name w:val="FollowedHyperlink"/>
    <w:basedOn w:val="21"/>
    <w:unhideWhenUsed/>
    <w:qFormat/>
    <w:uiPriority w:val="99"/>
    <w:rPr>
      <w:color w:val="800080" w:themeColor="followedHyperlink"/>
      <w:u w:val="single"/>
      <w14:textFill>
        <w14:solidFill>
          <w14:schemeClr w14:val="folHlink"/>
        </w14:solidFill>
      </w14:textFill>
    </w:rPr>
  </w:style>
  <w:style w:type="character" w:styleId="24">
    <w:name w:val="Hyperlink"/>
    <w:basedOn w:val="21"/>
    <w:qFormat/>
    <w:uiPriority w:val="99"/>
    <w:rPr>
      <w:color w:val="0000FF"/>
      <w:u w:val="single"/>
    </w:rPr>
  </w:style>
  <w:style w:type="character" w:styleId="25">
    <w:name w:val="annotation reference"/>
    <w:basedOn w:val="21"/>
    <w:unhideWhenUsed/>
    <w:qFormat/>
    <w:uiPriority w:val="0"/>
    <w:rPr>
      <w:sz w:val="21"/>
      <w:szCs w:val="21"/>
    </w:rPr>
  </w:style>
  <w:style w:type="character" w:styleId="26">
    <w:name w:val="footnote reference"/>
    <w:basedOn w:val="21"/>
    <w:qFormat/>
    <w:uiPriority w:val="0"/>
    <w:rPr>
      <w:vertAlign w:val="superscript"/>
    </w:rPr>
  </w:style>
  <w:style w:type="character" w:customStyle="1" w:styleId="27">
    <w:name w:val="标题 Char"/>
    <w:basedOn w:val="21"/>
    <w:qFormat/>
    <w:uiPriority w:val="0"/>
    <w:rPr>
      <w:rFonts w:ascii="Cambria" w:hAnsi="Cambria"/>
      <w:b/>
      <w:kern w:val="2"/>
      <w:sz w:val="32"/>
    </w:rPr>
  </w:style>
  <w:style w:type="character" w:customStyle="1" w:styleId="28">
    <w:name w:val="批注文字 字符"/>
    <w:basedOn w:val="21"/>
    <w:link w:val="7"/>
    <w:qFormat/>
    <w:uiPriority w:val="0"/>
    <w:rPr>
      <w:kern w:val="2"/>
      <w:sz w:val="21"/>
    </w:rPr>
  </w:style>
  <w:style w:type="character" w:customStyle="1" w:styleId="29">
    <w:name w:val="read"/>
    <w:basedOn w:val="21"/>
    <w:qFormat/>
    <w:uiPriority w:val="0"/>
  </w:style>
  <w:style w:type="character" w:customStyle="1" w:styleId="30">
    <w:name w:val="页眉 Char"/>
    <w:basedOn w:val="21"/>
    <w:qFormat/>
    <w:uiPriority w:val="99"/>
    <w:rPr>
      <w:kern w:val="2"/>
      <w:sz w:val="18"/>
    </w:rPr>
  </w:style>
  <w:style w:type="character" w:customStyle="1" w:styleId="31">
    <w:name w:val="正文文本 字符"/>
    <w:link w:val="8"/>
    <w:qFormat/>
    <w:uiPriority w:val="0"/>
    <w:rPr>
      <w:rFonts w:ascii="宋体"/>
    </w:rPr>
  </w:style>
  <w:style w:type="character" w:customStyle="1" w:styleId="32">
    <w:name w:val="unnamed11"/>
    <w:basedOn w:val="21"/>
    <w:qFormat/>
    <w:uiPriority w:val="0"/>
    <w:rPr>
      <w:rFonts w:hint="eastAsia" w:ascii="宋体" w:hAnsi="宋体" w:eastAsia="宋体"/>
      <w:sz w:val="18"/>
    </w:rPr>
  </w:style>
  <w:style w:type="paragraph" w:customStyle="1" w:styleId="33">
    <w:name w:val="正文所"/>
    <w:basedOn w:val="1"/>
    <w:qFormat/>
    <w:uiPriority w:val="0"/>
    <w:pPr>
      <w:spacing w:line="360" w:lineRule="auto"/>
      <w:ind w:firstLine="420" w:firstLineChars="200"/>
    </w:pPr>
    <w:rPr>
      <w:rFonts w:ascii="宋体"/>
    </w:rPr>
  </w:style>
  <w:style w:type="paragraph" w:customStyle="1" w:styleId="34">
    <w:name w:val="Char"/>
    <w:basedOn w:val="1"/>
    <w:qFormat/>
    <w:uiPriority w:val="0"/>
  </w:style>
  <w:style w:type="paragraph" w:customStyle="1" w:styleId="35">
    <w:name w:val="Char Char Char Char"/>
    <w:basedOn w:val="1"/>
    <w:qFormat/>
    <w:uiPriority w:val="0"/>
    <w:pPr>
      <w:tabs>
        <w:tab w:val="left" w:pos="360"/>
      </w:tabs>
    </w:pPr>
  </w:style>
  <w:style w:type="paragraph" w:customStyle="1" w:styleId="36">
    <w:name w:val="Char4"/>
    <w:basedOn w:val="1"/>
    <w:qFormat/>
    <w:uiPriority w:val="0"/>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Char Char"/>
    <w:basedOn w:val="1"/>
    <w:qFormat/>
    <w:uiPriority w:val="0"/>
  </w:style>
  <w:style w:type="paragraph" w:customStyle="1" w:styleId="39">
    <w:name w:val="Char Char1"/>
    <w:basedOn w:val="1"/>
    <w:qFormat/>
    <w:uiPriority w:val="0"/>
  </w:style>
  <w:style w:type="paragraph" w:customStyle="1" w:styleId="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Char Char Char"/>
    <w:basedOn w:val="1"/>
    <w:qFormat/>
    <w:uiPriority w:val="0"/>
  </w:style>
  <w:style w:type="character" w:customStyle="1" w:styleId="42">
    <w:name w:val="批注文字 Char"/>
    <w:basedOn w:val="21"/>
    <w:qFormat/>
    <w:uiPriority w:val="99"/>
    <w:rPr>
      <w:kern w:val="2"/>
      <w:sz w:val="21"/>
    </w:rPr>
  </w:style>
  <w:style w:type="paragraph" w:customStyle="1" w:styleId="43">
    <w:name w:val="Char3"/>
    <w:basedOn w:val="1"/>
    <w:qFormat/>
    <w:uiPriority w:val="0"/>
  </w:style>
  <w:style w:type="paragraph" w:customStyle="1" w:styleId="44">
    <w:name w:val="Char Char Char Char2"/>
    <w:basedOn w:val="1"/>
    <w:qFormat/>
    <w:uiPriority w:val="0"/>
    <w:pPr>
      <w:tabs>
        <w:tab w:val="left" w:pos="360"/>
      </w:tabs>
    </w:pPr>
  </w:style>
  <w:style w:type="paragraph" w:customStyle="1" w:styleId="45">
    <w:name w:val="Char Char3"/>
    <w:basedOn w:val="1"/>
    <w:qFormat/>
    <w:uiPriority w:val="0"/>
  </w:style>
  <w:style w:type="paragraph" w:customStyle="1" w:styleId="46">
    <w:name w:val="Char Char13"/>
    <w:basedOn w:val="1"/>
    <w:qFormat/>
    <w:uiPriority w:val="0"/>
  </w:style>
  <w:style w:type="paragraph" w:customStyle="1" w:styleId="47">
    <w:name w:val="Char Char Char2"/>
    <w:basedOn w:val="1"/>
    <w:qFormat/>
    <w:uiPriority w:val="0"/>
  </w:style>
  <w:style w:type="character" w:customStyle="1" w:styleId="48">
    <w:name w:val="标题 1 字符"/>
    <w:basedOn w:val="21"/>
    <w:link w:val="2"/>
    <w:qFormat/>
    <w:uiPriority w:val="0"/>
    <w:rPr>
      <w:rFonts w:ascii="宋体"/>
      <w:b/>
      <w:color w:val="000000"/>
      <w:sz w:val="24"/>
    </w:rPr>
  </w:style>
  <w:style w:type="character" w:customStyle="1" w:styleId="49">
    <w:name w:val="标题 2 字符"/>
    <w:basedOn w:val="21"/>
    <w:link w:val="3"/>
    <w:qFormat/>
    <w:uiPriority w:val="0"/>
    <w:rPr>
      <w:rFonts w:ascii="Arial" w:hAnsi="Arial" w:eastAsia="黑体"/>
      <w:b/>
      <w:kern w:val="2"/>
      <w:sz w:val="32"/>
    </w:rPr>
  </w:style>
  <w:style w:type="character" w:customStyle="1" w:styleId="50">
    <w:name w:val="标题 3 字符"/>
    <w:basedOn w:val="21"/>
    <w:link w:val="4"/>
    <w:qFormat/>
    <w:uiPriority w:val="0"/>
    <w:rPr>
      <w:b/>
      <w:kern w:val="2"/>
      <w:sz w:val="32"/>
    </w:rPr>
  </w:style>
  <w:style w:type="character" w:customStyle="1" w:styleId="51">
    <w:name w:val="标题 字符"/>
    <w:basedOn w:val="21"/>
    <w:link w:val="18"/>
    <w:qFormat/>
    <w:uiPriority w:val="0"/>
    <w:rPr>
      <w:rFonts w:ascii="Cambria" w:hAnsi="Cambria"/>
      <w:b/>
      <w:kern w:val="2"/>
      <w:sz w:val="32"/>
    </w:rPr>
  </w:style>
  <w:style w:type="character" w:customStyle="1" w:styleId="52">
    <w:name w:val="页眉 字符"/>
    <w:basedOn w:val="21"/>
    <w:link w:val="14"/>
    <w:qFormat/>
    <w:uiPriority w:val="0"/>
    <w:rPr>
      <w:kern w:val="2"/>
      <w:sz w:val="18"/>
    </w:rPr>
  </w:style>
  <w:style w:type="character" w:customStyle="1" w:styleId="53">
    <w:name w:val="标题 字符1"/>
    <w:basedOn w:val="21"/>
    <w:qFormat/>
    <w:uiPriority w:val="0"/>
    <w:rPr>
      <w:rFonts w:asciiTheme="majorHAnsi" w:hAnsiTheme="majorHAnsi" w:eastAsiaTheme="majorEastAsia" w:cstheme="majorBidi"/>
      <w:b/>
      <w:bCs/>
      <w:kern w:val="2"/>
      <w:sz w:val="32"/>
      <w:szCs w:val="32"/>
    </w:rPr>
  </w:style>
  <w:style w:type="paragraph" w:customStyle="1" w:styleId="54">
    <w:name w:val="Char2"/>
    <w:basedOn w:val="1"/>
    <w:qFormat/>
    <w:uiPriority w:val="0"/>
  </w:style>
  <w:style w:type="paragraph" w:customStyle="1" w:styleId="55">
    <w:name w:val="Char Char Char Char1"/>
    <w:basedOn w:val="1"/>
    <w:qFormat/>
    <w:uiPriority w:val="0"/>
    <w:pPr>
      <w:tabs>
        <w:tab w:val="left" w:pos="360"/>
      </w:tabs>
    </w:pPr>
  </w:style>
  <w:style w:type="paragraph" w:customStyle="1" w:styleId="56">
    <w:name w:val="List_bullet"/>
    <w:basedOn w:val="1"/>
    <w:qFormat/>
    <w:uiPriority w:val="0"/>
    <w:pPr>
      <w:widowControl/>
      <w:numPr>
        <w:ilvl w:val="0"/>
        <w:numId w:val="1"/>
      </w:numPr>
      <w:jc w:val="left"/>
    </w:pPr>
    <w:rPr>
      <w:kern w:val="0"/>
      <w:sz w:val="24"/>
    </w:rPr>
  </w:style>
  <w:style w:type="paragraph" w:customStyle="1" w:styleId="57">
    <w:name w:val="Char Char2"/>
    <w:basedOn w:val="1"/>
    <w:qFormat/>
    <w:uiPriority w:val="0"/>
  </w:style>
  <w:style w:type="character" w:customStyle="1" w:styleId="58">
    <w:name w:val="页眉 字符1"/>
    <w:basedOn w:val="21"/>
    <w:semiHidden/>
    <w:qFormat/>
    <w:uiPriority w:val="0"/>
    <w:rPr>
      <w:kern w:val="2"/>
      <w:sz w:val="18"/>
      <w:szCs w:val="18"/>
    </w:rPr>
  </w:style>
  <w:style w:type="paragraph" w:customStyle="1" w:styleId="59">
    <w:name w:val="Char Char12"/>
    <w:basedOn w:val="1"/>
    <w:qFormat/>
    <w:uiPriority w:val="0"/>
  </w:style>
  <w:style w:type="paragraph" w:customStyle="1" w:styleId="60">
    <w:name w:val="正文正文"/>
    <w:basedOn w:val="1"/>
    <w:qFormat/>
    <w:uiPriority w:val="0"/>
    <w:pPr>
      <w:spacing w:afterLines="25" w:line="360" w:lineRule="auto"/>
      <w:ind w:firstLine="200" w:firstLineChars="200"/>
    </w:pPr>
    <w:rPr>
      <w:sz w:val="24"/>
    </w:rPr>
  </w:style>
  <w:style w:type="paragraph" w:customStyle="1" w:styleId="61">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62">
    <w:name w:val="Char Char Char1"/>
    <w:basedOn w:val="1"/>
    <w:qFormat/>
    <w:uiPriority w:val="0"/>
  </w:style>
  <w:style w:type="paragraph" w:customStyle="1" w:styleId="63">
    <w:name w:val="unnamed1"/>
    <w:basedOn w:val="1"/>
    <w:qFormat/>
    <w:uiPriority w:val="0"/>
    <w:pPr>
      <w:spacing w:before="60" w:after="60"/>
      <w:ind w:left="15" w:right="15"/>
    </w:pPr>
    <w:rPr>
      <w:rFonts w:hint="eastAsia" w:ascii="宋体" w:hAnsi="宋体"/>
      <w:color w:val="000000"/>
      <w:sz w:val="18"/>
      <w:szCs w:val="18"/>
    </w:rPr>
  </w:style>
  <w:style w:type="paragraph" w:customStyle="1" w:styleId="64">
    <w:name w:val="修订1"/>
    <w:hidden/>
    <w:semiHidden/>
    <w:qFormat/>
    <w:uiPriority w:val="99"/>
    <w:rPr>
      <w:rFonts w:ascii="Times New Roman" w:hAnsi="Times New Roman" w:eastAsia="宋体" w:cs="Times New Roman"/>
      <w:kern w:val="2"/>
      <w:sz w:val="21"/>
      <w:lang w:val="en-US" w:eastAsia="zh-CN" w:bidi="ar-SA"/>
    </w:rPr>
  </w:style>
  <w:style w:type="character" w:customStyle="1" w:styleId="65">
    <w:name w:val="正文文本 Char"/>
    <w:qFormat/>
    <w:uiPriority w:val="0"/>
    <w:rPr>
      <w:rFonts w:ascii="宋体"/>
      <w:kern w:val="0"/>
    </w:rPr>
  </w:style>
  <w:style w:type="paragraph" w:customStyle="1" w:styleId="66">
    <w:name w:val="Char Char11"/>
    <w:basedOn w:val="1"/>
    <w:qFormat/>
    <w:uiPriority w:val="0"/>
  </w:style>
  <w:style w:type="paragraph" w:customStyle="1" w:styleId="67">
    <w:name w:val="Char1"/>
    <w:basedOn w:val="1"/>
    <w:qFormat/>
    <w:uiPriority w:val="0"/>
  </w:style>
  <w:style w:type="paragraph" w:customStyle="1" w:styleId="68">
    <w:name w:val="修订11"/>
    <w:hidden/>
    <w:semiHidden/>
    <w:qFormat/>
    <w:uiPriority w:val="99"/>
    <w:rPr>
      <w:rFonts w:ascii="Times New Roman" w:hAnsi="Times New Roman" w:eastAsia="宋体" w:cs="Times New Roman"/>
      <w:kern w:val="2"/>
      <w:sz w:val="21"/>
      <w:lang w:val="en-US" w:eastAsia="zh-CN" w:bidi="ar-SA"/>
    </w:rPr>
  </w:style>
  <w:style w:type="paragraph" w:styleId="69">
    <w:name w:val="List Paragraph"/>
    <w:basedOn w:val="1"/>
    <w:qFormat/>
    <w:uiPriority w:val="34"/>
    <w:pPr>
      <w:ind w:firstLine="420" w:firstLineChars="200"/>
    </w:pPr>
  </w:style>
  <w:style w:type="paragraph" w:customStyle="1" w:styleId="70">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71">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73">
    <w:name w:val="页脚 字符"/>
    <w:basedOn w:val="21"/>
    <w:link w:val="13"/>
    <w:qFormat/>
    <w:uiPriority w:val="99"/>
    <w:rPr>
      <w:kern w:val="2"/>
      <w:sz w:val="18"/>
    </w:rPr>
  </w:style>
  <w:style w:type="character" w:customStyle="1" w:styleId="74">
    <w:name w:val="Unresolved Mention"/>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XSL" StyleName="APA Fifth Edition"/>
</file>

<file path=customXml/item2.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F536FB9-E6C9-4B32-9474-88463BA971FB}">
  <ds:schemaRefs/>
</ds:datastoreItem>
</file>

<file path=customXml/itemProps2.xml><?xml version="1.0" encoding="utf-8"?>
<ds:datastoreItem xmlns:ds="http://schemas.openxmlformats.org/officeDocument/2006/customXml" ds:itemID="{0E2416C6-3A3F-40F9-B223-444AB4CA45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78</Pages>
  <Words>27649</Words>
  <Characters>27927</Characters>
  <Lines>1034</Lines>
  <Paragraphs>1029</Paragraphs>
  <TotalTime>376</TotalTime>
  <ScaleCrop>false</ScaleCrop>
  <LinksUpToDate>false</LinksUpToDate>
  <CharactersWithSpaces>54547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2025-09-26T23:25:00Z</dcterms:created>
  <dc:creator>ccb</dc:creator>
  <cp:lastModifiedBy>徐桥</cp:lastModifiedBy>
  <cp:lastPrinted>2023-10-24T18:40:00Z</cp:lastPrinted>
  <dcterms:modified xsi:type="dcterms:W3CDTF">2026-07-02T14:34:37Z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638B5187578B4BD4AF996D35C03A23E8_12</vt:lpwstr>
  </property>
  <property fmtid="{D5CDD505-2E9C-101B-9397-08002B2CF9AE}" pid="3" name="KSOProductBuildVer">
    <vt:lpwstr>2052-12.8.2.15290</vt:lpwstr>
  </property>
  <property fmtid="{D5CDD505-2E9C-101B-9397-08002B2CF9AE}" pid="4" name="KSOTemplateDocerSaveRecord">
    <vt:lpwstr>eyJoZGlkIjoiODhjYzVlNWM1MmM3MDdjZGVhNTBiNzI2MjYwYTQ3MDUiLCJ1c2VySWQiOiIzMDIwMTM0MjgifQ==</vt:lpwstr>
  </property>
</Properties>
</file>