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jc w:val="center"/>
        <w:rPr>
          <w:rFonts w:hint="eastAsia" w:ascii="宋体" w:hAnsi="宋体" w:cs="Arial"/>
          <w:b/>
          <w:sz w:val="44"/>
        </w:rPr>
      </w:pPr>
      <w:r>
        <w:rPr>
          <w:rFonts w:hint="eastAsia" w:ascii="宋体" w:hAnsi="宋体" w:cs="Arial"/>
          <w:b/>
          <w:sz w:val="44"/>
        </w:rPr>
        <w:t>华夏中证REITs全收益指数证券投资基金</w:t>
      </w:r>
    </w:p>
    <w:p>
      <w:pPr>
        <w:jc w:val="center"/>
        <w:rPr>
          <w:rFonts w:hint="eastAsia" w:ascii="宋体" w:hAnsi="宋体" w:cs="Arial"/>
          <w:b/>
          <w:sz w:val="44"/>
        </w:rPr>
      </w:pPr>
      <w:r>
        <w:rPr>
          <w:rFonts w:hint="eastAsia" w:ascii="宋体" w:hAnsi="宋体" w:cs="Arial"/>
          <w:b/>
          <w:sz w:val="44"/>
        </w:rPr>
        <w:t>托管协议</w:t>
      </w: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rPr>
          <w:rFonts w:hint="eastAsia" w:ascii="宋体" w:hAnsi="宋体" w:cs="Arial"/>
          <w:sz w:val="24"/>
        </w:rPr>
      </w:pPr>
    </w:p>
    <w:p>
      <w:pPr>
        <w:jc w:val="center"/>
        <w:rPr>
          <w:rFonts w:hint="eastAsia" w:ascii="宋体" w:hAnsi="宋体" w:cs="Arial"/>
          <w:b/>
          <w:bCs/>
          <w:sz w:val="28"/>
        </w:rPr>
      </w:pPr>
      <w:r>
        <w:rPr>
          <w:rFonts w:hint="eastAsia" w:ascii="宋体" w:hAnsi="宋体" w:cs="Arial"/>
          <w:b/>
          <w:bCs/>
          <w:sz w:val="28"/>
        </w:rPr>
        <w:t>基金管理人：华夏基金管理有限公司</w:t>
      </w:r>
    </w:p>
    <w:p>
      <w:pPr>
        <w:jc w:val="center"/>
        <w:rPr>
          <w:rFonts w:hint="eastAsia" w:ascii="宋体" w:hAnsi="宋体" w:cs="Arial"/>
          <w:b/>
          <w:bCs/>
          <w:sz w:val="28"/>
        </w:rPr>
      </w:pPr>
      <w:r>
        <w:rPr>
          <w:rFonts w:hint="eastAsia" w:ascii="宋体" w:hAnsi="宋体" w:cs="Arial"/>
          <w:b/>
          <w:bCs/>
          <w:sz w:val="28"/>
        </w:rPr>
        <w:t>基金托管人：中国建设银行股份有限公司</w:t>
      </w:r>
    </w:p>
    <w:p>
      <w:pPr>
        <w:adjustRightInd w:val="0"/>
        <w:snapToGrid w:val="0"/>
        <w:spacing w:line="360" w:lineRule="auto"/>
        <w:jc w:val="center"/>
        <w:rPr>
          <w:rFonts w:hint="eastAsia" w:ascii="宋体" w:hAnsi="宋体" w:cs="Arial"/>
          <w:bCs/>
          <w:sz w:val="24"/>
        </w:rPr>
        <w:sectPr>
          <w:footerReference r:id="rId3" w:type="default"/>
          <w:footerReference r:id="rId4" w:type="even"/>
          <w:pgSz w:w="11906" w:h="16838"/>
          <w:pgMar w:top="1418" w:right="1701" w:bottom="1418" w:left="1701" w:header="851" w:footer="992" w:gutter="0"/>
          <w:cols w:space="720" w:num="1"/>
          <w:docGrid w:type="lines" w:linePitch="312" w:charSpace="0"/>
        </w:sectPr>
      </w:pPr>
    </w:p>
    <w:sdt>
      <w:sdtPr>
        <w:rPr>
          <w:rFonts w:ascii="Times New Roman" w:hAnsi="Times New Roman" w:eastAsia="宋体" w:cs="Calibri"/>
          <w:color w:val="auto"/>
          <w:kern w:val="2"/>
          <w:sz w:val="21"/>
          <w:szCs w:val="24"/>
          <w:lang w:val="zh-CN"/>
        </w:rPr>
        <w:id w:val="918526449"/>
        <w:docPartObj>
          <w:docPartGallery w:val="Table of Contents"/>
          <w:docPartUnique/>
        </w:docPartObj>
      </w:sdtPr>
      <w:sdtEndPr>
        <w:rPr>
          <w:rFonts w:ascii="Times New Roman" w:hAnsi="Times New Roman" w:eastAsia="宋体" w:cs="Calibri"/>
          <w:b/>
          <w:bCs/>
          <w:color w:val="auto"/>
          <w:kern w:val="2"/>
          <w:sz w:val="21"/>
          <w:szCs w:val="21"/>
          <w:lang w:val="zh-CN"/>
        </w:rPr>
      </w:sdtEndPr>
      <w:sdtContent>
        <w:p>
          <w:pPr>
            <w:pStyle w:val="66"/>
            <w:jc w:val="center"/>
            <w:rPr>
              <w:rFonts w:ascii="Times New Roman" w:hAnsi="Times New Roman" w:eastAsia="宋体" w:cs="Times New Roman"/>
              <w:b/>
              <w:bCs/>
              <w:color w:val="auto"/>
              <w:sz w:val="21"/>
              <w:szCs w:val="21"/>
              <w:lang w:val="zh-CN"/>
            </w:rPr>
          </w:pPr>
          <w:r>
            <w:rPr>
              <w:rFonts w:ascii="Times New Roman" w:hAnsi="Times New Roman" w:eastAsia="宋体" w:cs="Times New Roman"/>
              <w:b/>
              <w:bCs/>
              <w:color w:val="auto"/>
              <w:sz w:val="21"/>
              <w:szCs w:val="21"/>
              <w:lang w:val="zh-CN"/>
            </w:rPr>
            <w:t>目 录</w:t>
          </w:r>
        </w:p>
        <w:p>
          <w:pPr>
            <w:rPr>
              <w:rFonts w:cs="Times New Roman"/>
              <w:szCs w:val="21"/>
              <w:lang w:val="zh-CN"/>
            </w:rPr>
          </w:pPr>
        </w:p>
        <w:p>
          <w:pPr>
            <w:pStyle w:val="20"/>
            <w:tabs>
              <w:tab w:val="right" w:leader="dot" w:pos="8494"/>
            </w:tabs>
            <w:spacing w:line="360" w:lineRule="auto"/>
            <w:rPr>
              <w:rFonts w:cs="Times New Roman"/>
              <w:szCs w:val="21"/>
              <w14:ligatures w14:val="standardContextual"/>
            </w:rPr>
          </w:pPr>
          <w:r>
            <w:rPr>
              <w:rFonts w:cs="Times New Roman"/>
              <w:szCs w:val="21"/>
            </w:rPr>
            <w:fldChar w:fldCharType="begin"/>
          </w:r>
          <w:r>
            <w:rPr>
              <w:rFonts w:cs="Times New Roman"/>
              <w:szCs w:val="21"/>
            </w:rPr>
            <w:instrText xml:space="preserve"> TOC \o "1-3" \h \z \u </w:instrText>
          </w:r>
          <w:r>
            <w:rPr>
              <w:rFonts w:cs="Times New Roman"/>
              <w:szCs w:val="21"/>
            </w:rPr>
            <w:fldChar w:fldCharType="separate"/>
          </w:r>
          <w:r>
            <w:fldChar w:fldCharType="begin"/>
          </w:r>
          <w:r>
            <w:instrText xml:space="preserve"> HYPERLINK \l "_Toc233054435" </w:instrText>
          </w:r>
          <w:r>
            <w:fldChar w:fldCharType="separate"/>
          </w:r>
          <w:r>
            <w:rPr>
              <w:rStyle w:val="30"/>
              <w:rFonts w:hint="eastAsia" w:cs="Times New Roman"/>
              <w:szCs w:val="21"/>
            </w:rPr>
            <w:t>一、基金托管协议当事人</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_Toc233054435 \h </w:instrText>
          </w:r>
          <w:r>
            <w:rPr>
              <w:rFonts w:hint="eastAsia" w:ascii="宋体" w:hAnsi="宋体" w:cs="Times New Roman"/>
              <w:sz w:val="24"/>
              <w:szCs w:val="21"/>
            </w:rPr>
            <w:fldChar w:fldCharType="separate"/>
          </w:r>
          <w:r>
            <w:rPr>
              <w:rFonts w:cs="Times New Roman"/>
              <w:szCs w:val="21"/>
            </w:rPr>
            <w:t>3</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"_Toc233054436" </w:instrText>
          </w:r>
          <w:r>
            <w:fldChar w:fldCharType="separate"/>
          </w:r>
          <w:r>
            <w:rPr>
              <w:rStyle w:val="30"/>
              <w:rFonts w:hint="eastAsia" w:cs="Times New Roman"/>
              <w:szCs w:val="21"/>
            </w:rPr>
            <w:t>二、基金托管协议的依据、目的和原则</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_Toc233054436 \h </w:instrText>
          </w:r>
          <w:r>
            <w:rPr>
              <w:rFonts w:hint="eastAsia" w:ascii="宋体" w:hAnsi="宋体" w:cs="Times New Roman"/>
              <w:sz w:val="24"/>
              <w:szCs w:val="21"/>
            </w:rPr>
            <w:fldChar w:fldCharType="separate"/>
          </w:r>
          <w:r>
            <w:rPr>
              <w:rFonts w:cs="Times New Roman"/>
              <w:szCs w:val="21"/>
            </w:rPr>
            <w:t>4</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"_Toc233054437" </w:instrText>
          </w:r>
          <w:r>
            <w:fldChar w:fldCharType="separate"/>
          </w:r>
          <w:r>
            <w:rPr>
              <w:rStyle w:val="30"/>
              <w:rFonts w:hint="eastAsia" w:cs="Times New Roman"/>
              <w:szCs w:val="21"/>
            </w:rPr>
            <w:t>三、基金托管人对基金管理人的业务监督和核查</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_Toc233054437 \h </w:instrText>
          </w:r>
          <w:r>
            <w:rPr>
              <w:rFonts w:hint="eastAsia" w:ascii="宋体" w:hAnsi="宋体" w:cs="Times New Roman"/>
              <w:sz w:val="24"/>
              <w:szCs w:val="21"/>
            </w:rPr>
            <w:fldChar w:fldCharType="separate"/>
          </w:r>
          <w:r>
            <w:rPr>
              <w:rFonts w:cs="Times New Roman"/>
              <w:szCs w:val="21"/>
            </w:rPr>
            <w:t>5</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"_Toc233054438" </w:instrText>
          </w:r>
          <w:r>
            <w:fldChar w:fldCharType="separate"/>
          </w:r>
          <w:r>
            <w:rPr>
              <w:rStyle w:val="30"/>
              <w:rFonts w:hint="eastAsia" w:cs="Times New Roman"/>
              <w:szCs w:val="21"/>
            </w:rPr>
            <w:t>四、基金管理人对基金托管人的业务核查</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_Toc233054438 \h </w:instrText>
          </w:r>
          <w:r>
            <w:rPr>
              <w:rFonts w:hint="eastAsia" w:ascii="宋体" w:hAnsi="宋体" w:cs="Times New Roman"/>
              <w:sz w:val="24"/>
              <w:szCs w:val="21"/>
            </w:rPr>
            <w:fldChar w:fldCharType="separate"/>
          </w:r>
          <w:r>
            <w:rPr>
              <w:rFonts w:cs="Times New Roman"/>
              <w:szCs w:val="21"/>
            </w:rPr>
            <w:t>10</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"_Toc233054439" </w:instrText>
          </w:r>
          <w:r>
            <w:fldChar w:fldCharType="separate"/>
          </w:r>
          <w:r>
            <w:rPr>
              <w:rStyle w:val="30"/>
              <w:rFonts w:hint="eastAsia" w:cs="Times New Roman"/>
              <w:szCs w:val="21"/>
            </w:rPr>
            <w:t>五、基金财产的保管</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_Toc233054439 \h </w:instrText>
          </w:r>
          <w:r>
            <w:rPr>
              <w:rFonts w:hint="eastAsia" w:ascii="宋体" w:hAnsi="宋体" w:cs="Times New Roman"/>
              <w:sz w:val="24"/>
              <w:szCs w:val="21"/>
            </w:rPr>
            <w:fldChar w:fldCharType="separate"/>
          </w:r>
          <w:r>
            <w:rPr>
              <w:rFonts w:cs="Times New Roman"/>
              <w:szCs w:val="21"/>
            </w:rPr>
            <w:t>11</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"_Toc233054440" </w:instrText>
          </w:r>
          <w:r>
            <w:fldChar w:fldCharType="separate"/>
          </w:r>
          <w:r>
            <w:rPr>
              <w:rStyle w:val="30"/>
              <w:rFonts w:hint="eastAsia" w:cs="Times New Roman"/>
              <w:szCs w:val="21"/>
            </w:rPr>
            <w:t>六、指令的发送、确认及执行</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_Toc233054440 \h </w:instrText>
          </w:r>
          <w:r>
            <w:rPr>
              <w:rFonts w:hint="eastAsia" w:ascii="宋体" w:hAnsi="宋体" w:cs="Times New Roman"/>
              <w:sz w:val="24"/>
              <w:szCs w:val="21"/>
            </w:rPr>
            <w:fldChar w:fldCharType="separate"/>
          </w:r>
          <w:r>
            <w:rPr>
              <w:rFonts w:cs="Times New Roman"/>
              <w:szCs w:val="21"/>
            </w:rPr>
            <w:t>14</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"_Toc233054441" </w:instrText>
          </w:r>
          <w:r>
            <w:fldChar w:fldCharType="separate"/>
          </w:r>
          <w:r>
            <w:rPr>
              <w:rStyle w:val="30"/>
              <w:rFonts w:hint="eastAsia" w:cs="Times New Roman"/>
              <w:szCs w:val="21"/>
            </w:rPr>
            <w:t>七、交易及清算交收安排</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_Toc233054441 \h </w:instrText>
          </w:r>
          <w:r>
            <w:rPr>
              <w:rFonts w:hint="eastAsia" w:ascii="宋体" w:hAnsi="宋体" w:cs="Times New Roman"/>
              <w:sz w:val="24"/>
              <w:szCs w:val="21"/>
            </w:rPr>
            <w:fldChar w:fldCharType="separate"/>
          </w:r>
          <w:r>
            <w:rPr>
              <w:rFonts w:cs="Times New Roman"/>
              <w:szCs w:val="21"/>
            </w:rPr>
            <w:t>17</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"_Toc233054442" </w:instrText>
          </w:r>
          <w:r>
            <w:fldChar w:fldCharType="separate"/>
          </w:r>
          <w:r>
            <w:rPr>
              <w:rStyle w:val="30"/>
              <w:rFonts w:hint="eastAsia" w:cs="Times New Roman"/>
              <w:szCs w:val="21"/>
            </w:rPr>
            <w:t>八、基金资产净值计算和会计核算</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_Toc233054442 \h </w:instrText>
          </w:r>
          <w:r>
            <w:rPr>
              <w:rFonts w:hint="eastAsia" w:ascii="宋体" w:hAnsi="宋体" w:cs="Times New Roman"/>
              <w:sz w:val="24"/>
              <w:szCs w:val="21"/>
            </w:rPr>
            <w:fldChar w:fldCharType="separate"/>
          </w:r>
          <w:r>
            <w:rPr>
              <w:rFonts w:cs="Times New Roman"/>
              <w:szCs w:val="21"/>
            </w:rPr>
            <w:t>22</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"_Toc233054443" </w:instrText>
          </w:r>
          <w:r>
            <w:fldChar w:fldCharType="separate"/>
          </w:r>
          <w:r>
            <w:rPr>
              <w:rStyle w:val="30"/>
              <w:rFonts w:hint="eastAsia" w:cs="Times New Roman"/>
              <w:szCs w:val="21"/>
            </w:rPr>
            <w:t>九、基金收益分配</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_Toc233054443 \h </w:instrText>
          </w:r>
          <w:r>
            <w:rPr>
              <w:rFonts w:hint="eastAsia" w:ascii="宋体" w:hAnsi="宋体" w:cs="Times New Roman"/>
              <w:sz w:val="24"/>
              <w:szCs w:val="21"/>
            </w:rPr>
            <w:fldChar w:fldCharType="separate"/>
          </w:r>
          <w:r>
            <w:rPr>
              <w:rFonts w:cs="Times New Roman"/>
              <w:szCs w:val="21"/>
            </w:rPr>
            <w:t>29</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"_Toc233054444" </w:instrText>
          </w:r>
          <w:r>
            <w:fldChar w:fldCharType="separate"/>
          </w:r>
          <w:r>
            <w:rPr>
              <w:rStyle w:val="30"/>
              <w:rFonts w:hint="eastAsia" w:cs="Times New Roman"/>
              <w:szCs w:val="21"/>
            </w:rPr>
            <w:t>十、基金信息披露</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_Toc233054444 \h </w:instrText>
          </w:r>
          <w:r>
            <w:rPr>
              <w:rFonts w:hint="eastAsia" w:ascii="宋体" w:hAnsi="宋体" w:cs="Times New Roman"/>
              <w:sz w:val="24"/>
              <w:szCs w:val="21"/>
            </w:rPr>
            <w:fldChar w:fldCharType="separate"/>
          </w:r>
          <w:r>
            <w:rPr>
              <w:rFonts w:cs="Times New Roman"/>
              <w:szCs w:val="21"/>
            </w:rPr>
            <w:t>30</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"_Toc233054445" </w:instrText>
          </w:r>
          <w:r>
            <w:fldChar w:fldCharType="separate"/>
          </w:r>
          <w:r>
            <w:rPr>
              <w:rStyle w:val="30"/>
              <w:rFonts w:hint="eastAsia" w:cs="Times New Roman"/>
              <w:szCs w:val="21"/>
            </w:rPr>
            <w:t>十一、基金费用</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_Toc233054445 \h </w:instrText>
          </w:r>
          <w:r>
            <w:rPr>
              <w:rFonts w:hint="eastAsia" w:ascii="宋体" w:hAnsi="宋体" w:cs="Times New Roman"/>
              <w:sz w:val="24"/>
              <w:szCs w:val="21"/>
            </w:rPr>
            <w:fldChar w:fldCharType="separate"/>
          </w:r>
          <w:r>
            <w:rPr>
              <w:rFonts w:cs="Times New Roman"/>
              <w:szCs w:val="21"/>
            </w:rPr>
            <w:t>32</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"_Toc233054446" </w:instrText>
          </w:r>
          <w:r>
            <w:fldChar w:fldCharType="separate"/>
          </w:r>
          <w:r>
            <w:rPr>
              <w:rStyle w:val="30"/>
              <w:rFonts w:hint="eastAsia" w:cs="Times New Roman"/>
              <w:szCs w:val="21"/>
            </w:rPr>
            <w:t>十二、基金份额持有人名册的保管</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_Toc233054446 \h </w:instrText>
          </w:r>
          <w:r>
            <w:rPr>
              <w:rFonts w:hint="eastAsia" w:ascii="宋体" w:hAnsi="宋体" w:cs="Times New Roman"/>
              <w:sz w:val="24"/>
              <w:szCs w:val="21"/>
            </w:rPr>
            <w:fldChar w:fldCharType="separate"/>
          </w:r>
          <w:r>
            <w:rPr>
              <w:rFonts w:cs="Times New Roman"/>
              <w:szCs w:val="21"/>
            </w:rPr>
            <w:t>35</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"_Toc233054447" </w:instrText>
          </w:r>
          <w:r>
            <w:fldChar w:fldCharType="separate"/>
          </w:r>
          <w:r>
            <w:rPr>
              <w:rStyle w:val="30"/>
              <w:rFonts w:hint="eastAsia" w:cs="Times New Roman"/>
              <w:szCs w:val="21"/>
            </w:rPr>
            <w:t>十三、基金有关文件档案的保存</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_Toc233054447 \h </w:instrText>
          </w:r>
          <w:r>
            <w:rPr>
              <w:rFonts w:hint="eastAsia" w:ascii="宋体" w:hAnsi="宋体" w:cs="Times New Roman"/>
              <w:sz w:val="24"/>
              <w:szCs w:val="21"/>
            </w:rPr>
            <w:fldChar w:fldCharType="separate"/>
          </w:r>
          <w:r>
            <w:rPr>
              <w:rFonts w:cs="Times New Roman"/>
              <w:szCs w:val="21"/>
            </w:rPr>
            <w:t>35</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"_Toc233054448" </w:instrText>
          </w:r>
          <w:r>
            <w:fldChar w:fldCharType="separate"/>
          </w:r>
          <w:r>
            <w:rPr>
              <w:rStyle w:val="30"/>
              <w:rFonts w:hint="eastAsia" w:cs="Times New Roman"/>
              <w:szCs w:val="21"/>
            </w:rPr>
            <w:t>十四、基金管理人和基金托管人的更换</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_Toc233054448 \h </w:instrText>
          </w:r>
          <w:r>
            <w:rPr>
              <w:rFonts w:hint="eastAsia" w:ascii="宋体" w:hAnsi="宋体" w:cs="Times New Roman"/>
              <w:sz w:val="24"/>
              <w:szCs w:val="21"/>
            </w:rPr>
            <w:fldChar w:fldCharType="separate"/>
          </w:r>
          <w:r>
            <w:rPr>
              <w:rFonts w:cs="Times New Roman"/>
              <w:szCs w:val="21"/>
            </w:rPr>
            <w:t>36</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"_Toc233054449" </w:instrText>
          </w:r>
          <w:r>
            <w:fldChar w:fldCharType="separate"/>
          </w:r>
          <w:r>
            <w:rPr>
              <w:rStyle w:val="30"/>
              <w:rFonts w:hint="eastAsia" w:cs="Times New Roman"/>
              <w:szCs w:val="21"/>
            </w:rPr>
            <w:t>十五、禁止行为</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_Toc233054449 \h </w:instrText>
          </w:r>
          <w:r>
            <w:rPr>
              <w:rFonts w:hint="eastAsia" w:ascii="宋体" w:hAnsi="宋体" w:cs="Times New Roman"/>
              <w:sz w:val="24"/>
              <w:szCs w:val="21"/>
            </w:rPr>
            <w:fldChar w:fldCharType="separate"/>
          </w:r>
          <w:r>
            <w:rPr>
              <w:rFonts w:cs="Times New Roman"/>
              <w:szCs w:val="21"/>
            </w:rPr>
            <w:t>38</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"_Toc233054450" </w:instrText>
          </w:r>
          <w:r>
            <w:fldChar w:fldCharType="separate"/>
          </w:r>
          <w:r>
            <w:rPr>
              <w:rStyle w:val="30"/>
              <w:rFonts w:hint="eastAsia" w:cs="Times New Roman"/>
              <w:szCs w:val="21"/>
            </w:rPr>
            <w:t>十六、托管协议的变更、终止与基金财产的清算</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_Toc233054450 \h </w:instrText>
          </w:r>
          <w:r>
            <w:rPr>
              <w:rFonts w:hint="eastAsia" w:ascii="宋体" w:hAnsi="宋体" w:cs="Times New Roman"/>
              <w:sz w:val="24"/>
              <w:szCs w:val="21"/>
            </w:rPr>
            <w:fldChar w:fldCharType="separate"/>
          </w:r>
          <w:r>
            <w:rPr>
              <w:rFonts w:cs="Times New Roman"/>
              <w:szCs w:val="21"/>
            </w:rPr>
            <w:t>39</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"_Toc233054451" </w:instrText>
          </w:r>
          <w:r>
            <w:fldChar w:fldCharType="separate"/>
          </w:r>
          <w:r>
            <w:rPr>
              <w:rStyle w:val="30"/>
              <w:rFonts w:hint="eastAsia" w:cs="Times New Roman"/>
              <w:szCs w:val="21"/>
            </w:rPr>
            <w:t>十七、违约责任</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_Toc233054451 \h </w:instrText>
          </w:r>
          <w:r>
            <w:rPr>
              <w:rFonts w:hint="eastAsia" w:ascii="宋体" w:hAnsi="宋体" w:cs="Times New Roman"/>
              <w:sz w:val="24"/>
              <w:szCs w:val="21"/>
            </w:rPr>
            <w:fldChar w:fldCharType="separate"/>
          </w:r>
          <w:r>
            <w:rPr>
              <w:rFonts w:cs="Times New Roman"/>
              <w:szCs w:val="21"/>
            </w:rPr>
            <w:t>41</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"_Toc233054452" </w:instrText>
          </w:r>
          <w:r>
            <w:fldChar w:fldCharType="separate"/>
          </w:r>
          <w:r>
            <w:rPr>
              <w:rStyle w:val="30"/>
              <w:rFonts w:hint="eastAsia" w:cs="Times New Roman"/>
              <w:szCs w:val="21"/>
            </w:rPr>
            <w:t>十八、争议解决方式</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_Toc233054452 \h </w:instrText>
          </w:r>
          <w:r>
            <w:rPr>
              <w:rFonts w:hint="eastAsia" w:ascii="宋体" w:hAnsi="宋体" w:cs="Times New Roman"/>
              <w:sz w:val="24"/>
              <w:szCs w:val="21"/>
            </w:rPr>
            <w:fldChar w:fldCharType="separate"/>
          </w:r>
          <w:r>
            <w:rPr>
              <w:rFonts w:cs="Times New Roman"/>
              <w:szCs w:val="21"/>
            </w:rPr>
            <w:t>42</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"_Toc233054453" </w:instrText>
          </w:r>
          <w:r>
            <w:fldChar w:fldCharType="separate"/>
          </w:r>
          <w:r>
            <w:rPr>
              <w:rStyle w:val="30"/>
              <w:rFonts w:hint="eastAsia" w:cs="Times New Roman"/>
              <w:szCs w:val="21"/>
            </w:rPr>
            <w:t>十九、托管协议的效力</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_Toc233054453 \h </w:instrText>
          </w:r>
          <w:r>
            <w:rPr>
              <w:rFonts w:hint="eastAsia" w:ascii="宋体" w:hAnsi="宋体" w:cs="Times New Roman"/>
              <w:sz w:val="24"/>
              <w:szCs w:val="21"/>
            </w:rPr>
            <w:fldChar w:fldCharType="separate"/>
          </w:r>
          <w:r>
            <w:rPr>
              <w:rFonts w:cs="Times New Roman"/>
              <w:szCs w:val="21"/>
            </w:rPr>
            <w:t>42</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"_Toc233054454" </w:instrText>
          </w:r>
          <w:r>
            <w:fldChar w:fldCharType="separate"/>
          </w:r>
          <w:r>
            <w:rPr>
              <w:rStyle w:val="30"/>
              <w:rFonts w:hint="eastAsia" w:cs="Times New Roman"/>
              <w:szCs w:val="21"/>
            </w:rPr>
            <w:t>二十、其他事项</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_Toc233054454 \h </w:instrText>
          </w:r>
          <w:r>
            <w:rPr>
              <w:rFonts w:hint="eastAsia" w:ascii="宋体" w:hAnsi="宋体" w:cs="Times New Roman"/>
              <w:sz w:val="24"/>
              <w:szCs w:val="21"/>
            </w:rPr>
            <w:fldChar w:fldCharType="separate"/>
          </w:r>
          <w:r>
            <w:rPr>
              <w:rFonts w:cs="Times New Roman"/>
              <w:szCs w:val="21"/>
            </w:rPr>
            <w:t>43</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pStyle w:val="20"/>
            <w:tabs>
              <w:tab w:val="right" w:leader="dot" w:pos="8494"/>
            </w:tabs>
            <w:spacing w:line="360" w:lineRule="auto"/>
            <w:rPr>
              <w:rFonts w:cs="Times New Roman"/>
              <w:szCs w:val="21"/>
              <w14:ligatures w14:val="standardContextual"/>
            </w:rPr>
          </w:pPr>
          <w:r>
            <w:fldChar w:fldCharType="begin"/>
          </w:r>
          <w:r>
            <w:instrText xml:space="preserve"> HYPERLINK \l "_Toc233054455" </w:instrText>
          </w:r>
          <w:r>
            <w:fldChar w:fldCharType="separate"/>
          </w:r>
          <w:r>
            <w:rPr>
              <w:rStyle w:val="30"/>
              <w:rFonts w:hint="eastAsia" w:cs="Times New Roman"/>
              <w:szCs w:val="21"/>
            </w:rPr>
            <w:t>二十一、托管协议的签订</w:t>
          </w:r>
          <w:r>
            <w:rPr>
              <w:rFonts w:cs="Times New Roman"/>
              <w:szCs w:val="21"/>
            </w:rPr>
            <w:tab/>
          </w:r>
          <w:r>
            <w:rPr>
              <w:rFonts w:hint="eastAsia" w:ascii="宋体" w:hAnsi="宋体" w:cs="Times New Roman"/>
              <w:sz w:val="24"/>
              <w:szCs w:val="21"/>
            </w:rPr>
            <w:fldChar w:fldCharType="begin"/>
          </w:r>
          <w:r>
            <w:rPr>
              <w:rFonts w:cs="Times New Roman"/>
              <w:szCs w:val="21"/>
            </w:rPr>
            <w:instrText xml:space="preserve"> PAGEREF _Toc233054455 \h </w:instrText>
          </w:r>
          <w:r>
            <w:rPr>
              <w:rFonts w:hint="eastAsia" w:ascii="宋体" w:hAnsi="宋体" w:cs="Times New Roman"/>
              <w:sz w:val="24"/>
              <w:szCs w:val="21"/>
            </w:rPr>
            <w:fldChar w:fldCharType="separate"/>
          </w:r>
          <w:r>
            <w:rPr>
              <w:rFonts w:cs="Times New Roman"/>
              <w:szCs w:val="21"/>
            </w:rPr>
            <w:t>43</w:t>
          </w:r>
          <w:r>
            <w:rPr>
              <w:rFonts w:hint="eastAsia" w:ascii="宋体" w:hAnsi="宋体" w:cs="Times New Roman"/>
              <w:sz w:val="24"/>
              <w:szCs w:val="21"/>
            </w:rPr>
            <w:fldChar w:fldCharType="end"/>
          </w:r>
          <w:r>
            <w:rPr>
              <w:rFonts w:hint="eastAsia" w:ascii="宋体" w:hAnsi="宋体" w:cs="Times New Roman"/>
              <w:sz w:val="24"/>
              <w:szCs w:val="21"/>
            </w:rPr>
            <w:fldChar w:fldCharType="end"/>
          </w:r>
        </w:p>
        <w:p>
          <w:pPr>
            <w:rPr>
              <w:szCs w:val="21"/>
            </w:rPr>
          </w:pPr>
          <w:r>
            <w:rPr>
              <w:rFonts w:cs="Times New Roman"/>
              <w:b/>
              <w:bCs/>
              <w:szCs w:val="21"/>
              <w:lang w:val="zh-CN"/>
            </w:rPr>
            <w:fldChar w:fldCharType="end"/>
          </w:r>
        </w:p>
      </w:sdtContent>
    </w:sdt>
    <w:p>
      <w:pPr>
        <w:widowControl/>
        <w:adjustRightInd w:val="0"/>
        <w:snapToGrid w:val="0"/>
        <w:spacing w:line="360" w:lineRule="auto"/>
        <w:rPr>
          <w:rFonts w:hint="eastAsia" w:ascii="宋体" w:hAnsi="宋体" w:cs="Arial"/>
          <w:kern w:val="0"/>
          <w:szCs w:val="21"/>
        </w:rPr>
      </w:pPr>
    </w:p>
    <w:p>
      <w:pPr>
        <w:widowControl/>
        <w:adjustRightInd w:val="0"/>
        <w:snapToGrid w:val="0"/>
        <w:spacing w:line="360" w:lineRule="auto"/>
        <w:ind w:firstLine="420" w:firstLineChars="200"/>
        <w:rPr>
          <w:rFonts w:hint="eastAsia" w:ascii="宋体" w:hAnsi="宋体" w:cs="Arial"/>
          <w:kern w:val="0"/>
          <w:szCs w:val="21"/>
        </w:rPr>
      </w:pPr>
      <w:r>
        <w:rPr>
          <w:rFonts w:ascii="宋体" w:hAnsi="宋体" w:cs="Arial"/>
          <w:szCs w:val="21"/>
        </w:rPr>
        <w:br w:type="page"/>
      </w:r>
      <w:r>
        <w:rPr>
          <w:rFonts w:hint="eastAsia" w:ascii="宋体" w:hAnsi="宋体" w:cs="Arial"/>
          <w:kern w:val="0"/>
          <w:szCs w:val="21"/>
        </w:rPr>
        <w:t>鉴于华夏基金管理有限公司系一家依照中国法律合法成立并有效存续的有限责任公司，按照相关法律法规的规定具备担任基金管理人的资格和能力，拟募集发行华夏中证</w:t>
      </w:r>
      <w:r>
        <w:rPr>
          <w:rFonts w:ascii="宋体" w:hAnsi="宋体" w:cs="Arial"/>
          <w:kern w:val="0"/>
          <w:szCs w:val="21"/>
        </w:rPr>
        <w:t>REITs</w:t>
      </w:r>
      <w:r>
        <w:rPr>
          <w:rFonts w:hint="eastAsia" w:ascii="宋体" w:hAnsi="宋体" w:cs="Arial"/>
          <w:kern w:val="0"/>
          <w:szCs w:val="21"/>
        </w:rPr>
        <w:t>全收益指数证券投资基金；</w:t>
      </w:r>
    </w:p>
    <w:p>
      <w:pPr>
        <w:widowControl/>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鉴于中国建设银行股份有限公司系一家依照中国法律合法成立并有效存续的银行，按照相关法律法规的规定具备担任基金托管人的资格和能力；</w:t>
      </w:r>
    </w:p>
    <w:p>
      <w:pPr>
        <w:widowControl/>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鉴于华夏基金管理有限公司拟担任华夏中证</w:t>
      </w:r>
      <w:r>
        <w:rPr>
          <w:rFonts w:ascii="宋体" w:hAnsi="宋体" w:cs="Arial"/>
          <w:kern w:val="0"/>
          <w:szCs w:val="21"/>
        </w:rPr>
        <w:t>REITs</w:t>
      </w:r>
      <w:r>
        <w:rPr>
          <w:rFonts w:hint="eastAsia" w:ascii="宋体" w:hAnsi="宋体" w:cs="Arial"/>
          <w:kern w:val="0"/>
          <w:szCs w:val="21"/>
        </w:rPr>
        <w:t>全收益指数证券投资基金的基金管理人，中国建设银行股份有限公司拟担任华夏中证</w:t>
      </w:r>
      <w:r>
        <w:rPr>
          <w:rFonts w:ascii="宋体" w:hAnsi="宋体" w:cs="Arial"/>
          <w:kern w:val="0"/>
          <w:szCs w:val="21"/>
        </w:rPr>
        <w:t>REITs</w:t>
      </w:r>
      <w:r>
        <w:rPr>
          <w:rFonts w:hint="eastAsia" w:ascii="宋体" w:hAnsi="宋体" w:cs="Arial"/>
          <w:kern w:val="0"/>
          <w:szCs w:val="21"/>
        </w:rPr>
        <w:t>全收益指数证券投资基金的基金托管人；</w:t>
      </w:r>
    </w:p>
    <w:p>
      <w:pPr>
        <w:widowControl/>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为明确华夏中证</w:t>
      </w:r>
      <w:r>
        <w:rPr>
          <w:rFonts w:ascii="宋体" w:hAnsi="宋体" w:cs="Arial"/>
          <w:kern w:val="0"/>
          <w:szCs w:val="21"/>
        </w:rPr>
        <w:t>REITs</w:t>
      </w:r>
      <w:r>
        <w:rPr>
          <w:rFonts w:hint="eastAsia" w:ascii="宋体" w:hAnsi="宋体" w:cs="Arial"/>
          <w:kern w:val="0"/>
          <w:szCs w:val="21"/>
        </w:rPr>
        <w:t>全收益指数证券投资基金的基金管理人和基金托管人之间的权利义务关系，特制订本托管协议；</w:t>
      </w:r>
    </w:p>
    <w:p>
      <w:pPr>
        <w:widowControl/>
        <w:adjustRightInd w:val="0"/>
        <w:snapToGrid w:val="0"/>
        <w:spacing w:line="360" w:lineRule="auto"/>
        <w:ind w:firstLine="420" w:firstLineChars="200"/>
        <w:rPr>
          <w:rFonts w:hint="eastAsia" w:ascii="宋体" w:hAnsi="宋体" w:cs="Arial"/>
          <w:kern w:val="0"/>
          <w:szCs w:val="21"/>
          <w:lang w:val="en-GB"/>
        </w:rPr>
      </w:pPr>
      <w:r>
        <w:rPr>
          <w:rFonts w:hint="eastAsia" w:ascii="宋体" w:hAnsi="宋体" w:cs="Arial"/>
          <w:kern w:val="0"/>
          <w:szCs w:val="21"/>
          <w:lang w:val="en-GB"/>
        </w:rPr>
        <w:t>除非另有约定，《</w:t>
      </w:r>
      <w:r>
        <w:rPr>
          <w:rFonts w:hint="eastAsia" w:ascii="宋体" w:hAnsi="宋体" w:cs="Arial"/>
          <w:kern w:val="0"/>
          <w:szCs w:val="21"/>
        </w:rPr>
        <w:t>华夏中证</w:t>
      </w:r>
      <w:r>
        <w:rPr>
          <w:rFonts w:ascii="宋体" w:hAnsi="宋体" w:cs="Arial"/>
          <w:kern w:val="0"/>
          <w:szCs w:val="21"/>
        </w:rPr>
        <w:t>REITs全收益指数</w:t>
      </w:r>
      <w:r>
        <w:rPr>
          <w:rFonts w:hint="eastAsia" w:ascii="宋体" w:hAnsi="宋体" w:cs="Arial"/>
          <w:kern w:val="0"/>
          <w:szCs w:val="21"/>
          <w:lang w:val="en-GB"/>
        </w:rPr>
        <w:t>证券投资基金基金合同》</w:t>
      </w:r>
      <w:r>
        <w:rPr>
          <w:rFonts w:ascii="宋体" w:hAnsi="宋体" w:cs="Arial"/>
          <w:kern w:val="0"/>
          <w:szCs w:val="21"/>
          <w:lang w:val="en-GB"/>
        </w:rPr>
        <w:t>(以下简称“基金合同”或“《基金合同》”)中定义的术语在用于本托管协议时应具有相同的含义；若有抵触应以《基金合同》为准，并依其</w:t>
      </w:r>
      <w:r>
        <w:rPr>
          <w:rFonts w:hint="eastAsia" w:ascii="宋体" w:hAnsi="宋体" w:cs="Arial"/>
          <w:kern w:val="0"/>
          <w:szCs w:val="21"/>
        </w:rPr>
        <w:t>条款</w:t>
      </w:r>
      <w:r>
        <w:rPr>
          <w:rFonts w:hint="eastAsia" w:ascii="宋体" w:hAnsi="宋体" w:cs="Arial"/>
          <w:kern w:val="0"/>
          <w:szCs w:val="21"/>
          <w:lang w:val="en-GB"/>
        </w:rPr>
        <w:t>解释。</w:t>
      </w:r>
    </w:p>
    <w:p>
      <w:pPr>
        <w:widowControl/>
        <w:adjustRightInd w:val="0"/>
        <w:snapToGrid w:val="0"/>
        <w:spacing w:line="360" w:lineRule="auto"/>
        <w:ind w:firstLine="420" w:firstLineChars="200"/>
        <w:rPr>
          <w:rFonts w:hint="eastAsia" w:ascii="宋体" w:hAnsi="宋体" w:cs="Arial"/>
          <w:kern w:val="0"/>
          <w:szCs w:val="21"/>
        </w:rPr>
      </w:pPr>
      <w:r>
        <w:rPr>
          <w:rFonts w:ascii="宋体" w:hAnsi="宋体" w:cs="Arial"/>
          <w:kern w:val="0"/>
          <w:szCs w:val="21"/>
        </w:rPr>
        <w:t>若本基金实施侧袋机制的，侧袋机制实施期间的相关安排按照基金合同的规定执行。</w:t>
      </w:r>
    </w:p>
    <w:p>
      <w:pPr>
        <w:spacing w:line="360" w:lineRule="auto"/>
        <w:rPr>
          <w:rFonts w:hint="eastAsia" w:ascii="宋体" w:hAnsi="宋体"/>
          <w:szCs w:val="21"/>
          <w:lang w:val="en-GB"/>
        </w:rPr>
      </w:pPr>
    </w:p>
    <w:p>
      <w:pPr>
        <w:pStyle w:val="3"/>
        <w:spacing w:line="360" w:lineRule="auto"/>
        <w:jc w:val="center"/>
        <w:rPr>
          <w:rFonts w:hint="eastAsia" w:ascii="宋体" w:hAnsi="宋体" w:eastAsia="宋体"/>
          <w:sz w:val="21"/>
          <w:szCs w:val="21"/>
        </w:rPr>
      </w:pPr>
      <w:bookmarkStart w:id="0" w:name="_Toc124325885"/>
      <w:bookmarkStart w:id="1" w:name="_Toc233054435"/>
      <w:r>
        <w:rPr>
          <w:rFonts w:hint="eastAsia" w:ascii="宋体" w:hAnsi="宋体" w:eastAsia="宋体"/>
          <w:sz w:val="21"/>
          <w:szCs w:val="21"/>
        </w:rPr>
        <w:t>一、基金托管协议当事人</w:t>
      </w:r>
      <w:bookmarkEnd w:id="0"/>
      <w:bookmarkEnd w:id="1"/>
    </w:p>
    <w:p>
      <w:pPr>
        <w:spacing w:line="360" w:lineRule="auto"/>
        <w:ind w:firstLine="420" w:firstLineChars="200"/>
        <w:rPr>
          <w:rFonts w:hint="eastAsia" w:ascii="宋体" w:hAnsi="宋体" w:cs="Arial"/>
          <w:szCs w:val="21"/>
        </w:rPr>
      </w:pPr>
      <w:r>
        <w:rPr>
          <w:rFonts w:hint="eastAsia" w:ascii="宋体" w:hAnsi="宋体" w:cs="Arial"/>
          <w:szCs w:val="21"/>
        </w:rPr>
        <w:t>（一）基金管理人</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名称：华夏基金管理有限公司</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注册地址：北京市顺义区安庆大街甲3号院</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办公地址：</w:t>
      </w:r>
      <w:r>
        <w:rPr>
          <w:rFonts w:hint="eastAsia" w:ascii="宋体" w:hAnsi="宋体" w:cs="Arial"/>
          <w:szCs w:val="21"/>
        </w:rPr>
        <w:t>北京市朝阳区北辰西路</w:t>
      </w:r>
      <w:r>
        <w:rPr>
          <w:rFonts w:ascii="宋体" w:hAnsi="宋体" w:cs="Arial"/>
          <w:szCs w:val="21"/>
        </w:rPr>
        <w:t>6号院北辰中心C座5层</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邮政编码：100101</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法定代表人：</w:t>
      </w:r>
      <w:r>
        <w:rPr>
          <w:rFonts w:hint="eastAsia" w:ascii="宋体" w:hAnsi="宋体" w:cs="Arial"/>
          <w:szCs w:val="21"/>
        </w:rPr>
        <w:t>邹迎光</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成立日期：1998</w:t>
      </w:r>
      <w:r>
        <w:rPr>
          <w:rFonts w:hint="eastAsia" w:ascii="宋体" w:hAnsi="宋体" w:cs="Arial"/>
          <w:szCs w:val="21"/>
        </w:rPr>
        <w:t>年</w:t>
      </w:r>
      <w:r>
        <w:rPr>
          <w:rFonts w:ascii="宋体" w:hAnsi="宋体" w:cs="Arial"/>
          <w:szCs w:val="21"/>
        </w:rPr>
        <w:t>4</w:t>
      </w:r>
      <w:r>
        <w:rPr>
          <w:rFonts w:hint="eastAsia" w:ascii="宋体" w:hAnsi="宋体" w:cs="Arial"/>
          <w:szCs w:val="21"/>
        </w:rPr>
        <w:t>月</w:t>
      </w:r>
      <w:r>
        <w:rPr>
          <w:rFonts w:ascii="宋体" w:hAnsi="宋体" w:cs="Arial"/>
          <w:szCs w:val="21"/>
        </w:rPr>
        <w:t>9</w:t>
      </w:r>
      <w:r>
        <w:rPr>
          <w:rFonts w:hint="eastAsia" w:ascii="宋体" w:hAnsi="宋体" w:cs="Arial"/>
          <w:szCs w:val="21"/>
        </w:rPr>
        <w:t>日</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批准设立机关及批准设立文号：中国证监会证监基字[1998]16号文</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组织形式：有限责任公司</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注册资本：2.38亿元人民币</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存续期间：100年</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经营范围：（一）基金募集；（二）基金销售；（三）资产管理；（四）从事特定客户资产管理业务；（五）中国证监会核准的其他业务。</w:t>
      </w:r>
    </w:p>
    <w:p>
      <w:pPr>
        <w:adjustRightInd w:val="0"/>
        <w:snapToGrid w:val="0"/>
        <w:spacing w:line="360" w:lineRule="auto"/>
        <w:ind w:firstLine="420" w:firstLineChars="200"/>
        <w:rPr>
          <w:rFonts w:hint="eastAsia" w:ascii="宋体" w:hAnsi="宋体" w:cs="Arial"/>
          <w:szCs w:val="21"/>
        </w:rPr>
      </w:pPr>
    </w:p>
    <w:p>
      <w:pPr>
        <w:spacing w:line="360" w:lineRule="auto"/>
        <w:ind w:firstLine="420" w:firstLineChars="200"/>
        <w:rPr>
          <w:rFonts w:hint="eastAsia" w:ascii="宋体" w:hAnsi="宋体" w:cs="Arial"/>
          <w:szCs w:val="21"/>
        </w:rPr>
      </w:pPr>
      <w:r>
        <w:rPr>
          <w:rFonts w:hint="eastAsia" w:ascii="宋体" w:hAnsi="宋体" w:cs="Arial"/>
          <w:szCs w:val="21"/>
        </w:rPr>
        <w:t>（二）基金托管人</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名称：中国建设银行股份有限公司</w:t>
      </w:r>
      <w:r>
        <w:rPr>
          <w:rFonts w:ascii="宋体" w:hAnsi="宋体" w:cs="Arial"/>
          <w:szCs w:val="21"/>
        </w:rPr>
        <w:t>(简称：中国建设银行)</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住所：北京市西城区金融大街</w:t>
      </w:r>
      <w:r>
        <w:rPr>
          <w:rFonts w:ascii="宋体" w:hAnsi="宋体" w:cs="Arial"/>
          <w:szCs w:val="21"/>
        </w:rPr>
        <w:t>25号</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办公地址：北京市西城区闹市口大街</w:t>
      </w:r>
      <w:r>
        <w:rPr>
          <w:rFonts w:ascii="宋体" w:hAnsi="宋体" w:cs="Arial"/>
          <w:szCs w:val="21"/>
        </w:rPr>
        <w:t>1号院1号楼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邮政编码：</w:t>
      </w:r>
      <w:r>
        <w:rPr>
          <w:rFonts w:ascii="宋体" w:hAnsi="宋体" w:cs="Arial"/>
          <w:szCs w:val="21"/>
        </w:rPr>
        <w:t>100033</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法定代表人：张金良</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成立日期：</w:t>
      </w:r>
      <w:r>
        <w:rPr>
          <w:rFonts w:ascii="宋体" w:hAnsi="宋体" w:cs="Arial"/>
          <w:szCs w:val="21"/>
        </w:rPr>
        <w:t>2004年09月17日</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基金托管业务批准文号：中国证监会证监基字</w:t>
      </w:r>
      <w:r>
        <w:rPr>
          <w:rFonts w:ascii="宋体" w:hAnsi="宋体" w:cs="Arial"/>
          <w:szCs w:val="21"/>
        </w:rPr>
        <w:t>[1998</w:t>
      </w:r>
      <w:bookmarkStart w:id="2" w:name="OLE_LINK3"/>
      <w:r>
        <w:rPr>
          <w:rFonts w:ascii="宋体" w:hAnsi="宋体" w:cs="Arial"/>
          <w:szCs w:val="21"/>
        </w:rPr>
        <w:t>]</w:t>
      </w:r>
      <w:bookmarkEnd w:id="2"/>
      <w:r>
        <w:rPr>
          <w:rFonts w:ascii="宋体" w:hAnsi="宋体" w:cs="Arial"/>
          <w:szCs w:val="21"/>
        </w:rPr>
        <w:t>12号</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批准设立机关和批准设立文号：中国银行业监督管理委员会复【</w:t>
      </w:r>
      <w:r>
        <w:rPr>
          <w:rFonts w:ascii="宋体" w:hAnsi="宋体" w:cs="Arial"/>
          <w:szCs w:val="21"/>
        </w:rPr>
        <w:t>2004】143号</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组织形式：股份有限公司</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注册资本：贰仟陆佰壹拾陆亿零叁拾捌万壹仟肆佰伍拾玖元整</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存续期间：持续经营</w:t>
      </w:r>
    </w:p>
    <w:p>
      <w:pPr>
        <w:tabs>
          <w:tab w:val="left" w:pos="540"/>
        </w:tabs>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pPr>
        <w:spacing w:line="360" w:lineRule="auto"/>
        <w:rPr>
          <w:rFonts w:hint="eastAsia" w:ascii="宋体" w:hAnsi="宋体"/>
          <w:szCs w:val="21"/>
        </w:rPr>
      </w:pPr>
    </w:p>
    <w:p>
      <w:pPr>
        <w:pStyle w:val="3"/>
        <w:spacing w:line="360" w:lineRule="auto"/>
        <w:jc w:val="center"/>
        <w:rPr>
          <w:rFonts w:hint="eastAsia" w:ascii="宋体" w:hAnsi="宋体" w:eastAsia="宋体"/>
          <w:sz w:val="21"/>
          <w:szCs w:val="21"/>
        </w:rPr>
      </w:pPr>
      <w:bookmarkStart w:id="3" w:name="_Toc233054436"/>
      <w:bookmarkStart w:id="4" w:name="_Toc124325886"/>
      <w:r>
        <w:rPr>
          <w:rFonts w:hint="eastAsia" w:ascii="宋体" w:hAnsi="宋体" w:eastAsia="宋体"/>
          <w:sz w:val="21"/>
          <w:szCs w:val="21"/>
        </w:rPr>
        <w:t>二、基金托管协议的依据、目的和原则</w:t>
      </w:r>
      <w:bookmarkEnd w:id="3"/>
      <w:bookmarkEnd w:id="4"/>
    </w:p>
    <w:p>
      <w:pPr>
        <w:adjustRightInd w:val="0"/>
        <w:snapToGrid w:val="0"/>
        <w:spacing w:line="360" w:lineRule="auto"/>
        <w:ind w:firstLine="420" w:firstLineChars="200"/>
        <w:rPr>
          <w:rFonts w:hint="eastAsia" w:ascii="宋体" w:hAnsi="宋体"/>
          <w:szCs w:val="21"/>
        </w:rPr>
      </w:pPr>
      <w:r>
        <w:rPr>
          <w:rFonts w:hint="eastAsia" w:ascii="宋体" w:hAnsi="宋体" w:cs="Arial"/>
          <w:szCs w:val="21"/>
        </w:rPr>
        <w:t>（一）订立托管协议的依据</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本协议依据《中华人民共和国证券投资基金法》</w:t>
      </w:r>
      <w:r>
        <w:rPr>
          <w:rFonts w:ascii="宋体" w:hAnsi="宋体" w:cs="Arial"/>
          <w:szCs w:val="21"/>
        </w:rPr>
        <w:t>(以下简称“《基金法》”)</w:t>
      </w:r>
      <w:r>
        <w:rPr>
          <w:rFonts w:hint="eastAsia"/>
          <w:szCs w:val="21"/>
        </w:rPr>
        <w:t xml:space="preserve"> </w:t>
      </w:r>
      <w:r>
        <w:rPr>
          <w:rFonts w:hint="eastAsia" w:ascii="宋体" w:hAnsi="宋体" w:cs="Arial"/>
          <w:szCs w:val="21"/>
        </w:rPr>
        <w:t>、《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公开募集证券投资基金运作指引第</w:t>
      </w:r>
      <w:r>
        <w:rPr>
          <w:rFonts w:ascii="宋体" w:hAnsi="宋体" w:cs="Arial"/>
          <w:szCs w:val="21"/>
        </w:rPr>
        <w:t>3号——指数基金指引》、《公开募集证券投资基金运作指引第2号--基金中基金指引》等有关法律法规、《基金合同》及其他有关规定制订。</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（二）订立托管协议的目的</w:t>
      </w:r>
    </w:p>
    <w:p>
      <w:pPr>
        <w:adjustRightInd w:val="0"/>
        <w:snapToGrid w:val="0"/>
        <w:spacing w:line="360" w:lineRule="auto"/>
        <w:ind w:firstLine="420" w:firstLineChars="200"/>
        <w:rPr>
          <w:rFonts w:hint="eastAsia" w:ascii="宋体" w:hAnsi="宋体"/>
          <w:szCs w:val="21"/>
        </w:rPr>
      </w:pPr>
      <w:r>
        <w:rPr>
          <w:rFonts w:hint="eastAsia" w:ascii="宋体" w:hAnsi="宋体" w:cs="Arial"/>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（三）订立托管协议的原则</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基金管理人和基金托管人本着平等自愿、诚实信用、充分保护基金份额持有人合法权益的原则，经协商一致，签订本协议。</w:t>
      </w:r>
    </w:p>
    <w:p>
      <w:pPr>
        <w:spacing w:line="360" w:lineRule="auto"/>
        <w:ind w:firstLine="420" w:firstLineChars="200"/>
        <w:rPr>
          <w:rFonts w:hint="eastAsia" w:ascii="宋体" w:hAnsi="宋体"/>
          <w:szCs w:val="21"/>
        </w:rPr>
      </w:pPr>
      <w:r>
        <w:rPr>
          <w:rFonts w:ascii="宋体" w:hAnsi="宋体"/>
          <w:szCs w:val="21"/>
        </w:rPr>
        <w:t>(四)托管人免责声明</w:t>
      </w:r>
    </w:p>
    <w:p>
      <w:pPr>
        <w:spacing w:line="360" w:lineRule="auto"/>
        <w:ind w:firstLine="420" w:firstLineChars="200"/>
        <w:rPr>
          <w:rFonts w:hint="eastAsia" w:ascii="宋体" w:hAnsi="宋体"/>
          <w:szCs w:val="21"/>
        </w:rPr>
      </w:pPr>
      <w:r>
        <w:rPr>
          <w:rFonts w:ascii="宋体" w:hAnsi="宋体"/>
          <w:szCs w:val="21"/>
        </w:rPr>
        <w:t xml:space="preserve"> 基金托管人开展托管业务，不得承担以下职责：</w:t>
      </w:r>
    </w:p>
    <w:p>
      <w:pPr>
        <w:spacing w:line="360" w:lineRule="auto"/>
        <w:ind w:firstLine="420" w:firstLineChars="200"/>
        <w:rPr>
          <w:rFonts w:hint="eastAsia" w:ascii="宋体" w:hAnsi="宋体"/>
          <w:szCs w:val="21"/>
        </w:rPr>
      </w:pPr>
      <w:r>
        <w:rPr>
          <w:rFonts w:ascii="宋体" w:hAnsi="宋体"/>
          <w:szCs w:val="21"/>
        </w:rPr>
        <w:t>1.承担基金财产的信用风险、市场风险等；</w:t>
      </w:r>
    </w:p>
    <w:p>
      <w:pPr>
        <w:spacing w:line="360" w:lineRule="auto"/>
        <w:ind w:firstLine="420" w:firstLineChars="200"/>
        <w:rPr>
          <w:rFonts w:hint="eastAsia" w:ascii="宋体" w:hAnsi="宋体"/>
          <w:szCs w:val="21"/>
        </w:rPr>
      </w:pPr>
      <w:r>
        <w:rPr>
          <w:rFonts w:ascii="宋体" w:hAnsi="宋体"/>
          <w:szCs w:val="21"/>
        </w:rPr>
        <w:t>2.为基金提供直接或间接、显性或隐性担保，包括承诺本金或保证收益；</w:t>
      </w:r>
    </w:p>
    <w:p>
      <w:pPr>
        <w:spacing w:line="360" w:lineRule="auto"/>
        <w:ind w:firstLine="420" w:firstLineChars="200"/>
        <w:rPr>
          <w:rFonts w:hint="eastAsia" w:ascii="宋体" w:hAnsi="宋体"/>
          <w:szCs w:val="21"/>
        </w:rPr>
      </w:pPr>
      <w:r>
        <w:rPr>
          <w:rFonts w:ascii="宋体" w:hAnsi="宋体"/>
          <w:szCs w:val="21"/>
        </w:rPr>
        <w:t>3.为基金垫付资金、提供流动性支持或融资承诺等；</w:t>
      </w:r>
    </w:p>
    <w:p>
      <w:pPr>
        <w:spacing w:line="360" w:lineRule="auto"/>
        <w:ind w:firstLine="420" w:firstLineChars="200"/>
        <w:rPr>
          <w:rFonts w:hint="eastAsia" w:ascii="宋体" w:hAnsi="宋体"/>
          <w:szCs w:val="21"/>
        </w:rPr>
      </w:pPr>
      <w:r>
        <w:rPr>
          <w:rFonts w:ascii="宋体" w:hAnsi="宋体"/>
          <w:szCs w:val="21"/>
        </w:rPr>
        <w:t>4.参与投资者适当性管理；</w:t>
      </w:r>
    </w:p>
    <w:p>
      <w:pPr>
        <w:spacing w:line="360" w:lineRule="auto"/>
        <w:ind w:firstLine="420" w:firstLineChars="200"/>
        <w:rPr>
          <w:rFonts w:hint="eastAsia" w:ascii="宋体" w:hAnsi="宋体"/>
          <w:szCs w:val="21"/>
        </w:rPr>
      </w:pPr>
      <w:r>
        <w:rPr>
          <w:rFonts w:ascii="宋体" w:hAnsi="宋体"/>
          <w:szCs w:val="21"/>
        </w:rPr>
        <w:t>5.保证投资项目及交易信息真实性；</w:t>
      </w:r>
    </w:p>
    <w:p>
      <w:pPr>
        <w:spacing w:line="360" w:lineRule="auto"/>
        <w:ind w:firstLine="420" w:firstLineChars="200"/>
        <w:rPr>
          <w:rFonts w:hint="eastAsia" w:ascii="宋体" w:hAnsi="宋体"/>
          <w:szCs w:val="21"/>
        </w:rPr>
      </w:pPr>
      <w:r>
        <w:rPr>
          <w:rFonts w:ascii="宋体" w:hAnsi="宋体"/>
          <w:szCs w:val="21"/>
        </w:rPr>
        <w:t>6.保证基金资金来源的合法合</w:t>
      </w:r>
      <w:r>
        <w:rPr>
          <w:rFonts w:hint="eastAsia" w:ascii="宋体" w:hAnsi="宋体"/>
          <w:szCs w:val="21"/>
        </w:rPr>
        <w:t>规性；</w:t>
      </w:r>
    </w:p>
    <w:p>
      <w:pPr>
        <w:spacing w:line="360" w:lineRule="auto"/>
        <w:ind w:firstLine="420" w:firstLineChars="200"/>
        <w:rPr>
          <w:rFonts w:hint="eastAsia" w:ascii="宋体" w:hAnsi="宋体"/>
          <w:szCs w:val="21"/>
        </w:rPr>
      </w:pPr>
      <w:r>
        <w:rPr>
          <w:rFonts w:ascii="宋体" w:hAnsi="宋体"/>
          <w:szCs w:val="21"/>
        </w:rPr>
        <w:t>7.对已划出托管账户以及处于基金托管人实际控制之外的资产承担保管责任；</w:t>
      </w:r>
    </w:p>
    <w:p>
      <w:pPr>
        <w:spacing w:line="360" w:lineRule="auto"/>
        <w:ind w:firstLine="420" w:firstLineChars="200"/>
        <w:rPr>
          <w:rFonts w:hint="eastAsia" w:ascii="宋体" w:hAnsi="宋体"/>
          <w:szCs w:val="21"/>
        </w:rPr>
      </w:pPr>
      <w:r>
        <w:rPr>
          <w:rFonts w:ascii="宋体" w:hAnsi="宋体"/>
          <w:szCs w:val="21"/>
        </w:rPr>
        <w:t>8.参与基金管理人对基金的投资决策；</w:t>
      </w:r>
    </w:p>
    <w:p>
      <w:pPr>
        <w:spacing w:line="360" w:lineRule="auto"/>
        <w:ind w:firstLine="420" w:firstLineChars="200"/>
        <w:rPr>
          <w:rFonts w:hint="eastAsia" w:ascii="宋体" w:hAnsi="宋体"/>
          <w:szCs w:val="21"/>
        </w:rPr>
      </w:pPr>
      <w:r>
        <w:rPr>
          <w:rFonts w:ascii="宋体" w:hAnsi="宋体"/>
          <w:szCs w:val="21"/>
        </w:rPr>
        <w:t>9.违规代替基金管理人向其他机构或者个人进行基金信息披露或提供相关数据信息；</w:t>
      </w:r>
    </w:p>
    <w:p>
      <w:pPr>
        <w:spacing w:line="360" w:lineRule="auto"/>
        <w:ind w:firstLine="420" w:firstLineChars="200"/>
        <w:rPr>
          <w:rFonts w:hint="eastAsia" w:ascii="宋体" w:hAnsi="宋体"/>
          <w:szCs w:val="21"/>
        </w:rPr>
      </w:pPr>
      <w:r>
        <w:rPr>
          <w:rFonts w:ascii="宋体" w:hAnsi="宋体"/>
          <w:szCs w:val="21"/>
        </w:rPr>
        <w:t>10.基金管理人未接受基金托管人的复核意见进行信息披露产生的相应责任；</w:t>
      </w:r>
    </w:p>
    <w:p>
      <w:pPr>
        <w:spacing w:line="360" w:lineRule="auto"/>
        <w:ind w:firstLine="420" w:firstLineChars="200"/>
        <w:rPr>
          <w:rFonts w:hint="eastAsia" w:ascii="宋体" w:hAnsi="宋体"/>
          <w:szCs w:val="21"/>
        </w:rPr>
      </w:pPr>
      <w:r>
        <w:rPr>
          <w:rFonts w:ascii="宋体" w:hAnsi="宋体"/>
          <w:szCs w:val="21"/>
        </w:rPr>
        <w:t>11.负责未兑付产品的资金追偿、财产保全、诉讼仲裁、债务重组和破产程序等，法律另有规定的除外；</w:t>
      </w:r>
    </w:p>
    <w:p>
      <w:pPr>
        <w:spacing w:line="360" w:lineRule="auto"/>
        <w:ind w:firstLine="420" w:firstLineChars="200"/>
        <w:rPr>
          <w:rFonts w:hint="eastAsia" w:ascii="宋体" w:hAnsi="宋体"/>
          <w:szCs w:val="21"/>
        </w:rPr>
      </w:pPr>
      <w:r>
        <w:rPr>
          <w:rFonts w:ascii="宋体" w:hAnsi="宋体"/>
          <w:szCs w:val="21"/>
        </w:rPr>
        <w:t>12.因不可抗力，以及非本机构履职错误或过失造成的托管资产损失；</w:t>
      </w:r>
    </w:p>
    <w:p>
      <w:pPr>
        <w:spacing w:line="360" w:lineRule="auto"/>
        <w:ind w:firstLine="420" w:firstLineChars="200"/>
        <w:rPr>
          <w:rFonts w:hint="eastAsia" w:ascii="宋体" w:hAnsi="宋体"/>
          <w:szCs w:val="21"/>
        </w:rPr>
      </w:pPr>
      <w:r>
        <w:rPr>
          <w:rFonts w:ascii="宋体" w:hAnsi="宋体"/>
          <w:szCs w:val="21"/>
        </w:rPr>
        <w:t>13.国务院金融监管部门规定的不属于基金托管人托管业务范围的其他职责。</w:t>
      </w:r>
    </w:p>
    <w:p>
      <w:pPr>
        <w:pStyle w:val="3"/>
        <w:spacing w:line="360" w:lineRule="auto"/>
        <w:jc w:val="center"/>
        <w:rPr>
          <w:rFonts w:hint="eastAsia" w:ascii="宋体" w:hAnsi="宋体" w:eastAsia="宋体"/>
          <w:sz w:val="21"/>
          <w:szCs w:val="21"/>
        </w:rPr>
      </w:pPr>
      <w:bookmarkStart w:id="5" w:name="_Toc124325887"/>
      <w:bookmarkStart w:id="6" w:name="_Toc233054437"/>
      <w:r>
        <w:rPr>
          <w:rFonts w:hint="eastAsia" w:ascii="宋体" w:hAnsi="宋体" w:eastAsia="宋体"/>
          <w:sz w:val="21"/>
          <w:szCs w:val="21"/>
        </w:rPr>
        <w:t>三、基金托管人对基金管理人的业务监督和核查</w:t>
      </w:r>
      <w:bookmarkEnd w:id="5"/>
      <w:bookmarkEnd w:id="6"/>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本基金主要投资于标的指数成份券、备选成份券。为更好地实现投资目标，基金还可少量投资于其他经中国证监会依法核准或注册的公开募集的基金份额（包括公募</w:t>
      </w:r>
      <w:r>
        <w:rPr>
          <w:rFonts w:ascii="宋体" w:hAnsi="宋体" w:cs="Arial"/>
          <w:szCs w:val="21"/>
        </w:rPr>
        <w:t>REITs、债券ETF</w:t>
      </w:r>
      <w:r>
        <w:rPr>
          <w:rFonts w:hint="eastAsia" w:ascii="宋体" w:hAnsi="宋体" w:cs="Arial"/>
          <w:szCs w:val="21"/>
        </w:rPr>
        <w:t>）、债券（包括国债、央行票据、金融债券、企业债券、公司债券、中期票据、短期融资券、超短期融资券、公开发行的次级债券、地方政府债券及其他经中国证监会允许投资的债券）、资产支持证券、货币市场工具（含同业存单、债券回购等）、银行存款以及法律法规或中国证监会允许基金投资的其他金融工具。如法律法规或监管机构以后允许基金投资其他品种，基金管理人在履行适当程序后，可以将其纳入投资范围。</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基金投资于标的指数成份券及备选成份券的比例不低于基金资产净值的</w:t>
      </w:r>
      <w:r>
        <w:rPr>
          <w:rFonts w:ascii="宋体" w:hAnsi="宋体" w:cs="Arial"/>
          <w:szCs w:val="21"/>
        </w:rPr>
        <w:t>90%；本基金每个交易日日终保持不低于基金资产净值5%的现金或者到期日在1年以内的政府债券。其中，现金不包括结算备付金、存出保证金、应收申购款等。</w:t>
      </w:r>
    </w:p>
    <w:p>
      <w:pPr>
        <w:adjustRightInd w:val="0"/>
        <w:snapToGrid w:val="0"/>
        <w:spacing w:line="360" w:lineRule="auto"/>
        <w:ind w:firstLine="420" w:firstLineChars="200"/>
        <w:rPr>
          <w:rFonts w:hint="eastAsia" w:ascii="宋体" w:hAnsi="宋体"/>
          <w:szCs w:val="21"/>
        </w:rPr>
      </w:pPr>
      <w:r>
        <w:rPr>
          <w:rFonts w:hint="eastAsia" w:ascii="宋体" w:hAnsi="宋体" w:cs="Arial"/>
          <w:szCs w:val="21"/>
        </w:rPr>
        <w:t>如法律法规或中国证监会变更投资品种的投资比例限制，基金管理人在履行适当程序后，可以调整上述投资品种的投资比例。</w:t>
      </w:r>
    </w:p>
    <w:p>
      <w:pPr>
        <w:adjustRightInd w:val="0"/>
        <w:snapToGrid w:val="0"/>
        <w:spacing w:line="360" w:lineRule="auto"/>
        <w:ind w:firstLine="420" w:firstLineChars="200"/>
        <w:rPr>
          <w:rFonts w:hint="eastAsia" w:ascii="宋体" w:hAnsi="宋体"/>
          <w:szCs w:val="21"/>
        </w:rPr>
      </w:pPr>
      <w:r>
        <w:rPr>
          <w:rFonts w:hint="eastAsia" w:ascii="宋体" w:hAnsi="宋体"/>
          <w:szCs w:val="21"/>
        </w:rPr>
        <w:t>（二）基金托管人根据有关法律法规的规定及《基金合同》的约定，对基金投资、融资比例进行监督。基金托管人按下述比例和调整期限进行监督：</w:t>
      </w:r>
    </w:p>
    <w:p>
      <w:pPr>
        <w:adjustRightInd w:val="0"/>
        <w:snapToGrid w:val="0"/>
        <w:spacing w:line="360" w:lineRule="auto"/>
        <w:ind w:firstLine="420" w:firstLineChars="200"/>
        <w:rPr>
          <w:rFonts w:hint="eastAsia" w:ascii="宋体" w:hAnsi="宋体" w:cs="Arial"/>
          <w:szCs w:val="21"/>
        </w:rPr>
      </w:pPr>
      <w:r>
        <w:rPr>
          <w:rFonts w:ascii="宋体" w:hAnsi="宋体"/>
          <w:color w:val="000000"/>
          <w:szCs w:val="21"/>
        </w:rPr>
        <w:t>（</w:t>
      </w:r>
      <w:r>
        <w:rPr>
          <w:rFonts w:ascii="宋体" w:hAnsi="宋体" w:cs="Arial"/>
          <w:szCs w:val="21"/>
        </w:rPr>
        <w:t>1）本</w:t>
      </w:r>
      <w:r>
        <w:rPr>
          <w:rFonts w:hint="eastAsia" w:ascii="宋体" w:hAnsi="宋体" w:cs="Arial"/>
          <w:szCs w:val="21"/>
        </w:rPr>
        <w:t>基金投资于标的指数成份券及备选成份券的比例不低于基金资产净值的</w:t>
      </w:r>
      <w:r>
        <w:rPr>
          <w:rFonts w:ascii="宋体" w:hAnsi="宋体" w:cs="Arial"/>
          <w:szCs w:val="21"/>
        </w:rPr>
        <w:t>90%；</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（2）每个交易日日终保持不低于基金资产净值5%的现金或者到期日在1年以内的政府债券。其中，现金不包括结算备付金、存出保证金、应收申购款等</w:t>
      </w:r>
      <w:r>
        <w:rPr>
          <w:rFonts w:hint="eastAsia" w:ascii="宋体" w:hAnsi="宋体" w:cs="Arial"/>
          <w:szCs w:val="21"/>
        </w:rPr>
        <w:t>；</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3）本基金持有单只基金的市值，不高于本基金资产净值的20%，且不得持有其他基金中基金，但本基金对标的指数</w:t>
      </w:r>
      <w:r>
        <w:rPr>
          <w:rFonts w:hint="eastAsia" w:ascii="宋体" w:hAnsi="宋体" w:cs="Arial"/>
          <w:szCs w:val="21"/>
        </w:rPr>
        <w:t>成份券及备选成份券的投资不受此限制；</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4）除ETF联接基金外，本基金管理人管理的全部基金中基金持有单只基金不超过被投资基金净资产的20%，被投资基金净资产规模以最近定期报告披露的规模为准，但本基金对标的指数</w:t>
      </w:r>
      <w:r>
        <w:rPr>
          <w:rFonts w:hint="eastAsia" w:ascii="宋体" w:hAnsi="宋体" w:cs="Arial"/>
          <w:szCs w:val="21"/>
        </w:rPr>
        <w:t>成份券及备选成份券的投资不受此限制；</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5）本基金投资其他基金时，被投资基金的运作期限应当不少于1年，最近定期报告披露的基金净资产应当不低于1亿元，但本基金对标的指数</w:t>
      </w:r>
      <w:r>
        <w:rPr>
          <w:rFonts w:hint="eastAsia" w:ascii="宋体" w:hAnsi="宋体" w:cs="Arial"/>
          <w:szCs w:val="21"/>
        </w:rPr>
        <w:t>成份券及备选成份券的投资不受此限制；</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（6）本基金投资于同一原始权益人的各类资产支持证券的比例，不得超过基金资产净值的10％；</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（7）本基金持有的全部资产支持证券，其市值不得超过基金资产净值的20％；</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（8）本基金持有的同一</w:t>
      </w:r>
      <w:r>
        <w:rPr>
          <w:rFonts w:hint="eastAsia" w:ascii="宋体" w:hAnsi="宋体" w:cs="Arial"/>
          <w:szCs w:val="21"/>
        </w:rPr>
        <w:t>（</w:t>
      </w:r>
      <w:r>
        <w:rPr>
          <w:rFonts w:ascii="宋体" w:hAnsi="宋体" w:cs="Arial"/>
          <w:szCs w:val="21"/>
        </w:rPr>
        <w:t>指同一信用级别</w:t>
      </w:r>
      <w:r>
        <w:rPr>
          <w:rFonts w:hint="eastAsia" w:ascii="宋体" w:hAnsi="宋体" w:cs="Arial"/>
          <w:szCs w:val="21"/>
        </w:rPr>
        <w:t>）</w:t>
      </w:r>
      <w:r>
        <w:rPr>
          <w:rFonts w:ascii="宋体" w:hAnsi="宋体" w:cs="Arial"/>
          <w:szCs w:val="21"/>
        </w:rPr>
        <w:t>资产支持证券的比例，不得超过该资产支持证券规模的10％；</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（9）本基金管理人管理的且由本基金托管人托管的全部基金投资于同一原始权益人的各类资产支持证券，不得超过其各类资产支持证券合计规模的10％；</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（10）本基金应投资于信用级别评级为BBB以上(含BBB)的资产支持证券。基金持有资产支持证券期间，如果其信用等级下降、不再符合投资标准，应在评级报告发布之日起3个月内予以全部卖出；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（11）本基金进</w:t>
      </w:r>
      <w:r>
        <w:rPr>
          <w:rFonts w:hint="eastAsia" w:ascii="宋体" w:hAnsi="宋体" w:cs="Arial"/>
          <w:szCs w:val="21"/>
        </w:rPr>
        <w:t>行债券正回购的资金余额或逆回购的资金余额不得超过其上一日</w:t>
      </w:r>
      <w:r>
        <w:rPr>
          <w:rFonts w:ascii="宋体" w:hAnsi="宋体" w:cs="Arial"/>
          <w:szCs w:val="21"/>
        </w:rPr>
        <w:t>基金资产净值的40%</w:t>
      </w:r>
      <w:r>
        <w:rPr>
          <w:rFonts w:hint="eastAsia" w:ascii="宋体" w:hAnsi="宋体" w:cs="Arial"/>
          <w:szCs w:val="21"/>
        </w:rPr>
        <w:t>，债券回购的最长期限为</w:t>
      </w:r>
      <w:r>
        <w:rPr>
          <w:rFonts w:ascii="宋体" w:hAnsi="宋体" w:cs="Arial"/>
          <w:szCs w:val="21"/>
        </w:rPr>
        <w:t>1年；</w:t>
      </w:r>
    </w:p>
    <w:p>
      <w:pPr>
        <w:adjustRightInd w:val="0"/>
        <w:snapToGrid w:val="0"/>
        <w:spacing w:line="360" w:lineRule="auto"/>
        <w:ind w:firstLine="420" w:firstLineChars="200"/>
        <w:rPr>
          <w:rFonts w:hint="eastAsia" w:ascii="宋体" w:hAnsi="宋体" w:cs="Arial"/>
          <w:szCs w:val="21"/>
        </w:rPr>
      </w:pPr>
      <w:r>
        <w:rPr>
          <w:rFonts w:hint="eastAsia" w:eastAsia="等线"/>
          <w:bCs/>
          <w:color w:val="000000"/>
          <w:szCs w:val="21"/>
        </w:rPr>
        <w:t>（</w:t>
      </w:r>
      <w:r>
        <w:rPr>
          <w:rFonts w:ascii="宋体" w:hAnsi="宋体" w:cs="Arial"/>
          <w:szCs w:val="21"/>
        </w:rPr>
        <w:t>12）本基金总资产不得超过基金净资产的 140%；</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（13）本基金主动投资于流动性受限资产的市值合计不得超过</w:t>
      </w:r>
      <w:r>
        <w:rPr>
          <w:rFonts w:hint="eastAsia" w:ascii="宋体" w:hAnsi="宋体" w:cs="Arial"/>
          <w:szCs w:val="21"/>
        </w:rPr>
        <w:t>本</w:t>
      </w:r>
      <w:r>
        <w:rPr>
          <w:rFonts w:ascii="宋体" w:hAnsi="宋体" w:cs="Arial"/>
          <w:szCs w:val="21"/>
        </w:rPr>
        <w:t>基金资产净值的15%；因证券市场波动、基金规模变动等基金管理人之外的因素致使基金不符合该比例限制的，基金管理人不得主动新增流动性受限资产的投资；</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14）法律法规及中国证监会规定的和《基金合同》约定的其他投资限制。</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因证券市场波动、基金规模变动等基金管理人之外因素致使基金投资不符合前款第（</w:t>
      </w:r>
      <w:r>
        <w:rPr>
          <w:rFonts w:ascii="宋体" w:hAnsi="宋体" w:cs="Arial"/>
          <w:szCs w:val="21"/>
        </w:rPr>
        <w:t>3）、（4）项约定的投资比例的，基金管理人应当在20个交易日内进行调整，但中国证监会规定的特殊情形除外。</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除上述第（2）、</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13</w:t>
      </w:r>
      <w:r>
        <w:rPr>
          <w:rFonts w:hint="eastAsia" w:ascii="宋体" w:hAnsi="宋体"/>
          <w:bCs/>
          <w:color w:val="000000" w:themeColor="text1"/>
          <w:szCs w:val="21"/>
          <w14:textFill>
            <w14:solidFill>
              <w14:schemeClr w14:val="tx1"/>
            </w14:solidFill>
          </w14:textFill>
        </w:rPr>
        <w:t>）</w:t>
      </w:r>
      <w:r>
        <w:rPr>
          <w:rFonts w:ascii="宋体" w:hAnsi="宋体" w:cs="Arial"/>
          <w:szCs w:val="21"/>
        </w:rPr>
        <w:t>项外，因证券市场波动、</w:t>
      </w:r>
      <w:r>
        <w:rPr>
          <w:rFonts w:hint="eastAsia" w:ascii="宋体" w:hAnsi="宋体" w:cs="Arial"/>
          <w:szCs w:val="21"/>
        </w:rPr>
        <w:t>证券发行人</w:t>
      </w:r>
      <w:r>
        <w:rPr>
          <w:rFonts w:ascii="宋体" w:hAnsi="宋体" w:cs="Arial"/>
          <w:szCs w:val="21"/>
        </w:rPr>
        <w:t>合并、基金规模变动、标的指数成份券调整、标的指数成份券流动性限制等基金管理人之外的因素致使基金投资比例不符合上述规定投资比例的，基金管理人应当在</w:t>
      </w:r>
      <w:r>
        <w:rPr>
          <w:rFonts w:hint="eastAsia" w:ascii="宋体" w:hAnsi="宋体" w:cs="Arial"/>
          <w:szCs w:val="21"/>
        </w:rPr>
        <w:t>相关标的流动性恢复后</w:t>
      </w:r>
      <w:r>
        <w:rPr>
          <w:rFonts w:ascii="宋体" w:hAnsi="宋体" w:cs="Arial"/>
          <w:szCs w:val="21"/>
        </w:rPr>
        <w:t>10个交易日内进行调整，但中国证监会规定的特殊情形除外。</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法律法规或监管部门取消上述限制，如适用于本基金，基金管理人在履行适当程序与基金托管人协商一致后，则本基金投资不再受相关限制。若因法律法规变更导致本合同关于投资范围、投资比例、投资限制的约定与届时有效的法律法规规定存在不一致或冲突，基金管理人应当按届时有效的法律法规的规定执行。</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（三）基金托管人</w:t>
      </w:r>
      <w:bookmarkStart w:id="7" w:name="OLE_LINK1"/>
      <w:r>
        <w:rPr>
          <w:rFonts w:hint="eastAsia" w:ascii="宋体" w:hAnsi="宋体" w:cs="Arial"/>
          <w:szCs w:val="21"/>
        </w:rPr>
        <w:t>根据有关法律法规的规定及《基金合同》的约定，</w:t>
      </w:r>
      <w:bookmarkEnd w:id="7"/>
      <w:r>
        <w:rPr>
          <w:rFonts w:hint="eastAsia" w:ascii="宋体" w:hAnsi="宋体" w:cs="Arial"/>
          <w:szCs w:val="21"/>
        </w:rPr>
        <w:t>对本托管协议第十五条第（九）款基金投资禁止行为通过事后监督方式进行监督。</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本基金投资基金管理人或基金管理人关联方或基金托管人关联方管理基金的情况，不属于前述重大关联交易，但是应当按照法律法规或监管规定的要求履行信息披露义务。</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（四）基金托管人根据有关法律法规的规定及《基金合同》的约定，对基金管理人投资流通受限证券进行监督。</w:t>
      </w:r>
    </w:p>
    <w:p>
      <w:pPr>
        <w:adjustRightInd w:val="0"/>
        <w:snapToGrid w:val="0"/>
        <w:spacing w:line="360" w:lineRule="auto"/>
        <w:ind w:firstLine="420" w:firstLineChars="200"/>
        <w:rPr>
          <w:rFonts w:hint="eastAsia" w:ascii="宋体" w:hAnsi="宋体" w:cs="Arial"/>
          <w:szCs w:val="21"/>
        </w:rPr>
      </w:pPr>
      <w:r>
        <w:rPr>
          <w:rFonts w:hint="eastAsia" w:ascii="宋体" w:hAnsi="宋体"/>
          <w:szCs w:val="21"/>
        </w:rPr>
        <w:t>基金管理人投资流通受限证券，应事先根据中国证监会相关规定，明确基金投资流通受限证券的比例，</w:t>
      </w:r>
      <w:r>
        <w:rPr>
          <w:rFonts w:hint="eastAsia" w:ascii="宋体" w:hAnsi="宋体" w:cs="Arial"/>
          <w:szCs w:val="21"/>
        </w:rPr>
        <w:t>制订严格的投资决策流程和风险控制制度，防范流动性风险、法律风险和操作风险等各种风险。</w:t>
      </w:r>
    </w:p>
    <w:p>
      <w:pPr>
        <w:adjustRightInd w:val="0"/>
        <w:snapToGrid w:val="0"/>
        <w:spacing w:line="360" w:lineRule="auto"/>
        <w:ind w:firstLine="420" w:firstLineChars="200"/>
        <w:rPr>
          <w:rFonts w:hint="eastAsia" w:ascii="宋体" w:hAnsi="宋体"/>
          <w:szCs w:val="21"/>
        </w:rPr>
      </w:pPr>
      <w:r>
        <w:rPr>
          <w:rFonts w:ascii="宋体" w:hAnsi="宋体" w:cs="Arial"/>
          <w:szCs w:val="21"/>
        </w:rPr>
        <w:t>1.本基金</w:t>
      </w:r>
      <w:r>
        <w:rPr>
          <w:rFonts w:hint="eastAsia" w:ascii="宋体" w:hAnsi="宋体"/>
          <w:szCs w:val="21"/>
        </w:rPr>
        <w:t>投资的流通受限证券须为经中国证监会批准的在发行时明确一定期限锁定期的可交易证券，不包括由于发布重大消息或其他原因而临时停牌的证券、已发行未上市证券、回购交易中的质押券等流通受限证券。本基金不投资有锁定期但锁定期不明确的证券。</w:t>
      </w:r>
    </w:p>
    <w:p>
      <w:pPr>
        <w:spacing w:line="360" w:lineRule="auto"/>
        <w:ind w:firstLine="420" w:firstLineChars="200"/>
        <w:rPr>
          <w:rFonts w:hint="eastAsia" w:ascii="宋体" w:hAnsi="宋体"/>
          <w:szCs w:val="21"/>
        </w:rPr>
      </w:pPr>
      <w:r>
        <w:rPr>
          <w:rFonts w:hint="eastAsia" w:ascii="宋体" w:hAnsi="宋体" w:cs="Arial"/>
          <w:szCs w:val="21"/>
        </w:rPr>
        <w:t>本基金</w:t>
      </w:r>
      <w:r>
        <w:rPr>
          <w:rFonts w:hint="eastAsia" w:ascii="宋体" w:hAnsi="宋体"/>
          <w:szCs w:val="21"/>
        </w:rPr>
        <w:t>投资的流通受限证券限于可由中国证券登记结算有限责任公司或中央国债登记结算有限责任公司负责登记和存管，并可在证券交易所或全国银行间债券市场交易的证券。</w:t>
      </w:r>
    </w:p>
    <w:p>
      <w:pPr>
        <w:adjustRightInd w:val="0"/>
        <w:snapToGrid w:val="0"/>
        <w:spacing w:line="360" w:lineRule="auto"/>
        <w:ind w:firstLine="420" w:firstLineChars="200"/>
        <w:rPr>
          <w:rFonts w:hint="eastAsia" w:ascii="宋体" w:hAnsi="宋体"/>
          <w:szCs w:val="21"/>
        </w:rPr>
      </w:pPr>
      <w:r>
        <w:rPr>
          <w:rFonts w:hint="eastAsia" w:ascii="宋体" w:hAnsi="宋体" w:cs="Arial"/>
          <w:szCs w:val="21"/>
        </w:rPr>
        <w:t>本基金</w:t>
      </w:r>
      <w:r>
        <w:rPr>
          <w:rFonts w:hint="eastAsia" w:ascii="宋体" w:hAnsi="宋体"/>
          <w:szCs w:val="21"/>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本基金</w:t>
      </w:r>
      <w:r>
        <w:rPr>
          <w:rFonts w:hint="eastAsia" w:ascii="宋体" w:hAnsi="宋体"/>
          <w:szCs w:val="21"/>
        </w:rPr>
        <w:t>投资流通受限证券，不得预付任何形式的保证金。</w:t>
      </w:r>
      <w:r>
        <w:rPr>
          <w:rFonts w:hint="eastAsia" w:ascii="宋体" w:hAnsi="宋体" w:cs="Arial"/>
          <w:szCs w:val="21"/>
        </w:rPr>
        <w:t>若有最新法律法规、监管政策变更规定的，根据最新法律法规、监管政策执行</w:t>
      </w:r>
    </w:p>
    <w:p>
      <w:pPr>
        <w:spacing w:line="360" w:lineRule="auto"/>
        <w:ind w:firstLine="420" w:firstLineChars="200"/>
        <w:rPr>
          <w:rFonts w:hint="eastAsia" w:ascii="宋体" w:hAnsi="宋体"/>
          <w:szCs w:val="21"/>
        </w:rPr>
      </w:pPr>
      <w:r>
        <w:rPr>
          <w:rFonts w:ascii="宋体" w:hAnsi="宋体" w:cs="Arial"/>
          <w:szCs w:val="21"/>
        </w:rPr>
        <w:t>2.</w:t>
      </w:r>
      <w:r>
        <w:rPr>
          <w:rFonts w:hint="eastAsia" w:ascii="宋体" w:hAnsi="宋体"/>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pPr>
        <w:adjustRightInd w:val="0"/>
        <w:snapToGrid w:val="0"/>
        <w:spacing w:line="360" w:lineRule="auto"/>
        <w:ind w:firstLine="420" w:firstLineChars="200"/>
        <w:rPr>
          <w:rFonts w:hint="eastAsia" w:ascii="宋体" w:hAnsi="宋体"/>
          <w:szCs w:val="21"/>
        </w:rPr>
      </w:pPr>
      <w:r>
        <w:rPr>
          <w:rFonts w:ascii="宋体" w:hAnsi="宋体" w:cs="Arial"/>
          <w:szCs w:val="21"/>
        </w:rPr>
        <w:t>3.</w:t>
      </w:r>
      <w:r>
        <w:rPr>
          <w:rFonts w:hint="eastAsia" w:ascii="宋体" w:hAnsi="宋体"/>
          <w:szCs w:val="21"/>
        </w:rPr>
        <w:t>相关法律法规对基金投资流通受限证券有新规定的，从其规定。</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（六）基金托管人投资监督的准确性和完整性受限于基金管理人、证券经纪商及其他中介机构提供的数据和信息。基金托管人在充分获取所必需数据信息的前提下提供投资监督服务。</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（八）若基金托管人发现基金管理人依据交易程序已经生效的指令违反法律、行政法规和其他有关规定，或者违反《基金合同》约定的，应当及时通知基金管理人，由此造成的损失由基金管理人承担。</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pPr>
        <w:pStyle w:val="3"/>
        <w:spacing w:line="360" w:lineRule="auto"/>
        <w:jc w:val="center"/>
        <w:rPr>
          <w:rFonts w:hint="eastAsia" w:ascii="宋体" w:hAnsi="宋体" w:eastAsia="宋体"/>
          <w:sz w:val="21"/>
          <w:szCs w:val="21"/>
        </w:rPr>
      </w:pPr>
      <w:bookmarkStart w:id="8" w:name="_Toc110761796"/>
      <w:bookmarkStart w:id="9" w:name="_Toc86737929"/>
      <w:bookmarkStart w:id="10" w:name="_Toc89163368"/>
      <w:bookmarkStart w:id="11" w:name="_Toc233054438"/>
      <w:bookmarkStart w:id="12" w:name="_Toc108512358"/>
      <w:bookmarkStart w:id="13" w:name="_Toc118774803"/>
      <w:bookmarkStart w:id="14" w:name="_Toc120435783"/>
      <w:bookmarkStart w:id="15" w:name="_Toc86223242"/>
      <w:bookmarkStart w:id="16" w:name="_Toc86225291"/>
      <w:bookmarkStart w:id="17" w:name="_Toc86727355"/>
      <w:bookmarkStart w:id="18" w:name="_Toc86726439"/>
      <w:bookmarkStart w:id="19" w:name="_Toc118972648"/>
      <w:bookmarkStart w:id="20" w:name="_Toc110765660"/>
      <w:bookmarkStart w:id="21" w:name="_Toc86649722"/>
      <w:bookmarkStart w:id="22" w:name="_Toc124325888"/>
      <w:bookmarkStart w:id="23" w:name="_Toc118212950"/>
      <w:bookmarkStart w:id="24" w:name="_Toc119402710"/>
      <w:bookmarkStart w:id="25" w:name="_Toc110830492"/>
      <w:r>
        <w:rPr>
          <w:rFonts w:hint="eastAsia" w:ascii="宋体" w:hAnsi="宋体" w:eastAsia="宋体"/>
          <w:sz w:val="21"/>
          <w:szCs w:val="21"/>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adjustRightInd w:val="0"/>
        <w:snapToGrid w:val="0"/>
        <w:spacing w:line="360" w:lineRule="auto"/>
        <w:ind w:firstLine="480"/>
        <w:rPr>
          <w:rFonts w:hint="eastAsia" w:ascii="宋体" w:hAnsi="宋体" w:cs="Arial"/>
          <w:szCs w:val="21"/>
        </w:rPr>
      </w:pPr>
      <w:r>
        <w:rPr>
          <w:rFonts w:hint="eastAsia" w:ascii="宋体" w:hAnsi="宋体" w:cs="Arial"/>
          <w:szCs w:val="21"/>
        </w:rPr>
        <w:t>（一）基金管理人对基金托管人履行托管职责情况进行核查，核查事项包括基金托管人安全保管基金财产、开设基金财产的资金账户和证券账户、复核基金管理人计算的基金资产净值和各类基金份额净值、根据基金管理人指令办理清算交收、相关信息披露和监督基金投资运作等行为。</w:t>
      </w:r>
    </w:p>
    <w:p>
      <w:pPr>
        <w:adjustRightInd w:val="0"/>
        <w:snapToGrid w:val="0"/>
        <w:spacing w:line="360" w:lineRule="auto"/>
        <w:ind w:firstLine="480"/>
        <w:rPr>
          <w:rFonts w:hint="eastAsia" w:ascii="宋体" w:hAnsi="宋体" w:cs="Arial"/>
          <w:szCs w:val="21"/>
        </w:rPr>
      </w:pPr>
      <w:r>
        <w:rPr>
          <w:rFonts w:hint="eastAsia" w:ascii="宋体" w:hAnsi="宋体" w:cs="Arial"/>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pPr>
        <w:adjustRightInd w:val="0"/>
        <w:snapToGrid w:val="0"/>
        <w:spacing w:line="360" w:lineRule="auto"/>
        <w:ind w:firstLine="480"/>
        <w:rPr>
          <w:rFonts w:hint="eastAsia" w:ascii="宋体" w:hAnsi="宋体" w:cs="Arial"/>
          <w:szCs w:val="21"/>
        </w:rPr>
      </w:pPr>
      <w:r>
        <w:rPr>
          <w:rFonts w:hint="eastAsia" w:ascii="宋体" w:hAnsi="宋体" w:cs="Arial"/>
          <w:szCs w:val="21"/>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pPr>
        <w:spacing w:line="360" w:lineRule="auto"/>
        <w:rPr>
          <w:rFonts w:hint="eastAsia" w:ascii="宋体" w:hAnsi="宋体"/>
          <w:szCs w:val="21"/>
        </w:rPr>
      </w:pPr>
    </w:p>
    <w:p>
      <w:pPr>
        <w:pStyle w:val="3"/>
        <w:spacing w:line="360" w:lineRule="auto"/>
        <w:jc w:val="center"/>
        <w:rPr>
          <w:rFonts w:hint="eastAsia" w:ascii="宋体" w:hAnsi="宋体" w:eastAsia="宋体"/>
          <w:sz w:val="21"/>
          <w:szCs w:val="21"/>
        </w:rPr>
      </w:pPr>
      <w:bookmarkStart w:id="26" w:name="_Toc110765661"/>
      <w:bookmarkStart w:id="27" w:name="_Toc84234388"/>
      <w:bookmarkStart w:id="28" w:name="_Toc86223243"/>
      <w:bookmarkStart w:id="29" w:name="_Toc118774804"/>
      <w:bookmarkStart w:id="30" w:name="_Toc108512359"/>
      <w:bookmarkStart w:id="31" w:name="_Toc110761797"/>
      <w:bookmarkStart w:id="32" w:name="_Toc86225292"/>
      <w:bookmarkStart w:id="33" w:name="_Toc86727356"/>
      <w:bookmarkStart w:id="34" w:name="_Toc120435784"/>
      <w:bookmarkStart w:id="35" w:name="_Toc124325889"/>
      <w:bookmarkStart w:id="36" w:name="_Toc86204789"/>
      <w:bookmarkStart w:id="37" w:name="_Toc110830493"/>
      <w:bookmarkStart w:id="38" w:name="_Toc233054439"/>
      <w:bookmarkStart w:id="39" w:name="_Toc118212951"/>
      <w:bookmarkStart w:id="40" w:name="_Toc118972649"/>
      <w:bookmarkStart w:id="41" w:name="_Toc86726440"/>
      <w:bookmarkStart w:id="42" w:name="_Toc86649723"/>
      <w:bookmarkStart w:id="43" w:name="_Toc84133786"/>
      <w:bookmarkStart w:id="44" w:name="_Toc84234435"/>
      <w:bookmarkStart w:id="45" w:name="_Toc119402711"/>
      <w:bookmarkStart w:id="46" w:name="_Toc89163369"/>
      <w:bookmarkStart w:id="47" w:name="_Toc86737930"/>
      <w:r>
        <w:rPr>
          <w:rFonts w:hint="eastAsia" w:ascii="宋体" w:hAnsi="宋体" w:eastAsia="宋体"/>
          <w:sz w:val="21"/>
          <w:szCs w:val="21"/>
        </w:rPr>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adjustRightInd w:val="0"/>
        <w:snapToGrid w:val="0"/>
        <w:spacing w:line="360" w:lineRule="auto"/>
        <w:ind w:firstLine="480"/>
        <w:rPr>
          <w:rFonts w:hint="eastAsia" w:ascii="宋体" w:hAnsi="宋体" w:cs="Arial"/>
          <w:szCs w:val="21"/>
        </w:rPr>
      </w:pPr>
      <w:r>
        <w:rPr>
          <w:rFonts w:hint="eastAsia" w:ascii="宋体" w:hAnsi="宋体" w:cs="Arial"/>
          <w:szCs w:val="21"/>
        </w:rPr>
        <w:t>（一）基金财产保管的原则</w:t>
      </w:r>
    </w:p>
    <w:p>
      <w:pPr>
        <w:adjustRightInd w:val="0"/>
        <w:snapToGrid w:val="0"/>
        <w:spacing w:line="360" w:lineRule="auto"/>
        <w:ind w:firstLine="480"/>
        <w:rPr>
          <w:rFonts w:hint="eastAsia" w:ascii="宋体" w:hAnsi="宋体" w:cs="Arial"/>
          <w:szCs w:val="21"/>
        </w:rPr>
      </w:pPr>
      <w:r>
        <w:rPr>
          <w:rFonts w:ascii="宋体" w:hAnsi="宋体" w:cs="Arial"/>
          <w:szCs w:val="21"/>
        </w:rPr>
        <w:t>1.基金财产应独立于原始权益人、基金管理人、基金托管人的固有财产。</w:t>
      </w:r>
    </w:p>
    <w:p>
      <w:pPr>
        <w:adjustRightInd w:val="0"/>
        <w:snapToGrid w:val="0"/>
        <w:spacing w:line="360" w:lineRule="auto"/>
        <w:ind w:firstLine="480"/>
        <w:rPr>
          <w:rFonts w:hint="eastAsia" w:ascii="宋体" w:hAnsi="宋体" w:cs="Arial"/>
          <w:szCs w:val="21"/>
        </w:rPr>
      </w:pPr>
      <w:r>
        <w:rPr>
          <w:rFonts w:ascii="宋体" w:hAnsi="宋体" w:cs="Arial"/>
          <w:szCs w:val="21"/>
        </w:rPr>
        <w:t>2.基金托管人应安全保管基金财产，未经基金管理人的合法合</w:t>
      </w:r>
      <w:r>
        <w:rPr>
          <w:rFonts w:hint="eastAsia" w:ascii="宋体" w:hAnsi="宋体" w:cs="Arial"/>
          <w:szCs w:val="21"/>
        </w:rPr>
        <w:t>规指令或法律法规、《基金合同》及本协议另有规定，不得自行运用、处分、分配基金的任何财产。</w:t>
      </w:r>
    </w:p>
    <w:p>
      <w:pPr>
        <w:adjustRightInd w:val="0"/>
        <w:snapToGrid w:val="0"/>
        <w:spacing w:line="360" w:lineRule="auto"/>
        <w:ind w:firstLine="480"/>
        <w:rPr>
          <w:rFonts w:hint="eastAsia" w:ascii="宋体" w:hAnsi="宋体" w:cs="Arial"/>
          <w:szCs w:val="21"/>
        </w:rPr>
      </w:pPr>
      <w:r>
        <w:rPr>
          <w:rFonts w:ascii="宋体" w:hAnsi="宋体" w:cs="Arial"/>
          <w:szCs w:val="21"/>
        </w:rPr>
        <w:t>3.基金托管人按照规定开设基金财产的资金账户和证券账户。</w:t>
      </w:r>
    </w:p>
    <w:p>
      <w:pPr>
        <w:adjustRightInd w:val="0"/>
        <w:snapToGrid w:val="0"/>
        <w:spacing w:line="360" w:lineRule="auto"/>
        <w:ind w:firstLine="480"/>
        <w:rPr>
          <w:rFonts w:hint="eastAsia" w:ascii="宋体" w:hAnsi="宋体" w:cs="Arial"/>
          <w:szCs w:val="21"/>
        </w:rPr>
      </w:pPr>
      <w:r>
        <w:rPr>
          <w:rFonts w:ascii="宋体" w:hAnsi="宋体" w:cs="Arial"/>
          <w:szCs w:val="21"/>
        </w:rPr>
        <w:t>4.基金托管人对所托管的不同基金财产分别设置账户，确保基金财产的完整与独立。</w:t>
      </w:r>
    </w:p>
    <w:p>
      <w:pPr>
        <w:adjustRightInd w:val="0"/>
        <w:snapToGrid w:val="0"/>
        <w:spacing w:line="360" w:lineRule="auto"/>
        <w:ind w:firstLine="480"/>
        <w:rPr>
          <w:rFonts w:hint="eastAsia" w:ascii="宋体" w:hAnsi="宋体" w:cs="Arial"/>
          <w:szCs w:val="21"/>
        </w:rPr>
      </w:pPr>
      <w:r>
        <w:rPr>
          <w:rFonts w:ascii="宋体" w:hAnsi="宋体" w:cs="Arial"/>
          <w:szCs w:val="21"/>
        </w:rPr>
        <w:t>5.基金托管人按照《基金合同》和本协议的约定保管基金财产，如有特殊情况双方可另行协商解决。基金</w:t>
      </w:r>
      <w:r>
        <w:rPr>
          <w:rFonts w:hint="eastAsia" w:ascii="宋体" w:hAnsi="宋体"/>
          <w:szCs w:val="21"/>
        </w:rPr>
        <w:t>托管人未经基金管理人的指令，不得自行运用、处分、分配本基金的任何资产（不包含基金托管人依据中国证券登记结算有限责任公司结算数据完成场内交易交收、开户银行或交易</w:t>
      </w:r>
      <w:r>
        <w:rPr>
          <w:rFonts w:ascii="宋体" w:hAnsi="宋体"/>
          <w:szCs w:val="21"/>
        </w:rPr>
        <w:t>/登记结算机构扣</w:t>
      </w:r>
      <w:r>
        <w:rPr>
          <w:rFonts w:hint="eastAsia" w:ascii="宋体" w:hAnsi="宋体"/>
          <w:szCs w:val="21"/>
        </w:rPr>
        <w:t>收交易费、结算费和账户维护费等费用）。</w:t>
      </w:r>
    </w:p>
    <w:p>
      <w:pPr>
        <w:adjustRightInd w:val="0"/>
        <w:snapToGrid w:val="0"/>
        <w:spacing w:line="360" w:lineRule="auto"/>
        <w:ind w:firstLine="480"/>
        <w:rPr>
          <w:rFonts w:hint="eastAsia" w:ascii="宋体" w:hAnsi="宋体" w:cs="Arial"/>
          <w:szCs w:val="21"/>
        </w:rPr>
      </w:pPr>
      <w:r>
        <w:rPr>
          <w:rFonts w:ascii="宋体" w:hAnsi="宋体" w:cs="Arial"/>
          <w:szCs w:val="21"/>
        </w:rPr>
        <w:t>6.对于因为基金投资产生的应收资产，应由基金管理人负责与有关当事人确定到账日期并通知基金托管人，到账日基金财产没有到达基金账户的，基金托管人应及时通知基金管理人</w:t>
      </w:r>
      <w:r>
        <w:rPr>
          <w:rFonts w:hint="eastAsia" w:ascii="宋体" w:hAnsi="宋体" w:cs="Arial"/>
          <w:szCs w:val="21"/>
        </w:rPr>
        <w:t>采取措施进行催收。由此给基金财产造成损失的，基金管理人应负责向有关当事人追偿基金财产的损失，基金托管人应予以充分的协助和配合，但对此不承担任何责任。</w:t>
      </w:r>
    </w:p>
    <w:p>
      <w:pPr>
        <w:adjustRightInd w:val="0"/>
        <w:snapToGrid w:val="0"/>
        <w:spacing w:line="360" w:lineRule="auto"/>
        <w:ind w:firstLine="480"/>
        <w:rPr>
          <w:rFonts w:hint="eastAsia" w:ascii="宋体" w:hAnsi="宋体" w:cs="Arial"/>
          <w:szCs w:val="21"/>
        </w:rPr>
      </w:pPr>
      <w:r>
        <w:rPr>
          <w:rFonts w:ascii="宋体" w:hAnsi="宋体" w:cs="Arial"/>
          <w:szCs w:val="21"/>
        </w:rPr>
        <w:t>7.除依据法律法规和《基金合同》的规定外，基金托管人不得委托第三人托管基金财产。</w:t>
      </w:r>
    </w:p>
    <w:p>
      <w:pPr>
        <w:adjustRightInd w:val="0"/>
        <w:snapToGrid w:val="0"/>
        <w:spacing w:line="360" w:lineRule="auto"/>
        <w:ind w:firstLine="480"/>
        <w:rPr>
          <w:rFonts w:hint="eastAsia" w:ascii="宋体" w:hAnsi="宋体" w:cs="Arial"/>
          <w:szCs w:val="21"/>
        </w:rPr>
      </w:pPr>
      <w:r>
        <w:rPr>
          <w:rFonts w:hint="eastAsia" w:ascii="宋体" w:hAnsi="宋体" w:cs="Arial"/>
          <w:szCs w:val="21"/>
        </w:rPr>
        <w:t>（二）基金募集期间及募集资金的验资</w:t>
      </w:r>
    </w:p>
    <w:p>
      <w:pPr>
        <w:adjustRightInd w:val="0"/>
        <w:snapToGrid w:val="0"/>
        <w:spacing w:line="360" w:lineRule="auto"/>
        <w:ind w:firstLine="480"/>
        <w:rPr>
          <w:rFonts w:hint="eastAsia" w:ascii="宋体" w:hAnsi="宋体" w:cs="Arial"/>
          <w:szCs w:val="21"/>
        </w:rPr>
      </w:pPr>
      <w:r>
        <w:rPr>
          <w:rFonts w:ascii="宋体" w:hAnsi="宋体" w:cs="Arial"/>
          <w:szCs w:val="21"/>
        </w:rPr>
        <w:t>1.基金募集期间募集的资金应存于基金管理人在基金托管人的营业机构开立的“基金募集专户”。该账户由基金管理人开立并管理。</w:t>
      </w:r>
    </w:p>
    <w:p>
      <w:pPr>
        <w:adjustRightInd w:val="0"/>
        <w:snapToGrid w:val="0"/>
        <w:spacing w:line="360" w:lineRule="auto"/>
        <w:ind w:firstLine="480"/>
        <w:rPr>
          <w:rFonts w:hint="eastAsia" w:ascii="宋体" w:hAnsi="宋体" w:cs="Arial"/>
          <w:szCs w:val="21"/>
        </w:rPr>
      </w:pPr>
      <w:r>
        <w:rPr>
          <w:rFonts w:ascii="宋体" w:hAnsi="宋体" w:cs="Arial"/>
          <w:szCs w:val="21"/>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pPr>
        <w:adjustRightInd w:val="0"/>
        <w:snapToGrid w:val="0"/>
        <w:spacing w:line="360" w:lineRule="auto"/>
        <w:ind w:firstLine="480"/>
        <w:rPr>
          <w:rFonts w:hint="eastAsia" w:ascii="宋体" w:hAnsi="宋体" w:cs="Arial"/>
          <w:szCs w:val="21"/>
        </w:rPr>
      </w:pPr>
      <w:r>
        <w:rPr>
          <w:rFonts w:ascii="宋体" w:hAnsi="宋体" w:cs="Arial"/>
          <w:szCs w:val="21"/>
        </w:rPr>
        <w:t>3.</w:t>
      </w:r>
      <w:r>
        <w:rPr>
          <w:rFonts w:hint="eastAsia" w:ascii="宋体" w:hAnsi="宋体" w:cs="Arial"/>
          <w:szCs w:val="21"/>
        </w:rPr>
        <w:t>若基金募集期限届满，未能达到《基金合同》生效的条件，由基金管理人按规定办理退款等事宜，基金托管人提供充分的协助和配合。</w:t>
      </w:r>
    </w:p>
    <w:p>
      <w:pPr>
        <w:adjustRightInd w:val="0"/>
        <w:snapToGrid w:val="0"/>
        <w:spacing w:line="360" w:lineRule="auto"/>
        <w:ind w:firstLine="480"/>
        <w:rPr>
          <w:rFonts w:hint="eastAsia" w:ascii="宋体" w:hAnsi="宋体" w:cs="Arial"/>
          <w:szCs w:val="21"/>
        </w:rPr>
      </w:pPr>
      <w:r>
        <w:rPr>
          <w:rFonts w:hint="eastAsia" w:ascii="宋体" w:hAnsi="宋体" w:cs="Arial"/>
          <w:szCs w:val="21"/>
        </w:rPr>
        <w:t>（三）基金托管资金账户的开立和管理</w:t>
      </w:r>
    </w:p>
    <w:p>
      <w:pPr>
        <w:adjustRightInd w:val="0"/>
        <w:snapToGrid w:val="0"/>
        <w:spacing w:line="360" w:lineRule="auto"/>
        <w:ind w:firstLine="480"/>
        <w:rPr>
          <w:rFonts w:hint="eastAsia" w:ascii="宋体" w:hAnsi="宋体" w:cs="Arial"/>
          <w:szCs w:val="21"/>
        </w:rPr>
      </w:pPr>
      <w:r>
        <w:rPr>
          <w:rFonts w:ascii="宋体" w:hAnsi="宋体" w:cs="Arial"/>
          <w:szCs w:val="21"/>
        </w:rPr>
        <w:t>1.基金托管人可以基金的名义在其营业机构开立基金的托管资金账户，并根据基金管理人合法合</w:t>
      </w:r>
      <w:r>
        <w:rPr>
          <w:rFonts w:hint="eastAsia" w:ascii="宋体" w:hAnsi="宋体" w:cs="Arial"/>
          <w:szCs w:val="21"/>
        </w:rPr>
        <w:t>规的指令办理资金收付。</w:t>
      </w:r>
      <w:bookmarkStart w:id="48" w:name="_Hlk230360233"/>
      <w:r>
        <w:rPr>
          <w:rFonts w:hint="eastAsia" w:ascii="宋体" w:hAnsi="宋体" w:cs="Arial"/>
          <w:szCs w:val="21"/>
        </w:rPr>
        <w:t>户名原则上应当包含开户主体和产品名称字样。如法律法规或监管部门另有规定的，从其规定。</w:t>
      </w:r>
      <w:bookmarkEnd w:id="48"/>
      <w:r>
        <w:rPr>
          <w:rFonts w:hint="eastAsia" w:ascii="宋体" w:hAnsi="宋体" w:cs="Arial"/>
          <w:szCs w:val="21"/>
        </w:rPr>
        <w:t>本基金的银行预留印鉴由基金托管人保管和使用。本基金的一切货币收支活动，包括但不限于投资、支付赎回金额、支付基金收益、收取申购款，均需通过本基金的托管资金账户进行。</w:t>
      </w:r>
    </w:p>
    <w:p>
      <w:pPr>
        <w:adjustRightInd w:val="0"/>
        <w:snapToGrid w:val="0"/>
        <w:spacing w:line="360" w:lineRule="auto"/>
        <w:ind w:firstLine="480"/>
        <w:rPr>
          <w:rFonts w:hint="eastAsia" w:ascii="宋体" w:hAnsi="宋体" w:cs="Arial"/>
          <w:szCs w:val="21"/>
        </w:rPr>
      </w:pPr>
      <w:r>
        <w:rPr>
          <w:rFonts w:ascii="宋体" w:hAnsi="宋体" w:cs="Arial"/>
          <w:szCs w:val="21"/>
        </w:rPr>
        <w:t>2.基金托管资金账户的开立和使用，限于满足开展本基金业务的需要。基金托管人和基金管理人不得假借本基金的名义开立任何其他银行账户；亦不得使用基金的任何账户进行本基金业务以外的活动。</w:t>
      </w:r>
    </w:p>
    <w:p>
      <w:pPr>
        <w:adjustRightInd w:val="0"/>
        <w:snapToGrid w:val="0"/>
        <w:spacing w:line="360" w:lineRule="auto"/>
        <w:ind w:firstLine="480"/>
        <w:rPr>
          <w:rFonts w:hint="eastAsia" w:ascii="宋体" w:hAnsi="宋体" w:cs="Arial"/>
          <w:szCs w:val="21"/>
        </w:rPr>
      </w:pPr>
      <w:r>
        <w:rPr>
          <w:rFonts w:ascii="宋体" w:hAnsi="宋体" w:cs="Arial"/>
          <w:szCs w:val="21"/>
        </w:rPr>
        <w:t>3.基金托管资金账户的开立和管理应符合银行业监督管理机构的有关规定。</w:t>
      </w:r>
    </w:p>
    <w:p>
      <w:pPr>
        <w:adjustRightInd w:val="0"/>
        <w:snapToGrid w:val="0"/>
        <w:spacing w:line="360" w:lineRule="auto"/>
        <w:ind w:firstLine="480"/>
        <w:rPr>
          <w:rFonts w:hint="eastAsia" w:ascii="宋体" w:hAnsi="宋体" w:cs="Arial"/>
          <w:szCs w:val="21"/>
        </w:rPr>
      </w:pPr>
      <w:r>
        <w:rPr>
          <w:rFonts w:ascii="宋体" w:hAnsi="宋体" w:cs="Arial"/>
          <w:szCs w:val="21"/>
        </w:rPr>
        <w:t>4.在符合法律法规规定的条件下，基金托管人可以通过基金托管人专用账户办理基金资产的支付。</w:t>
      </w:r>
    </w:p>
    <w:p>
      <w:pPr>
        <w:adjustRightInd w:val="0"/>
        <w:snapToGrid w:val="0"/>
        <w:spacing w:line="360" w:lineRule="auto"/>
        <w:ind w:firstLine="480"/>
        <w:rPr>
          <w:rFonts w:hint="eastAsia" w:ascii="宋体" w:hAnsi="宋体" w:cs="Arial"/>
          <w:szCs w:val="21"/>
        </w:rPr>
      </w:pPr>
      <w:r>
        <w:rPr>
          <w:rFonts w:ascii="宋体" w:hAnsi="宋体" w:cs="Arial"/>
          <w:szCs w:val="21"/>
        </w:rPr>
        <w:t>5、基金管理人应于本基金到期后及时完成收益兑付、费用结清及其他应收应付款项资金划转，在确保后续不再发生款项进出后的10个工作日内向托管人发出销户申请。</w:t>
      </w:r>
    </w:p>
    <w:p>
      <w:pPr>
        <w:adjustRightInd w:val="0"/>
        <w:snapToGrid w:val="0"/>
        <w:spacing w:line="360" w:lineRule="auto"/>
        <w:ind w:firstLine="480"/>
        <w:rPr>
          <w:rFonts w:hint="eastAsia" w:ascii="宋体" w:hAnsi="宋体" w:cs="Arial"/>
          <w:szCs w:val="21"/>
        </w:rPr>
      </w:pPr>
      <w:r>
        <w:rPr>
          <w:rFonts w:hint="eastAsia" w:ascii="宋体" w:hAnsi="宋体" w:cs="Arial"/>
          <w:szCs w:val="21"/>
        </w:rPr>
        <w:t>（四）基金证券账户和结算备付金账户的开立和管理</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1.基金托管人在中国证券登记结算有限责任公司为基金开立基金托管人与基金联名的证券账户。</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3.基金证券账户的开立和证券账户卡的保管由基金托管人负责，账户资产的管理和运用</w:t>
      </w:r>
      <w:r>
        <w:rPr>
          <w:rFonts w:hint="eastAsia" w:ascii="宋体" w:hAnsi="宋体" w:cs="Arial"/>
          <w:szCs w:val="21"/>
        </w:rPr>
        <w:t>由基金管理人负责。</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证券账户开户费由基金管理人先行垫付</w:t>
      </w:r>
      <w:r>
        <w:rPr>
          <w:rFonts w:ascii="宋体" w:hAnsi="宋体" w:cs="Arial"/>
          <w:szCs w:val="21"/>
        </w:rPr>
        <w:t>,</w:t>
      </w:r>
      <w:r>
        <w:rPr>
          <w:rFonts w:hint="eastAsia" w:ascii="宋体" w:hAnsi="宋体" w:cs="Arial"/>
          <w:szCs w:val="21"/>
        </w:rPr>
        <w:t>待本基金启始运营后</w:t>
      </w:r>
      <w:r>
        <w:rPr>
          <w:rFonts w:ascii="宋体" w:hAnsi="宋体" w:cs="Arial"/>
          <w:szCs w:val="21"/>
        </w:rPr>
        <w:t>,基金管理人可向基金托管人发送划款指令,将代垫开户费从本基金托管资金账户中扣还基金管理人。</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r>
        <w:rPr>
          <w:rFonts w:hint="eastAsia" w:ascii="宋体" w:hAnsi="宋体" w:cs="Arial"/>
          <w:szCs w:val="21"/>
        </w:rPr>
        <w:t>收资金等的收取按照中国证券登记结算有限责任公司的规定以及基金管理人与基金托管人签署的《托管银行证券资金结算协议》执行。</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5、账户注销时，在遵守中国证券登记结算有限责任公司的相关规定下，由管理人和托管人协商确认主要办理人。账户注销期间，主要办理人如需另一方提供配合的，另一方应予以配合。</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6.若中国证监会或其他监管机构在本托管协议订立日之后允许基金从事其他投资品种的投资业务，涉及相关账户的开立、使用的，若无相关规定，</w:t>
      </w:r>
      <w:r>
        <w:rPr>
          <w:rFonts w:hint="eastAsia" w:ascii="宋体" w:hAnsi="宋体" w:cs="Arial"/>
          <w:szCs w:val="21"/>
        </w:rPr>
        <w:t>则基金托管人比照上述关于账户开立、使用的规定执行。</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（五）银行间账户的开设和管理</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（六）开放式基金账户的开设和管理</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场外开放式基金账户由管理人根据基金公司要求填写相关资料后开立。管理人应指定托管资金账户作为开放式基金交易及回款的唯一结算账户。管理人应及时将开放式基金账户的信息发送托管人。</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管理人选择通过机构投资者场外投资业务平台（简称</w:t>
      </w:r>
      <w:r>
        <w:rPr>
          <w:rFonts w:ascii="宋体" w:hAnsi="宋体" w:cs="Arial"/>
          <w:szCs w:val="21"/>
        </w:rPr>
        <w:t>"FISP"）参与开放式基金投资的，应由基金管理人在FISP系统登记产品信息（包含托管人信息），由托管人对银行账户信息进行验证。本基金登记成功后，由基金管理人在线向基金销售机构提交开户申请，账户开立信息通过FISP反馈基金管理人和托管人。</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（七）其他账户的开立和管理</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pPr>
        <w:adjustRightInd w:val="0"/>
        <w:snapToGrid w:val="0"/>
        <w:spacing w:line="360" w:lineRule="auto"/>
        <w:ind w:firstLine="480"/>
        <w:rPr>
          <w:rFonts w:hint="eastAsia" w:ascii="宋体" w:hAnsi="宋体" w:cs="Arial"/>
          <w:szCs w:val="21"/>
        </w:rPr>
      </w:pPr>
      <w:r>
        <w:rPr>
          <w:rFonts w:ascii="宋体" w:hAnsi="宋体" w:cs="Arial"/>
          <w:szCs w:val="21"/>
        </w:rPr>
        <w:t>2.法律法规等有关规定对相关账户的开立和管理另有规定的，从其规定办理。</w:t>
      </w:r>
    </w:p>
    <w:p>
      <w:pPr>
        <w:adjustRightInd w:val="0"/>
        <w:snapToGrid w:val="0"/>
        <w:spacing w:line="360" w:lineRule="auto"/>
        <w:ind w:firstLine="480"/>
        <w:rPr>
          <w:rFonts w:hint="eastAsia" w:ascii="宋体" w:hAnsi="宋体" w:cs="Arial"/>
          <w:szCs w:val="21"/>
        </w:rPr>
      </w:pPr>
      <w:r>
        <w:rPr>
          <w:rFonts w:hint="eastAsia" w:ascii="宋体" w:hAnsi="宋体" w:cs="Arial"/>
          <w:szCs w:val="21"/>
        </w:rPr>
        <w:t>（八）基金财产投资的有关有价凭证等的保管</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基金财产投资的有关实物证券、银行</w:t>
      </w:r>
      <w:r>
        <w:rPr>
          <w:rFonts w:hint="eastAsia" w:ascii="宋体" w:hAnsi="宋体"/>
          <w:szCs w:val="21"/>
        </w:rPr>
        <w:t>存款开户证实书</w:t>
      </w:r>
      <w:r>
        <w:rPr>
          <w:rFonts w:hint="eastAsia" w:ascii="宋体" w:hAnsi="宋体" w:cs="Arial"/>
          <w:szCs w:val="21"/>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（九）与基金财产有关的重大合同的保管</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w:t>
      </w:r>
      <w:bookmarkStart w:id="49" w:name="_Hlk230360263"/>
      <w:r>
        <w:rPr>
          <w:rFonts w:hint="eastAsia" w:ascii="宋体" w:hAnsi="宋体" w:cs="Arial"/>
          <w:szCs w:val="21"/>
        </w:rPr>
        <w:t>按照法律法规的规定执行</w:t>
      </w:r>
      <w:bookmarkEnd w:id="49"/>
      <w:r>
        <w:rPr>
          <w:rFonts w:hint="eastAsia" w:ascii="宋体" w:hAnsi="宋体" w:cs="Arial"/>
          <w:szCs w:val="21"/>
        </w:rPr>
        <w:t>。</w:t>
      </w:r>
    </w:p>
    <w:p>
      <w:pPr>
        <w:adjustRightInd w:val="0"/>
        <w:snapToGrid w:val="0"/>
        <w:spacing w:line="360" w:lineRule="auto"/>
        <w:ind w:firstLine="420" w:firstLineChars="200"/>
        <w:rPr>
          <w:rFonts w:hint="eastAsia" w:ascii="宋体" w:hAnsi="宋体"/>
          <w:szCs w:val="21"/>
        </w:rPr>
      </w:pPr>
      <w:r>
        <w:rPr>
          <w:rFonts w:hint="eastAsia" w:ascii="宋体" w:hAnsi="宋体" w:cs="Arial"/>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pPr>
        <w:spacing w:line="360" w:lineRule="auto"/>
        <w:rPr>
          <w:rFonts w:hint="eastAsia" w:ascii="宋体" w:hAnsi="宋体"/>
          <w:szCs w:val="21"/>
        </w:rPr>
      </w:pPr>
    </w:p>
    <w:p>
      <w:pPr>
        <w:pStyle w:val="3"/>
        <w:spacing w:line="360" w:lineRule="auto"/>
        <w:jc w:val="center"/>
        <w:rPr>
          <w:rFonts w:hint="eastAsia" w:ascii="宋体" w:hAnsi="宋体" w:eastAsia="宋体"/>
          <w:sz w:val="21"/>
          <w:szCs w:val="21"/>
        </w:rPr>
      </w:pPr>
      <w:bookmarkStart w:id="50" w:name="_Toc86727357"/>
      <w:bookmarkStart w:id="51" w:name="_Toc86223244"/>
      <w:bookmarkStart w:id="52" w:name="_Toc118972650"/>
      <w:bookmarkStart w:id="53" w:name="_Toc84234389"/>
      <w:bookmarkStart w:id="54" w:name="_Toc124325890"/>
      <w:bookmarkStart w:id="55" w:name="_Toc120435785"/>
      <w:bookmarkStart w:id="56" w:name="_Toc86649724"/>
      <w:bookmarkStart w:id="57" w:name="_Toc119402712"/>
      <w:bookmarkStart w:id="58" w:name="_Toc233054440"/>
      <w:bookmarkStart w:id="59" w:name="_Toc89163370"/>
      <w:bookmarkStart w:id="60" w:name="_Toc86204790"/>
      <w:bookmarkStart w:id="61" w:name="_Toc110765662"/>
      <w:bookmarkStart w:id="62" w:name="_Toc84234436"/>
      <w:bookmarkStart w:id="63" w:name="_Toc108512360"/>
      <w:bookmarkStart w:id="64" w:name="_Toc86737931"/>
      <w:bookmarkStart w:id="65" w:name="_Toc86726441"/>
      <w:bookmarkStart w:id="66" w:name="_Toc110830494"/>
      <w:bookmarkStart w:id="67" w:name="_Toc110761798"/>
      <w:bookmarkStart w:id="68" w:name="_Toc86225293"/>
      <w:bookmarkStart w:id="69" w:name="_Toc118212952"/>
      <w:bookmarkStart w:id="70" w:name="_Toc118774805"/>
      <w:bookmarkStart w:id="71" w:name="_Toc84133787"/>
      <w:r>
        <w:rPr>
          <w:rFonts w:hint="eastAsia" w:ascii="宋体" w:hAnsi="宋体" w:eastAsia="宋体"/>
          <w:sz w:val="21"/>
          <w:szCs w:val="21"/>
        </w:rPr>
        <w:t>六、指令的发送、确认及执行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adjustRightInd w:val="0"/>
        <w:snapToGrid w:val="0"/>
        <w:spacing w:line="360" w:lineRule="auto"/>
        <w:ind w:firstLine="480"/>
        <w:rPr>
          <w:rFonts w:hint="eastAsia" w:ascii="宋体" w:hAnsi="宋体" w:cs="Arial"/>
          <w:szCs w:val="21"/>
        </w:rPr>
      </w:pPr>
      <w:r>
        <w:rPr>
          <w:rFonts w:hint="eastAsia" w:ascii="宋体" w:hAnsi="宋体" w:cs="Arial"/>
          <w:szCs w:val="21"/>
        </w:rPr>
        <w:t>基金管理人在运用基金财产时向基金托管人发送资金划拨及其他款项付款指令，基金托管人执行基金管理人的指令、办理基金名下的资金往来等有关事项。</w:t>
      </w:r>
    </w:p>
    <w:p>
      <w:pPr>
        <w:adjustRightInd w:val="0"/>
        <w:snapToGrid w:val="0"/>
        <w:spacing w:line="360" w:lineRule="auto"/>
        <w:ind w:firstLine="480"/>
        <w:rPr>
          <w:rFonts w:hint="eastAsia" w:ascii="宋体" w:hAnsi="宋体" w:cs="Arial"/>
          <w:szCs w:val="21"/>
        </w:rPr>
      </w:pPr>
      <w:r>
        <w:rPr>
          <w:rFonts w:hint="eastAsia" w:ascii="宋体" w:hAnsi="宋体" w:cs="Arial"/>
          <w:szCs w:val="21"/>
        </w:rPr>
        <w:t>（一）基金管理人对发送指令人员的书面授权</w:t>
      </w:r>
    </w:p>
    <w:p>
      <w:pPr>
        <w:adjustRightInd w:val="0"/>
        <w:snapToGrid w:val="0"/>
        <w:spacing w:line="360" w:lineRule="auto"/>
        <w:ind w:firstLine="480"/>
        <w:rPr>
          <w:rFonts w:hint="eastAsia" w:ascii="宋体" w:hAnsi="宋体" w:cs="Arial"/>
          <w:szCs w:val="21"/>
        </w:rPr>
      </w:pPr>
      <w:r>
        <w:rPr>
          <w:rFonts w:hint="eastAsia" w:ascii="宋体" w:hAnsi="宋体" w:cs="Arial"/>
          <w:szCs w:val="21"/>
        </w:rPr>
        <w:t>本合同签署生效后，管理人应向托管人提供授权代表签字与印鉴样本通知书（以下简称“授权文件”），内容包括被授权人名单、预留印鉴及被授权人签字样本，授权文件应注明被授权人相应的权限，授权文件应加盖单位公章。</w:t>
      </w:r>
    </w:p>
    <w:p>
      <w:pPr>
        <w:adjustRightInd w:val="0"/>
        <w:snapToGrid w:val="0"/>
        <w:spacing w:line="360" w:lineRule="auto"/>
        <w:ind w:firstLine="480"/>
        <w:rPr>
          <w:rFonts w:hint="eastAsia" w:ascii="宋体" w:hAnsi="宋体" w:cs="Arial"/>
          <w:szCs w:val="21"/>
        </w:rPr>
      </w:pPr>
      <w:r>
        <w:rPr>
          <w:rFonts w:hint="eastAsia" w:ascii="宋体" w:hAnsi="宋体" w:cs="Arial"/>
          <w:szCs w:val="21"/>
        </w:rPr>
        <w:t>管理人应将“授权文件”原件在生效前寄送托管人，托管人在收到授权文件原件并经管理人确认后，授权文件即生效。如果授权文件中载明具体生效时间的，该生效时间不得早于托管人收到授权文件并经确认的时点。如早于，则以托管人收到授权文件并经确认的时点为授权文件的生效时间。</w:t>
      </w:r>
    </w:p>
    <w:p>
      <w:pPr>
        <w:adjustRightInd w:val="0"/>
        <w:snapToGrid w:val="0"/>
        <w:spacing w:line="360" w:lineRule="auto"/>
        <w:ind w:firstLine="480"/>
        <w:rPr>
          <w:rFonts w:hint="eastAsia" w:ascii="宋体" w:hAnsi="宋体" w:cs="Arial"/>
          <w:szCs w:val="21"/>
        </w:rPr>
      </w:pPr>
      <w:r>
        <w:rPr>
          <w:rFonts w:hint="eastAsia" w:ascii="宋体" w:hAnsi="宋体" w:cs="Arial"/>
          <w:szCs w:val="21"/>
        </w:rPr>
        <w:t>特殊情况下，经托管人同意，管理人可至少提前一个工作日将授权文件以邮件发送扫描件的方式先行通知托管人并确认生效。授权文件原件应在邮件发送后</w:t>
      </w:r>
      <w:r>
        <w:rPr>
          <w:rFonts w:ascii="宋体" w:hAnsi="宋体" w:cs="Arial"/>
          <w:szCs w:val="21"/>
        </w:rPr>
        <w:t>7个工作日内送达托管人。授权文件生效之后，原件送达之前，托管人按照新授权文件扫描</w:t>
      </w:r>
      <w:r>
        <w:rPr>
          <w:rFonts w:hint="eastAsia" w:ascii="宋体" w:hAnsi="宋体" w:cs="Arial"/>
          <w:szCs w:val="21"/>
        </w:rPr>
        <w:t>件内容执行有关业务，如果授权文件原件与托管人收到的扫描件不同，由此产生的责任由管理人承担。</w:t>
      </w:r>
    </w:p>
    <w:p>
      <w:pPr>
        <w:adjustRightInd w:val="0"/>
        <w:snapToGrid w:val="0"/>
        <w:spacing w:line="360" w:lineRule="auto"/>
        <w:ind w:firstLine="480"/>
        <w:rPr>
          <w:rFonts w:hint="eastAsia" w:ascii="宋体" w:hAnsi="宋体" w:cs="Arial"/>
          <w:szCs w:val="21"/>
        </w:rPr>
      </w:pPr>
      <w:r>
        <w:rPr>
          <w:rFonts w:hint="eastAsia" w:ascii="宋体" w:hAnsi="宋体" w:cs="Arial"/>
          <w:szCs w:val="21"/>
        </w:rPr>
        <w:t>管理人更换被授权人、更改或终止对被授权人的授权、变更预留印鉴应按上述要求提供新的授权文件。在授权变更生效前，托管人仍应按原授权文件执行指令，管理人不得否认其效力。</w:t>
      </w:r>
    </w:p>
    <w:p>
      <w:pPr>
        <w:adjustRightInd w:val="0"/>
        <w:snapToGrid w:val="0"/>
        <w:spacing w:line="360" w:lineRule="auto"/>
        <w:ind w:firstLine="480"/>
        <w:rPr>
          <w:rFonts w:hint="eastAsia" w:ascii="宋体" w:hAnsi="宋体" w:cs="Arial"/>
          <w:szCs w:val="21"/>
        </w:rPr>
      </w:pPr>
      <w:r>
        <w:rPr>
          <w:rFonts w:hint="eastAsia" w:ascii="宋体" w:hAnsi="宋体" w:cs="Arial"/>
          <w:szCs w:val="21"/>
        </w:rPr>
        <w:t>托管人更换接受管理人指令的传真号或邮箱地址，应提前通知管理人。基金管理人和基金托管人对授权文件负有保密义务，其内容不得向被授权人及相关操作人员以外的任何人泄露。但法律法规规定或有权机关要求的除外。</w:t>
      </w:r>
    </w:p>
    <w:p>
      <w:pPr>
        <w:adjustRightInd w:val="0"/>
        <w:snapToGrid w:val="0"/>
        <w:spacing w:line="360" w:lineRule="auto"/>
        <w:ind w:firstLine="480"/>
        <w:rPr>
          <w:rFonts w:hint="eastAsia" w:ascii="宋体" w:hAnsi="宋体" w:cs="Arial"/>
          <w:szCs w:val="21"/>
        </w:rPr>
      </w:pPr>
      <w:r>
        <w:rPr>
          <w:rFonts w:hint="eastAsia" w:ascii="宋体" w:hAnsi="宋体" w:cs="Arial"/>
          <w:szCs w:val="21"/>
        </w:rPr>
        <w:t>（二）指令的内容</w:t>
      </w:r>
    </w:p>
    <w:p>
      <w:pPr>
        <w:adjustRightInd w:val="0"/>
        <w:snapToGrid w:val="0"/>
        <w:spacing w:line="360" w:lineRule="auto"/>
        <w:ind w:firstLine="480"/>
        <w:rPr>
          <w:rFonts w:hint="eastAsia" w:ascii="宋体" w:hAnsi="宋体" w:cs="Arial"/>
          <w:szCs w:val="21"/>
        </w:rPr>
      </w:pPr>
      <w:r>
        <w:rPr>
          <w:rFonts w:ascii="宋体" w:hAnsi="宋体" w:cs="Arial"/>
          <w:szCs w:val="21"/>
        </w:rPr>
        <w:t>1.指令包括付款指令以及其他资金划拨指令等。</w:t>
      </w:r>
    </w:p>
    <w:p>
      <w:pPr>
        <w:adjustRightInd w:val="0"/>
        <w:snapToGrid w:val="0"/>
        <w:spacing w:line="360" w:lineRule="auto"/>
        <w:ind w:firstLine="480"/>
        <w:rPr>
          <w:rFonts w:hint="eastAsia" w:ascii="宋体" w:hAnsi="宋体" w:cs="Arial"/>
          <w:szCs w:val="21"/>
        </w:rPr>
      </w:pPr>
      <w:r>
        <w:rPr>
          <w:rFonts w:ascii="宋体" w:hAnsi="宋体" w:cs="Arial"/>
          <w:szCs w:val="21"/>
        </w:rPr>
        <w:t>2.基金管理人发给基金托管人的指令应写明款项事由、支付时间、到账时间、金额、收付款账户等，加盖预留印鉴并由被授权人签字。</w:t>
      </w:r>
    </w:p>
    <w:p>
      <w:pPr>
        <w:adjustRightInd w:val="0"/>
        <w:snapToGrid w:val="0"/>
        <w:spacing w:line="360" w:lineRule="auto"/>
        <w:ind w:firstLine="480"/>
        <w:rPr>
          <w:rFonts w:hint="eastAsia" w:ascii="宋体" w:hAnsi="宋体" w:cs="Arial"/>
          <w:szCs w:val="21"/>
        </w:rPr>
      </w:pPr>
      <w:r>
        <w:rPr>
          <w:rFonts w:hint="eastAsia" w:ascii="宋体" w:hAnsi="宋体" w:cs="Arial"/>
          <w:szCs w:val="21"/>
        </w:rPr>
        <w:t>（三）指令的发送、确认及执行的时间和程序</w:t>
      </w:r>
    </w:p>
    <w:p>
      <w:pPr>
        <w:adjustRightInd w:val="0"/>
        <w:snapToGrid w:val="0"/>
        <w:spacing w:line="360" w:lineRule="auto"/>
        <w:ind w:firstLine="480"/>
        <w:rPr>
          <w:rFonts w:hint="eastAsia" w:ascii="宋体" w:hAnsi="宋体" w:cs="Arial"/>
          <w:szCs w:val="21"/>
        </w:rPr>
      </w:pPr>
      <w:r>
        <w:rPr>
          <w:rFonts w:ascii="宋体" w:hAnsi="宋体" w:cs="Arial"/>
          <w:szCs w:val="21"/>
        </w:rPr>
        <w:t>1.指令的发送</w:t>
      </w:r>
    </w:p>
    <w:p>
      <w:pPr>
        <w:adjustRightInd w:val="0"/>
        <w:snapToGrid w:val="0"/>
        <w:spacing w:line="360" w:lineRule="auto"/>
        <w:ind w:firstLine="480"/>
        <w:rPr>
          <w:rFonts w:hint="eastAsia" w:ascii="宋体" w:hAnsi="宋体" w:cs="Arial"/>
          <w:szCs w:val="21"/>
        </w:rPr>
      </w:pPr>
      <w:r>
        <w:rPr>
          <w:rFonts w:hint="eastAsia" w:ascii="宋体" w:hAnsi="宋体" w:cs="Arial"/>
          <w:szCs w:val="21"/>
        </w:rPr>
        <w:t>基金管理人发送指令应采用传真、邮件方式或双方协商一致的其他方式。</w:t>
      </w:r>
    </w:p>
    <w:p>
      <w:pPr>
        <w:adjustRightInd w:val="0"/>
        <w:snapToGrid w:val="0"/>
        <w:spacing w:line="360" w:lineRule="auto"/>
        <w:ind w:firstLine="480"/>
        <w:rPr>
          <w:rFonts w:hint="eastAsia" w:ascii="宋体" w:hAnsi="宋体" w:cs="Arial"/>
          <w:szCs w:val="21"/>
        </w:rPr>
      </w:pPr>
      <w:r>
        <w:rPr>
          <w:rFonts w:hint="eastAsia" w:ascii="宋体" w:hAnsi="宋体" w:cs="Arial"/>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pPr>
        <w:adjustRightInd w:val="0"/>
        <w:snapToGrid w:val="0"/>
        <w:spacing w:line="360" w:lineRule="auto"/>
        <w:ind w:firstLine="480"/>
        <w:rPr>
          <w:rFonts w:hint="eastAsia" w:ascii="宋体" w:hAnsi="宋体" w:cs="Arial"/>
          <w:szCs w:val="21"/>
        </w:rPr>
      </w:pPr>
      <w:r>
        <w:rPr>
          <w:rFonts w:hint="eastAsia" w:ascii="宋体" w:hAnsi="宋体" w:cs="Arial"/>
          <w:szCs w:val="21"/>
        </w:rPr>
        <w:t>指令发出后，基金管理人应及时以电话或其他双方认可的方式向基金托管人确认。</w:t>
      </w:r>
    </w:p>
    <w:p>
      <w:pPr>
        <w:adjustRightInd w:val="0"/>
        <w:snapToGrid w:val="0"/>
        <w:spacing w:line="360" w:lineRule="auto"/>
        <w:ind w:firstLine="480"/>
        <w:rPr>
          <w:rFonts w:hint="eastAsia" w:ascii="宋体" w:hAnsi="宋体" w:cs="Arial"/>
          <w:szCs w:val="21"/>
        </w:rPr>
      </w:pPr>
      <w:r>
        <w:rPr>
          <w:rFonts w:hint="eastAsia" w:ascii="宋体" w:hAnsi="宋体"/>
          <w:szCs w:val="21"/>
        </w:rPr>
        <w:t>基金管理人应在银行间交易成交后，及时将通知单、相关文件及划款指令加盖印章后发至基金托管人并电话</w:t>
      </w:r>
      <w:r>
        <w:rPr>
          <w:rFonts w:hint="eastAsia" w:ascii="宋体" w:hAnsi="宋体" w:cs="Arial"/>
          <w:szCs w:val="21"/>
        </w:rPr>
        <w:t>或者双方认可的其他方式</w:t>
      </w:r>
      <w:r>
        <w:rPr>
          <w:rFonts w:hint="eastAsia" w:ascii="宋体" w:hAnsi="宋体"/>
          <w:szCs w:val="21"/>
        </w:rPr>
        <w:t>确认，由基金托管人完成后台交易匹配及资金交收事宜。如果银行间结算系统已经生成的交易需要取消或终止，基金管理人要书面或者双方认可的其他方式通知基金托管人。</w:t>
      </w:r>
    </w:p>
    <w:p>
      <w:pPr>
        <w:adjustRightInd w:val="0"/>
        <w:snapToGrid w:val="0"/>
        <w:spacing w:line="360" w:lineRule="auto"/>
        <w:ind w:firstLine="480"/>
        <w:rPr>
          <w:rFonts w:hint="eastAsia" w:ascii="宋体" w:hAnsi="宋体" w:cs="Arial"/>
          <w:szCs w:val="21"/>
        </w:rPr>
      </w:pPr>
      <w:r>
        <w:rPr>
          <w:rFonts w:ascii="宋体" w:hAnsi="宋体" w:cs="Arial"/>
          <w:szCs w:val="21"/>
        </w:rPr>
        <w:t>2.指令的确认</w:t>
      </w:r>
    </w:p>
    <w:p>
      <w:pPr>
        <w:adjustRightInd w:val="0"/>
        <w:snapToGrid w:val="0"/>
        <w:spacing w:line="360" w:lineRule="auto"/>
        <w:ind w:firstLine="480"/>
        <w:rPr>
          <w:rFonts w:hint="eastAsia" w:ascii="宋体" w:hAnsi="宋体" w:cs="Arial"/>
          <w:szCs w:val="21"/>
        </w:rPr>
      </w:pPr>
      <w:r>
        <w:rPr>
          <w:rFonts w:hint="eastAsia" w:ascii="宋体" w:hAnsi="宋体" w:cs="Arial"/>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pPr>
        <w:adjustRightInd w:val="0"/>
        <w:snapToGrid w:val="0"/>
        <w:spacing w:line="360" w:lineRule="auto"/>
        <w:ind w:firstLine="480"/>
        <w:rPr>
          <w:rFonts w:hint="eastAsia" w:ascii="宋体" w:hAnsi="宋体" w:cs="Arial"/>
          <w:szCs w:val="21"/>
        </w:rPr>
      </w:pPr>
      <w:r>
        <w:rPr>
          <w:rFonts w:ascii="宋体" w:hAnsi="宋体" w:cs="Arial"/>
          <w:szCs w:val="21"/>
        </w:rPr>
        <w:t>3.指令的时间和执行</w:t>
      </w:r>
    </w:p>
    <w:p>
      <w:pPr>
        <w:pStyle w:val="8"/>
        <w:spacing w:line="360" w:lineRule="auto"/>
        <w:ind w:firstLineChars="0"/>
        <w:rPr>
          <w:rFonts w:hint="eastAsia" w:ascii="宋体" w:hAnsi="宋体" w:eastAsia="宋体" w:cs="Arial"/>
          <w:sz w:val="21"/>
          <w:szCs w:val="21"/>
          <w:shd w:val="pct10" w:color="auto" w:fill="FFFFFF"/>
        </w:rPr>
      </w:pPr>
      <w:r>
        <w:rPr>
          <w:rFonts w:hint="eastAsia" w:ascii="宋体" w:hAnsi="宋体" w:eastAsia="宋体" w:cs="Arial"/>
          <w:sz w:val="21"/>
          <w:szCs w:val="21"/>
        </w:rPr>
        <w:t>基金管理人尽量于划款前</w:t>
      </w:r>
      <w:r>
        <w:rPr>
          <w:rFonts w:ascii="宋体" w:hAnsi="宋体" w:eastAsia="宋体" w:cs="Arial"/>
          <w:sz w:val="21"/>
          <w:szCs w:val="21"/>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hint="eastAsia" w:ascii="宋体" w:hAnsi="宋体" w:eastAsia="宋体" w:cs="Arial"/>
          <w:sz w:val="21"/>
          <w:szCs w:val="21"/>
        </w:rPr>
        <w:t>基金管理人应确保基金托管人在执行指令时，基金托管资金账户有足够的资金余额，在基金资金头寸充足的情况下，基金托管人对基金管理人符合法律法规、《基金合同》、本协议的指令不得拖延或拒绝执行。</w:t>
      </w:r>
    </w:p>
    <w:p>
      <w:pPr>
        <w:pStyle w:val="8"/>
        <w:spacing w:line="360" w:lineRule="auto"/>
        <w:ind w:firstLineChars="0"/>
        <w:rPr>
          <w:rFonts w:hint="eastAsia" w:ascii="宋体" w:hAnsi="宋体" w:eastAsia="宋体" w:cs="Arial"/>
          <w:sz w:val="21"/>
          <w:szCs w:val="21"/>
        </w:rPr>
      </w:pPr>
      <w:r>
        <w:rPr>
          <w:rFonts w:hint="eastAsia" w:ascii="宋体" w:hAnsi="宋体" w:eastAsia="宋体" w:cs="Arial"/>
          <w:sz w:val="21"/>
          <w:szCs w:val="21"/>
        </w:rPr>
        <w:t>（四）基金管理人发送错误指令的情形和处理程序</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基金管理人发送错误指令的情形包括指令违反法律法规、监管规定、《基金合同》或本协议的约定，或指令发送人员无权或超越权限发送指令。</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基金托管人发现基金管理人的指令错误时，有权拒绝执行，并及时通知基金管理人改正。如需托管人撤销尚未执行的指令，基金管理人应出具作废指令或作废说明，并电话通知托管人。</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（五）基金托管人未按照基金管理人指令执行的处理方法</w:t>
      </w:r>
    </w:p>
    <w:p>
      <w:pPr>
        <w:adjustRightInd w:val="0"/>
        <w:snapToGrid w:val="0"/>
        <w:spacing w:line="360" w:lineRule="auto"/>
        <w:ind w:firstLine="480"/>
        <w:rPr>
          <w:rFonts w:hint="eastAsia" w:ascii="宋体" w:hAnsi="宋体" w:cs="Arial"/>
          <w:szCs w:val="21"/>
        </w:rPr>
      </w:pPr>
      <w:r>
        <w:rPr>
          <w:rFonts w:hint="eastAsia" w:ascii="宋体" w:hAnsi="宋体" w:cs="Arial"/>
          <w:szCs w:val="21"/>
        </w:rPr>
        <w:t>基金托管人由于自身过错，未按照基金管理人发送的符合法律法规、监管规定、《基金合同》和本协议约定的指令执行并对基金财产或投资人造成的直接损失，由基金托管人</w:t>
      </w:r>
      <w:r>
        <w:rPr>
          <w:rFonts w:hint="eastAsia" w:ascii="宋体" w:hAnsi="宋体"/>
          <w:szCs w:val="21"/>
        </w:rPr>
        <w:t>赔偿由此造成的直接损失。</w:t>
      </w:r>
    </w:p>
    <w:p>
      <w:pPr>
        <w:adjustRightInd w:val="0"/>
        <w:snapToGrid w:val="0"/>
        <w:spacing w:line="360" w:lineRule="auto"/>
        <w:ind w:firstLine="480"/>
        <w:rPr>
          <w:rFonts w:hint="eastAsia" w:ascii="宋体" w:hAnsi="宋体" w:cs="Arial"/>
          <w:szCs w:val="21"/>
        </w:rPr>
      </w:pPr>
      <w:r>
        <w:rPr>
          <w:rFonts w:hint="eastAsia" w:ascii="宋体" w:hAnsi="宋体" w:cs="Arial"/>
          <w:szCs w:val="21"/>
        </w:rPr>
        <w:t>（六）其他事项</w:t>
      </w:r>
    </w:p>
    <w:p>
      <w:pPr>
        <w:adjustRightInd w:val="0"/>
        <w:snapToGrid w:val="0"/>
        <w:spacing w:line="360" w:lineRule="auto"/>
        <w:ind w:firstLine="480"/>
        <w:rPr>
          <w:rFonts w:hint="eastAsia" w:ascii="宋体" w:hAnsi="宋体" w:cs="Arial"/>
          <w:szCs w:val="21"/>
        </w:rPr>
      </w:pPr>
      <w:r>
        <w:rPr>
          <w:rFonts w:hint="eastAsia" w:ascii="宋体" w:hAnsi="宋体" w:cs="Arial"/>
          <w:szCs w:val="21"/>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pPr>
        <w:adjustRightInd w:val="0"/>
        <w:snapToGrid w:val="0"/>
        <w:spacing w:line="360" w:lineRule="auto"/>
        <w:ind w:firstLine="480"/>
        <w:rPr>
          <w:rFonts w:hint="eastAsia" w:ascii="宋体" w:hAnsi="宋体" w:cs="Arial"/>
          <w:szCs w:val="21"/>
        </w:rPr>
      </w:pPr>
      <w:r>
        <w:rPr>
          <w:rFonts w:hint="eastAsia" w:ascii="宋体" w:hAnsi="宋体" w:cs="Arial"/>
          <w:szCs w:val="21"/>
        </w:rPr>
        <w:t>基金参与认购未上市债券时，基金管理人应代表本基金与对手方签署相关合同或协议，明确约定债券过户具体事宜。否则，基金管理人需对所认购债券的过户事宜承担相应责任。</w:t>
      </w:r>
    </w:p>
    <w:p>
      <w:pPr>
        <w:adjustRightInd w:val="0"/>
        <w:snapToGrid w:val="0"/>
        <w:spacing w:line="360" w:lineRule="auto"/>
        <w:rPr>
          <w:rFonts w:hint="eastAsia" w:ascii="宋体" w:hAnsi="宋体" w:cs="Arial"/>
          <w:szCs w:val="21"/>
        </w:rPr>
      </w:pPr>
    </w:p>
    <w:p>
      <w:pPr>
        <w:pStyle w:val="3"/>
        <w:spacing w:line="360" w:lineRule="auto"/>
        <w:jc w:val="center"/>
        <w:rPr>
          <w:rFonts w:hint="eastAsia" w:ascii="宋体" w:hAnsi="宋体" w:eastAsia="宋体"/>
          <w:sz w:val="21"/>
          <w:szCs w:val="21"/>
        </w:rPr>
      </w:pPr>
      <w:bookmarkStart w:id="72" w:name="_Toc84133788"/>
      <w:bookmarkStart w:id="73" w:name="_Toc84234390"/>
      <w:bookmarkStart w:id="74" w:name="_Toc86726442"/>
      <w:bookmarkStart w:id="75" w:name="_Toc110761799"/>
      <w:bookmarkStart w:id="76" w:name="_Toc118972651"/>
      <w:bookmarkStart w:id="77" w:name="_Toc86727358"/>
      <w:bookmarkStart w:id="78" w:name="_Toc84234437"/>
      <w:bookmarkStart w:id="79" w:name="_Toc86225294"/>
      <w:bookmarkStart w:id="80" w:name="_Toc118774806"/>
      <w:bookmarkStart w:id="81" w:name="_Toc120435786"/>
      <w:bookmarkStart w:id="82" w:name="_Toc86223245"/>
      <w:bookmarkStart w:id="83" w:name="_Toc110830495"/>
      <w:bookmarkStart w:id="84" w:name="_Toc124325891"/>
      <w:bookmarkStart w:id="85" w:name="_Toc119402713"/>
      <w:bookmarkStart w:id="86" w:name="_Toc86649725"/>
      <w:bookmarkStart w:id="87" w:name="_Toc233054441"/>
      <w:bookmarkStart w:id="88" w:name="_Toc86737932"/>
      <w:bookmarkStart w:id="89" w:name="_Toc118212953"/>
      <w:bookmarkStart w:id="90" w:name="_Toc89163371"/>
      <w:bookmarkStart w:id="91" w:name="_Toc86204791"/>
      <w:bookmarkStart w:id="92" w:name="_Toc108512361"/>
      <w:bookmarkStart w:id="93" w:name="_Toc110765663"/>
      <w:r>
        <w:rPr>
          <w:rFonts w:hint="eastAsia" w:ascii="宋体" w:hAnsi="宋体" w:eastAsia="宋体"/>
          <w:sz w:val="21"/>
          <w:szCs w:val="21"/>
        </w:rPr>
        <w:t>七、交易及清算交收安排</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adjustRightInd w:val="0"/>
        <w:snapToGrid w:val="0"/>
        <w:spacing w:line="360" w:lineRule="auto"/>
        <w:ind w:firstLine="420" w:firstLineChars="200"/>
        <w:rPr>
          <w:rFonts w:hint="eastAsia" w:ascii="宋体" w:hAnsi="宋体"/>
          <w:bCs/>
          <w:szCs w:val="21"/>
        </w:rPr>
      </w:pPr>
      <w:r>
        <w:rPr>
          <w:rFonts w:hint="eastAsia" w:ascii="宋体" w:hAnsi="宋体"/>
          <w:szCs w:val="21"/>
        </w:rPr>
        <w:t>本基金参与交易所场内证券投资，采取托管人结算模式，</w:t>
      </w:r>
      <w:r>
        <w:rPr>
          <w:rFonts w:hint="eastAsia" w:ascii="宋体" w:hAnsi="宋体"/>
          <w:bCs/>
          <w:szCs w:val="21"/>
        </w:rPr>
        <w:t>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pPr>
        <w:adjustRightInd w:val="0"/>
        <w:snapToGrid w:val="0"/>
        <w:spacing w:line="360" w:lineRule="auto"/>
        <w:ind w:firstLine="480"/>
        <w:rPr>
          <w:rFonts w:hint="eastAsia" w:ascii="宋体" w:hAnsi="宋体" w:cs="Arial"/>
          <w:szCs w:val="21"/>
        </w:rPr>
      </w:pPr>
      <w:r>
        <w:rPr>
          <w:rFonts w:hint="eastAsia" w:ascii="宋体" w:hAnsi="宋体" w:cs="Arial"/>
          <w:szCs w:val="21"/>
        </w:rPr>
        <w:t>（一）选择证券买卖的证券经营机构</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将所选证券经营机构的有关情况及交易信息予以披露，并将该等情况及基金交易单元号、佣金费率等基本信息以及变更情况及时以书面形式通知基金托管人。</w:t>
      </w:r>
    </w:p>
    <w:p>
      <w:pPr>
        <w:adjustRightInd w:val="0"/>
        <w:snapToGrid w:val="0"/>
        <w:spacing w:line="360" w:lineRule="auto"/>
        <w:ind w:firstLine="480"/>
        <w:rPr>
          <w:rFonts w:hint="eastAsia" w:ascii="宋体" w:hAnsi="宋体" w:cs="Arial"/>
          <w:szCs w:val="21"/>
        </w:rPr>
      </w:pPr>
      <w:r>
        <w:rPr>
          <w:rFonts w:hint="eastAsia" w:ascii="宋体" w:hAnsi="宋体" w:cs="Arial"/>
          <w:szCs w:val="21"/>
        </w:rPr>
        <w:t>（二）基金投资证券后的清算交收安排</w:t>
      </w:r>
    </w:p>
    <w:p>
      <w:pPr>
        <w:adjustRightInd w:val="0"/>
        <w:snapToGrid w:val="0"/>
        <w:spacing w:line="360" w:lineRule="auto"/>
        <w:ind w:firstLine="480"/>
        <w:rPr>
          <w:rFonts w:hint="eastAsia" w:ascii="宋体" w:hAnsi="宋体" w:cs="Arial"/>
          <w:szCs w:val="21"/>
        </w:rPr>
      </w:pPr>
      <w:r>
        <w:rPr>
          <w:rFonts w:ascii="宋体" w:hAnsi="宋体" w:cs="Arial"/>
          <w:szCs w:val="21"/>
        </w:rPr>
        <w:t>1.结算备付金与保证金</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中国证券登记结算有限责任公司分别于每月前</w:t>
      </w:r>
      <w:r>
        <w:rPr>
          <w:rFonts w:ascii="宋体" w:hAnsi="宋体"/>
          <w:bCs/>
          <w:szCs w:val="21"/>
        </w:rPr>
        <w:t>6个交易日</w:t>
      </w:r>
      <w:r>
        <w:rPr>
          <w:rFonts w:hint="eastAsia" w:ascii="宋体" w:hAnsi="宋体"/>
          <w:bCs/>
          <w:szCs w:val="21"/>
        </w:rPr>
        <w:t>及每月前</w:t>
      </w:r>
      <w:r>
        <w:rPr>
          <w:rFonts w:ascii="宋体" w:hAnsi="宋体"/>
          <w:bCs/>
          <w:szCs w:val="21"/>
        </w:rPr>
        <w:t>3个交易日内，对结算参与人最低</w:t>
      </w:r>
      <w:r>
        <w:rPr>
          <w:rFonts w:ascii="宋体" w:hAnsi="宋体" w:cs="Arial"/>
          <w:szCs w:val="21"/>
        </w:rPr>
        <w:t>备付金</w:t>
      </w:r>
      <w:r>
        <w:rPr>
          <w:rFonts w:ascii="宋体" w:hAnsi="宋体"/>
          <w:bCs/>
          <w:szCs w:val="21"/>
        </w:rPr>
        <w:t>限额与结算保证金限额进行重新核算、调整。基金托管人</w:t>
      </w:r>
      <w:r>
        <w:rPr>
          <w:rFonts w:hint="eastAsia" w:ascii="宋体" w:hAnsi="宋体"/>
          <w:bCs/>
          <w:szCs w:val="21"/>
        </w:rPr>
        <w:t>应分别于每月前</w:t>
      </w:r>
      <w:r>
        <w:rPr>
          <w:rFonts w:ascii="宋体" w:hAnsi="宋体"/>
          <w:bCs/>
          <w:szCs w:val="21"/>
        </w:rPr>
        <w:t>3个交易日内及结算保证金调整当日通过《资金账户报告》通知基金管理人</w:t>
      </w:r>
      <w:r>
        <w:rPr>
          <w:rFonts w:hint="eastAsia" w:ascii="宋体" w:hAnsi="宋体"/>
          <w:bCs/>
          <w:szCs w:val="21"/>
        </w:rPr>
        <w:t>本基金最低备付金调整金额以及调整后的结算保证金金额。</w:t>
      </w:r>
      <w:r>
        <w:rPr>
          <w:rFonts w:hint="eastAsia" w:ascii="宋体" w:hAnsi="宋体"/>
          <w:szCs w:val="21"/>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w:t>
      </w:r>
      <w:r>
        <w:rPr>
          <w:rFonts w:ascii="宋体" w:hAnsi="宋体"/>
          <w:bCs/>
          <w:szCs w:val="21"/>
        </w:rPr>
        <w:t>1）固定备付金比例</w:t>
      </w:r>
      <w:r>
        <w:rPr>
          <w:rFonts w:hint="eastAsia" w:ascii="宋体" w:hAnsi="宋体"/>
          <w:bCs/>
          <w:szCs w:val="21"/>
        </w:rPr>
        <w:t>计收方式下，基金管理人应在调整最低备付金、结算保证金当日上午</w:t>
      </w:r>
      <w:r>
        <w:rPr>
          <w:rFonts w:ascii="宋体" w:hAnsi="宋体"/>
          <w:bCs/>
          <w:szCs w:val="21"/>
        </w:rPr>
        <w:t>11</w:t>
      </w:r>
      <w:r>
        <w:rPr>
          <w:rFonts w:hint="eastAsia" w:ascii="宋体" w:hAnsi="宋体"/>
          <w:bCs/>
          <w:szCs w:val="21"/>
        </w:rPr>
        <w:t>：</w:t>
      </w:r>
      <w:r>
        <w:rPr>
          <w:rFonts w:ascii="宋体" w:hAnsi="宋体"/>
          <w:bCs/>
          <w:szCs w:val="21"/>
        </w:rPr>
        <w:t>00之前补足</w:t>
      </w:r>
      <w:r>
        <w:rPr>
          <w:rFonts w:hint="eastAsia" w:ascii="宋体" w:hAnsi="宋体"/>
          <w:bCs/>
          <w:szCs w:val="21"/>
        </w:rPr>
        <w:t>金额。</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w:t>
      </w:r>
      <w:r>
        <w:rPr>
          <w:rFonts w:ascii="宋体" w:hAnsi="宋体"/>
          <w:bCs/>
          <w:szCs w:val="21"/>
        </w:rPr>
        <w:t>2）差异化备付金比例</w:t>
      </w:r>
      <w:r>
        <w:rPr>
          <w:rFonts w:hint="eastAsia" w:ascii="宋体" w:hAnsi="宋体"/>
          <w:bCs/>
          <w:szCs w:val="21"/>
        </w:rPr>
        <w:t>计收方式下，基金管理人应最晚于资金交收日上午</w:t>
      </w:r>
      <w:r>
        <w:rPr>
          <w:rFonts w:ascii="宋体" w:hAnsi="宋体"/>
          <w:bCs/>
          <w:szCs w:val="21"/>
        </w:rPr>
        <w:t>8：30前补足金额</w:t>
      </w:r>
      <w:r>
        <w:rPr>
          <w:rFonts w:hint="eastAsia" w:ascii="宋体" w:hAnsi="宋体"/>
          <w:bCs/>
          <w:szCs w:val="21"/>
        </w:rPr>
        <w:t>。</w:t>
      </w:r>
    </w:p>
    <w:p>
      <w:pPr>
        <w:adjustRightInd w:val="0"/>
        <w:snapToGrid w:val="0"/>
        <w:spacing w:line="360" w:lineRule="auto"/>
        <w:ind w:firstLine="480"/>
        <w:rPr>
          <w:rFonts w:hint="eastAsia" w:ascii="宋体" w:hAnsi="宋体"/>
          <w:bCs/>
          <w:szCs w:val="21"/>
        </w:rPr>
      </w:pPr>
      <w:r>
        <w:rPr>
          <w:rFonts w:ascii="宋体" w:hAnsi="宋体"/>
          <w:bCs/>
          <w:szCs w:val="21"/>
        </w:rPr>
        <w:t>2、清算交收</w:t>
      </w:r>
    </w:p>
    <w:p>
      <w:pPr>
        <w:adjustRightInd w:val="0"/>
        <w:snapToGrid w:val="0"/>
        <w:spacing w:line="360" w:lineRule="auto"/>
        <w:ind w:firstLine="480"/>
        <w:rPr>
          <w:rFonts w:hint="eastAsia" w:ascii="宋体" w:hAnsi="宋体" w:cs="Arial"/>
          <w:szCs w:val="21"/>
        </w:rPr>
      </w:pPr>
      <w:r>
        <w:rPr>
          <w:rFonts w:hint="eastAsia" w:ascii="宋体" w:hAnsi="宋体" w:cs="Arial"/>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pPr>
        <w:adjustRightInd w:val="0"/>
        <w:snapToGrid w:val="0"/>
        <w:spacing w:line="360" w:lineRule="auto"/>
        <w:ind w:firstLine="480"/>
        <w:rPr>
          <w:rFonts w:hint="eastAsia" w:ascii="宋体" w:hAnsi="宋体" w:cs="Arial"/>
          <w:szCs w:val="21"/>
        </w:rPr>
      </w:pPr>
      <w:r>
        <w:rPr>
          <w:rFonts w:hint="eastAsia" w:ascii="宋体" w:hAnsi="宋体" w:cs="Arial"/>
          <w:szCs w:val="21"/>
        </w:rPr>
        <w:t>如果因为基金托管人自身过错在清算上造成基金财产的直接损失，应由基金托管人负责赔偿</w:t>
      </w:r>
      <w:r>
        <w:rPr>
          <w:rFonts w:hint="eastAsia" w:ascii="宋体" w:hAnsi="宋体" w:cs="宋体"/>
          <w:color w:val="FF0000"/>
          <w:kern w:val="0"/>
          <w:szCs w:val="21"/>
          <w:u w:val="single"/>
          <w:lang w:val="zh-CN"/>
        </w:rPr>
        <w:t>，</w:t>
      </w:r>
      <w:r>
        <w:rPr>
          <w:rFonts w:hint="eastAsia" w:ascii="宋体" w:hAnsi="宋体" w:cs="Arial"/>
          <w:szCs w:val="21"/>
        </w:rPr>
        <w:t>但因中国人民银行、中国结算和银行间市场登记结算机构资金结算系统以及其他机构的结算系统发生故障等非基金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通知基金管理人预透支和预欠库事项</w:t>
      </w:r>
      <w:r>
        <w:rPr>
          <w:rFonts w:hint="eastAsia" w:ascii="宋体" w:hAnsi="宋体"/>
          <w:color w:val="000000"/>
          <w:szCs w:val="21"/>
        </w:rPr>
        <w:t>，</w:t>
      </w:r>
      <w:r>
        <w:rPr>
          <w:rFonts w:hint="eastAsia" w:ascii="宋体" w:hAnsi="宋体" w:cs="Arial"/>
          <w:szCs w:val="21"/>
        </w:rPr>
        <w:t>基金管理人应保持联系方式畅通，后续补缴等事宜由基金管理人负责解决，并按照基金托管人</w:t>
      </w:r>
      <w:r>
        <w:rPr>
          <w:rFonts w:hint="eastAsia" w:ascii="宋体" w:hAnsi="宋体"/>
          <w:szCs w:val="21"/>
        </w:rPr>
        <w:t>与</w:t>
      </w:r>
      <w:r>
        <w:rPr>
          <w:rFonts w:hint="eastAsia" w:ascii="宋体" w:hAnsi="宋体" w:cs="Arial"/>
          <w:szCs w:val="21"/>
        </w:rPr>
        <w:t>基金管理人</w:t>
      </w:r>
      <w:r>
        <w:rPr>
          <w:rFonts w:hint="eastAsia" w:ascii="宋体" w:hAnsi="宋体"/>
          <w:szCs w:val="21"/>
        </w:rPr>
        <w:t>签订的《托管银行证券资金结算协议》处理解决</w:t>
      </w:r>
      <w:r>
        <w:rPr>
          <w:rFonts w:hint="eastAsia" w:ascii="宋体" w:hAnsi="宋体" w:cs="Arial"/>
          <w:szCs w:val="21"/>
        </w:rPr>
        <w:t>。</w:t>
      </w:r>
    </w:p>
    <w:p>
      <w:pPr>
        <w:adjustRightInd w:val="0"/>
        <w:snapToGrid w:val="0"/>
        <w:spacing w:line="360" w:lineRule="auto"/>
        <w:ind w:firstLine="480"/>
        <w:rPr>
          <w:rFonts w:hint="eastAsia" w:ascii="宋体" w:hAnsi="宋体"/>
          <w:szCs w:val="21"/>
        </w:rPr>
      </w:pPr>
      <w:r>
        <w:rPr>
          <w:rFonts w:hint="eastAsia" w:ascii="宋体" w:hAnsi="宋体" w:cs="宋体"/>
          <w:color w:val="000000"/>
          <w:kern w:val="0"/>
          <w:szCs w:val="21"/>
        </w:rPr>
        <w:t>基金管理人应采取合理、必要措施，确保</w:t>
      </w:r>
      <w:r>
        <w:rPr>
          <w:rFonts w:ascii="宋体" w:hAnsi="宋体" w:cs="宋体"/>
          <w:color w:val="000000"/>
          <w:kern w:val="0"/>
          <w:szCs w:val="21"/>
        </w:rPr>
        <w:t>T日日终有足够的资金头寸完成 T+1日</w:t>
      </w:r>
      <w:r>
        <w:rPr>
          <w:rFonts w:hint="eastAsia" w:ascii="宋体" w:hAnsi="宋体"/>
          <w:szCs w:val="21"/>
        </w:rPr>
        <w:t>中国证券登记结算有限责任公司的资金</w:t>
      </w:r>
      <w:r>
        <w:rPr>
          <w:rFonts w:hint="eastAsia" w:ascii="宋体" w:hAnsi="宋体" w:cs="宋体"/>
          <w:color w:val="000000"/>
          <w:kern w:val="0"/>
          <w:szCs w:val="21"/>
        </w:rPr>
        <w:t>交收；如因基金管理人原因导致资金头寸不足，基金管理人应</w:t>
      </w:r>
      <w:r>
        <w:rPr>
          <w:rFonts w:hint="eastAsia" w:ascii="宋体" w:hAnsi="宋体"/>
          <w:szCs w:val="21"/>
        </w:rPr>
        <w:t>视基金托管</w:t>
      </w:r>
      <w:r>
        <w:rPr>
          <w:rFonts w:ascii="宋体" w:hAnsi="宋体"/>
          <w:szCs w:val="21"/>
        </w:rPr>
        <w:t>人</w:t>
      </w:r>
      <w:r>
        <w:rPr>
          <w:rFonts w:hint="eastAsia" w:ascii="宋体" w:hAnsi="宋体"/>
          <w:szCs w:val="21"/>
        </w:rPr>
        <w:t>最低结算备付金比例计收方式分别于下列时点补足透支金额：</w:t>
      </w:r>
    </w:p>
    <w:p>
      <w:pPr>
        <w:adjustRightInd w:val="0"/>
        <w:snapToGrid w:val="0"/>
        <w:spacing w:line="360" w:lineRule="auto"/>
        <w:ind w:firstLine="480"/>
        <w:rPr>
          <w:rFonts w:hint="eastAsia" w:ascii="宋体" w:hAnsi="宋体"/>
          <w:szCs w:val="21"/>
        </w:rPr>
      </w:pPr>
      <w:r>
        <w:rPr>
          <w:rFonts w:hint="eastAsia" w:ascii="宋体" w:hAnsi="宋体"/>
          <w:szCs w:val="21"/>
        </w:rPr>
        <w:t>（</w:t>
      </w:r>
      <w:r>
        <w:rPr>
          <w:rFonts w:ascii="宋体" w:hAnsi="宋体"/>
          <w:szCs w:val="21"/>
        </w:rPr>
        <w:t>1）固定备付金比例计收方式下，</w:t>
      </w:r>
      <w:r>
        <w:rPr>
          <w:rFonts w:hint="eastAsia" w:ascii="宋体" w:hAnsi="宋体"/>
          <w:szCs w:val="21"/>
        </w:rPr>
        <w:t>基金</w:t>
      </w:r>
      <w:r>
        <w:rPr>
          <w:rFonts w:ascii="宋体" w:hAnsi="宋体"/>
          <w:szCs w:val="21"/>
        </w:rPr>
        <w:t>管理人应</w:t>
      </w:r>
      <w:r>
        <w:rPr>
          <w:rFonts w:hint="eastAsia" w:ascii="宋体" w:hAnsi="宋体"/>
          <w:szCs w:val="21"/>
        </w:rPr>
        <w:t>最晚于资金交收日上午</w:t>
      </w:r>
      <w:r>
        <w:rPr>
          <w:rFonts w:ascii="宋体" w:hAnsi="宋体"/>
          <w:szCs w:val="21"/>
        </w:rPr>
        <w:t>11</w:t>
      </w:r>
      <w:r>
        <w:rPr>
          <w:rFonts w:hint="eastAsia" w:ascii="宋体" w:hAnsi="宋体"/>
          <w:szCs w:val="21"/>
        </w:rPr>
        <w:t>：</w:t>
      </w:r>
      <w:r>
        <w:rPr>
          <w:rFonts w:ascii="宋体" w:hAnsi="宋体"/>
          <w:szCs w:val="21"/>
        </w:rPr>
        <w:t>00前补足金额。</w:t>
      </w:r>
    </w:p>
    <w:p>
      <w:pPr>
        <w:adjustRightInd w:val="0"/>
        <w:snapToGrid w:val="0"/>
        <w:spacing w:line="360" w:lineRule="auto"/>
        <w:ind w:firstLine="480"/>
        <w:rPr>
          <w:rFonts w:hint="eastAsia" w:ascii="宋体" w:hAnsi="宋体" w:cs="宋体"/>
          <w:color w:val="000000"/>
          <w:kern w:val="0"/>
          <w:szCs w:val="21"/>
        </w:rPr>
      </w:pPr>
      <w:r>
        <w:rPr>
          <w:rFonts w:hint="eastAsia" w:ascii="宋体" w:hAnsi="宋体"/>
          <w:szCs w:val="21"/>
        </w:rPr>
        <w:t>（</w:t>
      </w:r>
      <w:r>
        <w:rPr>
          <w:rFonts w:ascii="宋体" w:hAnsi="宋体"/>
          <w:szCs w:val="21"/>
        </w:rPr>
        <w:t>2）差异化备付金比例计收方式下，</w:t>
      </w:r>
      <w:r>
        <w:rPr>
          <w:rFonts w:hint="eastAsia" w:ascii="宋体" w:hAnsi="宋体"/>
          <w:szCs w:val="21"/>
        </w:rPr>
        <w:t>基金</w:t>
      </w:r>
      <w:r>
        <w:rPr>
          <w:rFonts w:ascii="宋体" w:hAnsi="宋体"/>
          <w:szCs w:val="21"/>
        </w:rPr>
        <w:t>管理人应最晚于资金交收日</w:t>
      </w:r>
      <w:r>
        <w:rPr>
          <w:rFonts w:hint="eastAsia" w:ascii="宋体" w:hAnsi="宋体"/>
          <w:szCs w:val="21"/>
        </w:rPr>
        <w:t>上午</w:t>
      </w:r>
      <w:r>
        <w:rPr>
          <w:rFonts w:ascii="宋体" w:hAnsi="宋体"/>
          <w:szCs w:val="21"/>
        </w:rPr>
        <w:t>8：30前补足金额</w:t>
      </w:r>
      <w:r>
        <w:rPr>
          <w:rFonts w:hint="eastAsia" w:ascii="宋体" w:hAnsi="宋体" w:cs="宋体"/>
          <w:color w:val="000000"/>
          <w:kern w:val="0"/>
          <w:szCs w:val="21"/>
        </w:rPr>
        <w:t>。如果未遵循上述规定备足资金头寸，影响基金资产的清算交收及基金托管人与中国证券登记结算有限责任公司之间的一级清算，按照基金托管人与基金管理人签订的《托管银行证券资金结算协议》处理解决。</w:t>
      </w:r>
    </w:p>
    <w:p>
      <w:pPr>
        <w:adjustRightInd w:val="0"/>
        <w:snapToGrid w:val="0"/>
        <w:spacing w:line="360" w:lineRule="auto"/>
        <w:ind w:firstLine="480"/>
        <w:rPr>
          <w:rFonts w:hint="eastAsia" w:ascii="宋体" w:hAnsi="宋体" w:cs="Arial"/>
          <w:szCs w:val="21"/>
        </w:rPr>
      </w:pPr>
      <w:r>
        <w:rPr>
          <w:rFonts w:hint="eastAsia" w:ascii="宋体" w:hAnsi="宋体" w:cs="宋体"/>
          <w:color w:val="000000"/>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pPr>
        <w:adjustRightInd w:val="0"/>
        <w:snapToGrid w:val="0"/>
        <w:spacing w:line="360" w:lineRule="auto"/>
        <w:ind w:firstLine="480"/>
        <w:rPr>
          <w:rFonts w:hint="eastAsia" w:ascii="宋体" w:hAnsi="宋体"/>
          <w:szCs w:val="21"/>
        </w:rPr>
      </w:pPr>
      <w:r>
        <w:rPr>
          <w:rFonts w:hint="eastAsia" w:ascii="宋体" w:hAnsi="宋体"/>
          <w:szCs w:val="21"/>
        </w:rPr>
        <w:t>对于中国证券登记结算有限责任公司实行</w:t>
      </w:r>
      <w:r>
        <w:rPr>
          <w:rFonts w:ascii="宋体" w:hAnsi="宋体"/>
          <w:szCs w:val="21"/>
        </w:rPr>
        <w:t>T+0</w:t>
      </w:r>
      <w:r>
        <w:rPr>
          <w:rFonts w:hint="eastAsia" w:ascii="宋体" w:hAnsi="宋体"/>
          <w:szCs w:val="21"/>
        </w:rPr>
        <w:t>非担保交收的业务，基金管理人应在交易日</w:t>
      </w:r>
      <w:r>
        <w:rPr>
          <w:rFonts w:ascii="宋体" w:hAnsi="宋体"/>
          <w:szCs w:val="21"/>
        </w:rPr>
        <w:t>14:00前将划款指令发送至</w:t>
      </w:r>
      <w:r>
        <w:rPr>
          <w:rFonts w:hint="eastAsia" w:ascii="宋体" w:hAnsi="宋体"/>
          <w:szCs w:val="21"/>
        </w:rPr>
        <w:t>基金托管人</w:t>
      </w:r>
      <w:r>
        <w:rPr>
          <w:rFonts w:ascii="宋体" w:hAnsi="宋体"/>
          <w:szCs w:val="21"/>
        </w:rPr>
        <w:t>。因</w:t>
      </w:r>
      <w:r>
        <w:rPr>
          <w:rFonts w:hint="eastAsia" w:ascii="宋体" w:hAnsi="宋体"/>
          <w:szCs w:val="21"/>
        </w:rPr>
        <w:t>基金管理人指令传输不及时，致使资金未能及时划入中国结算指定交收账户所造成的损失由基金管理人承担。包括但不限于赔偿在该市场引起其他托管客户交易失败、赔偿因占用结算参与人最低备付金带来的利息损失。若沪深市场</w:t>
      </w:r>
      <w:r>
        <w:rPr>
          <w:rFonts w:ascii="宋体" w:hAnsi="宋体"/>
          <w:szCs w:val="21"/>
        </w:rPr>
        <w:t>T+0非担保交收规则调整，则此条款内容相应调整。</w:t>
      </w:r>
    </w:p>
    <w:p>
      <w:pPr>
        <w:adjustRightInd w:val="0"/>
        <w:snapToGrid w:val="0"/>
        <w:spacing w:line="360" w:lineRule="auto"/>
        <w:ind w:firstLine="480"/>
        <w:rPr>
          <w:rFonts w:hint="eastAsia" w:ascii="宋体" w:hAnsi="宋体" w:cs="Arial"/>
          <w:szCs w:val="21"/>
        </w:rPr>
      </w:pPr>
      <w:r>
        <w:rPr>
          <w:rFonts w:ascii="宋体" w:hAnsi="宋体" w:cs="Arial"/>
          <w:szCs w:val="21"/>
        </w:rPr>
        <w:t>3.交易记录、资金和证券账目核对的时间和方式</w:t>
      </w:r>
    </w:p>
    <w:p>
      <w:pPr>
        <w:adjustRightInd w:val="0"/>
        <w:snapToGrid w:val="0"/>
        <w:spacing w:line="360" w:lineRule="auto"/>
        <w:ind w:firstLine="480"/>
        <w:rPr>
          <w:rFonts w:hint="eastAsia" w:ascii="宋体" w:hAnsi="宋体" w:cs="Arial"/>
          <w:szCs w:val="21"/>
        </w:rPr>
      </w:pPr>
      <w:r>
        <w:rPr>
          <w:rFonts w:hint="eastAsia" w:ascii="宋体" w:hAnsi="宋体" w:cs="Arial"/>
          <w:szCs w:val="21"/>
        </w:rPr>
        <w:t>（</w:t>
      </w:r>
      <w:r>
        <w:rPr>
          <w:rFonts w:ascii="宋体" w:hAnsi="宋体" w:cs="Arial"/>
          <w:szCs w:val="21"/>
        </w:rPr>
        <w:t>1）交易记录的核对</w:t>
      </w:r>
    </w:p>
    <w:p>
      <w:pPr>
        <w:adjustRightInd w:val="0"/>
        <w:snapToGrid w:val="0"/>
        <w:spacing w:line="360" w:lineRule="auto"/>
        <w:ind w:firstLine="420" w:firstLineChars="200"/>
        <w:rPr>
          <w:rFonts w:hint="eastAsia" w:ascii="宋体" w:hAnsi="宋体" w:cs="Arial"/>
          <w:szCs w:val="21"/>
        </w:rPr>
      </w:pPr>
      <w:r>
        <w:rPr>
          <w:rFonts w:hint="eastAsia" w:ascii="宋体" w:hAnsi="宋体"/>
          <w:kern w:val="0"/>
          <w:szCs w:val="21"/>
        </w:rPr>
        <w:t>基金管理人按日进行交易记录的核对。对外披露净值之前，必须保证当天所有实际交易记录与基金会计账簿上的交易记录完全一致。如果因基金管理人原因导致的实际交易记录与会计账簿记录不一致，造成基金会计核算不完整或不真实，由此导致的损失由基金管理人承担。</w:t>
      </w:r>
    </w:p>
    <w:p>
      <w:pPr>
        <w:adjustRightInd w:val="0"/>
        <w:snapToGrid w:val="0"/>
        <w:spacing w:line="360" w:lineRule="auto"/>
        <w:ind w:firstLine="480"/>
        <w:rPr>
          <w:rFonts w:hint="eastAsia" w:ascii="宋体" w:hAnsi="宋体" w:cs="Arial"/>
          <w:szCs w:val="21"/>
        </w:rPr>
      </w:pPr>
      <w:r>
        <w:rPr>
          <w:rFonts w:hint="eastAsia" w:ascii="宋体" w:hAnsi="宋体" w:cs="Arial"/>
          <w:szCs w:val="21"/>
        </w:rPr>
        <w:t>（</w:t>
      </w:r>
      <w:r>
        <w:rPr>
          <w:rFonts w:ascii="宋体" w:hAnsi="宋体" w:cs="Arial"/>
          <w:szCs w:val="21"/>
        </w:rPr>
        <w:t>2）资金账目的核对</w:t>
      </w:r>
    </w:p>
    <w:p>
      <w:pPr>
        <w:adjustRightInd w:val="0"/>
        <w:snapToGrid w:val="0"/>
        <w:spacing w:line="360" w:lineRule="auto"/>
        <w:ind w:firstLine="480"/>
        <w:rPr>
          <w:rFonts w:hint="eastAsia" w:ascii="宋体" w:hAnsi="宋体" w:cs="Arial"/>
          <w:szCs w:val="21"/>
        </w:rPr>
      </w:pPr>
      <w:r>
        <w:rPr>
          <w:rFonts w:hint="eastAsia" w:ascii="宋体" w:hAnsi="宋体" w:cs="Arial"/>
          <w:szCs w:val="21"/>
        </w:rPr>
        <w:t>资金账目按日核实。</w:t>
      </w:r>
    </w:p>
    <w:p>
      <w:pPr>
        <w:adjustRightInd w:val="0"/>
        <w:snapToGrid w:val="0"/>
        <w:spacing w:line="360" w:lineRule="auto"/>
        <w:ind w:firstLine="480"/>
        <w:rPr>
          <w:rFonts w:hint="eastAsia" w:ascii="宋体" w:hAnsi="宋体" w:cs="Arial"/>
          <w:szCs w:val="21"/>
        </w:rPr>
      </w:pPr>
      <w:r>
        <w:rPr>
          <w:rFonts w:hint="eastAsia" w:ascii="宋体" w:hAnsi="宋体" w:cs="Arial"/>
          <w:szCs w:val="21"/>
        </w:rPr>
        <w:t>（</w:t>
      </w:r>
      <w:r>
        <w:rPr>
          <w:rFonts w:ascii="宋体" w:hAnsi="宋体" w:cs="Arial"/>
          <w:szCs w:val="21"/>
        </w:rPr>
        <w:t>3）证券账目的核对</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基金管理人和基金托管人每个估值日结束后核对基金证券账目，确保双方账目相符。</w:t>
      </w:r>
    </w:p>
    <w:p>
      <w:pPr>
        <w:spacing w:line="360" w:lineRule="auto"/>
        <w:rPr>
          <w:rFonts w:hint="eastAsia" w:ascii="宋体" w:hAnsi="宋体" w:cs="Arial"/>
          <w:szCs w:val="21"/>
        </w:rPr>
      </w:pPr>
      <w:r>
        <w:rPr>
          <w:rFonts w:hint="eastAsia" w:ascii="宋体" w:hAnsi="宋体" w:cs="Arial"/>
          <w:szCs w:val="21"/>
        </w:rPr>
        <w:t>（三）基金申购和赎回业务处理的基本规定</w:t>
      </w:r>
    </w:p>
    <w:p>
      <w:pPr>
        <w:adjustRightInd w:val="0"/>
        <w:snapToGrid w:val="0"/>
        <w:spacing w:line="360" w:lineRule="auto"/>
        <w:ind w:firstLine="480"/>
        <w:rPr>
          <w:rFonts w:hint="eastAsia" w:ascii="宋体" w:hAnsi="宋体" w:cs="Arial"/>
          <w:szCs w:val="21"/>
        </w:rPr>
      </w:pPr>
      <w:r>
        <w:rPr>
          <w:rFonts w:ascii="宋体" w:hAnsi="宋体" w:cs="Arial"/>
          <w:szCs w:val="21"/>
        </w:rPr>
        <w:t>1.基金份额申购、赎回的确认、清算由基金管理人或其委托的登记机构负责。</w:t>
      </w:r>
    </w:p>
    <w:p>
      <w:pPr>
        <w:adjustRightInd w:val="0"/>
        <w:snapToGrid w:val="0"/>
        <w:spacing w:line="360" w:lineRule="auto"/>
        <w:ind w:firstLine="480"/>
        <w:rPr>
          <w:rFonts w:hint="eastAsia" w:ascii="宋体" w:hAnsi="宋体" w:cs="Arial"/>
          <w:szCs w:val="21"/>
        </w:rPr>
      </w:pPr>
      <w:r>
        <w:rPr>
          <w:rFonts w:ascii="宋体" w:hAnsi="宋体" w:cs="Arial"/>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pPr>
        <w:adjustRightInd w:val="0"/>
        <w:snapToGrid w:val="0"/>
        <w:spacing w:line="360" w:lineRule="auto"/>
        <w:ind w:firstLine="480"/>
        <w:rPr>
          <w:rFonts w:hint="eastAsia" w:ascii="宋体" w:hAnsi="宋体" w:cs="Arial"/>
          <w:szCs w:val="21"/>
        </w:rPr>
      </w:pPr>
      <w:r>
        <w:rPr>
          <w:rFonts w:ascii="宋体" w:hAnsi="宋体" w:cs="Arial"/>
          <w:szCs w:val="21"/>
        </w:rPr>
        <w:t>3.基金管理人应保证本基金（或本基金管理人委托）的登记机构每个工作日15:00前向基金托管人发送前一开放</w:t>
      </w:r>
      <w:r>
        <w:rPr>
          <w:rFonts w:hint="eastAsia" w:ascii="宋体" w:hAnsi="宋体" w:cs="Arial"/>
          <w:szCs w:val="21"/>
        </w:rPr>
        <w:t>日上述有关数据，并保证相关数据的准确、完整。</w:t>
      </w:r>
    </w:p>
    <w:p>
      <w:pPr>
        <w:adjustRightInd w:val="0"/>
        <w:snapToGrid w:val="0"/>
        <w:spacing w:line="360" w:lineRule="auto"/>
        <w:ind w:firstLine="480"/>
        <w:rPr>
          <w:rFonts w:hint="eastAsia" w:ascii="宋体" w:hAnsi="宋体" w:cs="Arial"/>
          <w:szCs w:val="21"/>
        </w:rPr>
      </w:pPr>
      <w:r>
        <w:rPr>
          <w:rFonts w:ascii="宋体" w:hAnsi="宋体" w:cs="Arial"/>
          <w:szCs w:val="21"/>
        </w:rPr>
        <w:t>4.登记机构应通过与基金托管人建立的加密系统发送有关数据，如因各种原因，该系统无法正常发送，双方可协商解决处理方式。基金管理人向基金托管人发送的数据，双方各自按有关规定保存。</w:t>
      </w:r>
    </w:p>
    <w:p>
      <w:pPr>
        <w:adjustRightInd w:val="0"/>
        <w:snapToGrid w:val="0"/>
        <w:spacing w:line="360" w:lineRule="auto"/>
        <w:ind w:firstLine="480"/>
        <w:rPr>
          <w:rFonts w:hint="eastAsia" w:ascii="宋体" w:hAnsi="宋体" w:cs="Arial"/>
          <w:szCs w:val="21"/>
        </w:rPr>
      </w:pPr>
      <w:r>
        <w:rPr>
          <w:rFonts w:ascii="宋体" w:hAnsi="宋体" w:cs="Arial"/>
          <w:szCs w:val="21"/>
        </w:rPr>
        <w:t>5.如基金管理人委托其他机构办理本基金的登记业务，应保证上述相关事宜按时进行。否则，由基金管理人承担相应的责任。</w:t>
      </w:r>
    </w:p>
    <w:p>
      <w:pPr>
        <w:adjustRightInd w:val="0"/>
        <w:snapToGrid w:val="0"/>
        <w:spacing w:line="360" w:lineRule="auto"/>
        <w:ind w:firstLine="480"/>
        <w:rPr>
          <w:rFonts w:hint="eastAsia" w:ascii="宋体" w:hAnsi="宋体" w:cs="Arial"/>
          <w:szCs w:val="21"/>
        </w:rPr>
      </w:pPr>
      <w:r>
        <w:rPr>
          <w:rFonts w:ascii="宋体" w:hAnsi="宋体" w:cs="Arial"/>
          <w:szCs w:val="21"/>
        </w:rPr>
        <w:t>6.关于清算专用账户的设立和管理</w:t>
      </w:r>
    </w:p>
    <w:p>
      <w:pPr>
        <w:adjustRightInd w:val="0"/>
        <w:snapToGrid w:val="0"/>
        <w:spacing w:line="360" w:lineRule="auto"/>
        <w:ind w:firstLine="480"/>
        <w:rPr>
          <w:rFonts w:hint="eastAsia" w:ascii="宋体" w:hAnsi="宋体" w:cs="Arial"/>
          <w:szCs w:val="21"/>
        </w:rPr>
      </w:pPr>
      <w:r>
        <w:rPr>
          <w:rFonts w:hint="eastAsia" w:ascii="宋体" w:hAnsi="宋体" w:cs="Arial"/>
          <w:szCs w:val="21"/>
        </w:rPr>
        <w:t>为满足申购、赎回及分红资金汇划的需要，由基金管理人开立资金清算的专用账户，该账户由登记机构管理。</w:t>
      </w:r>
    </w:p>
    <w:p>
      <w:pPr>
        <w:adjustRightInd w:val="0"/>
        <w:snapToGrid w:val="0"/>
        <w:spacing w:line="360" w:lineRule="auto"/>
        <w:ind w:firstLine="480"/>
        <w:rPr>
          <w:rFonts w:hint="eastAsia" w:ascii="宋体" w:hAnsi="宋体" w:cs="Arial"/>
          <w:szCs w:val="21"/>
        </w:rPr>
      </w:pPr>
      <w:r>
        <w:rPr>
          <w:rFonts w:ascii="宋体" w:hAnsi="宋体" w:cs="Arial"/>
          <w:szCs w:val="21"/>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予以必要的协助和配合。</w:t>
      </w:r>
    </w:p>
    <w:p>
      <w:pPr>
        <w:adjustRightInd w:val="0"/>
        <w:snapToGrid w:val="0"/>
        <w:spacing w:line="360" w:lineRule="auto"/>
        <w:ind w:firstLine="480"/>
        <w:rPr>
          <w:rFonts w:hint="eastAsia" w:ascii="宋体" w:hAnsi="宋体" w:cs="Arial"/>
          <w:szCs w:val="21"/>
        </w:rPr>
      </w:pPr>
      <w:r>
        <w:rPr>
          <w:rFonts w:ascii="宋体" w:hAnsi="宋体" w:cs="Arial"/>
          <w:szCs w:val="21"/>
        </w:rPr>
        <w:t>8.赎回和分红资金划拨规定</w:t>
      </w:r>
    </w:p>
    <w:p>
      <w:pPr>
        <w:adjustRightInd w:val="0"/>
        <w:snapToGrid w:val="0"/>
        <w:spacing w:line="360" w:lineRule="auto"/>
        <w:ind w:firstLine="480"/>
        <w:rPr>
          <w:rFonts w:hint="eastAsia" w:ascii="宋体" w:hAnsi="宋体" w:cs="Arial"/>
          <w:szCs w:val="21"/>
        </w:rPr>
      </w:pPr>
      <w:r>
        <w:rPr>
          <w:rFonts w:hint="eastAsia" w:ascii="宋体" w:hAnsi="宋体" w:cs="Arial"/>
          <w:szCs w:val="21"/>
        </w:rPr>
        <w:t>拨付赎回款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pPr>
        <w:adjustRightInd w:val="0"/>
        <w:snapToGrid w:val="0"/>
        <w:spacing w:line="360" w:lineRule="auto"/>
        <w:ind w:firstLine="480"/>
        <w:rPr>
          <w:rFonts w:hint="eastAsia" w:ascii="宋体" w:hAnsi="宋体" w:cs="Arial"/>
          <w:szCs w:val="21"/>
        </w:rPr>
      </w:pPr>
      <w:r>
        <w:rPr>
          <w:rFonts w:ascii="宋体" w:hAnsi="宋体" w:cs="Arial"/>
          <w:szCs w:val="21"/>
        </w:rPr>
        <w:t>9.资金指令</w:t>
      </w:r>
    </w:p>
    <w:p>
      <w:pPr>
        <w:adjustRightInd w:val="0"/>
        <w:snapToGrid w:val="0"/>
        <w:spacing w:line="360" w:lineRule="auto"/>
        <w:ind w:firstLine="480"/>
        <w:rPr>
          <w:rFonts w:hint="eastAsia" w:ascii="宋体" w:hAnsi="宋体" w:cs="Arial"/>
          <w:szCs w:val="21"/>
        </w:rPr>
      </w:pPr>
      <w:r>
        <w:rPr>
          <w:rFonts w:hint="eastAsia" w:ascii="宋体" w:hAnsi="宋体" w:cs="Arial"/>
          <w:szCs w:val="21"/>
        </w:rPr>
        <w:t>除申购款项到达基金托管资金账户需双方按约定方式对账外，回购到期付款和与投资有关的付款、赎回和分红资金划拨时，基金管理人需向基金托管人下达指令。</w:t>
      </w:r>
    </w:p>
    <w:p>
      <w:pPr>
        <w:adjustRightInd w:val="0"/>
        <w:snapToGrid w:val="0"/>
        <w:spacing w:line="360" w:lineRule="auto"/>
        <w:ind w:firstLine="480"/>
        <w:rPr>
          <w:rFonts w:hint="eastAsia" w:ascii="宋体" w:hAnsi="宋体" w:cs="Arial"/>
          <w:szCs w:val="21"/>
        </w:rPr>
      </w:pPr>
      <w:r>
        <w:rPr>
          <w:rFonts w:hint="eastAsia" w:ascii="宋体" w:hAnsi="宋体" w:cs="Arial"/>
          <w:szCs w:val="21"/>
        </w:rPr>
        <w:t>资金指令的格式、内容、发送、接收和确认方式等与投资指令相同。</w:t>
      </w:r>
    </w:p>
    <w:p>
      <w:pPr>
        <w:adjustRightInd w:val="0"/>
        <w:snapToGrid w:val="0"/>
        <w:spacing w:line="360" w:lineRule="auto"/>
        <w:ind w:firstLine="480"/>
        <w:rPr>
          <w:rFonts w:hint="eastAsia" w:ascii="宋体" w:hAnsi="宋体" w:cs="Arial"/>
          <w:szCs w:val="21"/>
        </w:rPr>
      </w:pPr>
      <w:r>
        <w:rPr>
          <w:rFonts w:hint="eastAsia" w:ascii="宋体" w:hAnsi="宋体" w:cs="Arial"/>
          <w:szCs w:val="21"/>
        </w:rPr>
        <w:t>（四）申赎净额结算</w:t>
      </w:r>
    </w:p>
    <w:p>
      <w:pPr>
        <w:adjustRightInd w:val="0"/>
        <w:snapToGrid w:val="0"/>
        <w:spacing w:line="360" w:lineRule="auto"/>
        <w:ind w:firstLine="480"/>
        <w:rPr>
          <w:rFonts w:hint="eastAsia" w:ascii="宋体" w:hAnsi="宋体" w:cs="Arial"/>
          <w:szCs w:val="21"/>
        </w:rPr>
      </w:pPr>
      <w:r>
        <w:rPr>
          <w:rFonts w:hint="eastAsia" w:ascii="宋体" w:hAnsi="宋体" w:cs="Arial"/>
          <w:szCs w:val="21"/>
        </w:rPr>
        <w:t>基金托管资金账户与“基金清算账户”间的资金结算遵循“全额清算、净额交收”的原则，每日</w:t>
      </w:r>
      <w:r>
        <w:rPr>
          <w:rFonts w:ascii="宋体" w:hAnsi="宋体" w:cs="Arial"/>
          <w:szCs w:val="21"/>
        </w:rPr>
        <w:t>(T日：资金交收日，下同)按照托管资金账户应收资金(T-2日申购申请对应申购金额与T-3日基金转换</w:t>
      </w:r>
      <w:r>
        <w:rPr>
          <w:rFonts w:hint="eastAsia" w:ascii="宋体" w:hAnsi="宋体" w:cs="Arial"/>
          <w:szCs w:val="21"/>
        </w:rPr>
        <w:t>入申请对应金额之和</w:t>
      </w:r>
      <w:r>
        <w:rPr>
          <w:rFonts w:ascii="宋体" w:hAnsi="宋体" w:cs="Arial"/>
          <w:szCs w:val="21"/>
        </w:rPr>
        <w:t>)与应付资金(T-3日赎回申请对应赎回金额与T-3日基金转换出申请对应金额之和)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w:t>
      </w:r>
      <w:r>
        <w:rPr>
          <w:rFonts w:hint="eastAsia" w:ascii="宋体" w:hAnsi="宋体" w:cs="Arial"/>
          <w:szCs w:val="21"/>
        </w:rPr>
        <w:t>划往基金清算账户。</w:t>
      </w:r>
      <w:r>
        <w:rPr>
          <w:rFonts w:hint="eastAsia" w:ascii="宋体" w:hAnsi="宋体"/>
          <w:szCs w:val="21"/>
        </w:rPr>
        <w:t>特殊情况时，双方协商处理。</w:t>
      </w:r>
    </w:p>
    <w:p>
      <w:pPr>
        <w:spacing w:line="360" w:lineRule="auto"/>
        <w:ind w:firstLine="420" w:firstLineChars="200"/>
        <w:rPr>
          <w:rFonts w:hint="eastAsia" w:ascii="宋体" w:hAnsi="宋体" w:cs="Arial"/>
          <w:szCs w:val="21"/>
        </w:rPr>
      </w:pPr>
      <w:r>
        <w:rPr>
          <w:rFonts w:hint="eastAsia" w:ascii="宋体" w:hAnsi="宋体" w:cs="Arial"/>
          <w:szCs w:val="21"/>
        </w:rPr>
        <w:t>（五）基金转换</w:t>
      </w:r>
    </w:p>
    <w:p>
      <w:pPr>
        <w:spacing w:line="360" w:lineRule="auto"/>
        <w:ind w:firstLine="420" w:firstLineChars="200"/>
        <w:rPr>
          <w:rFonts w:hint="eastAsia" w:ascii="宋体" w:hAnsi="宋体" w:cs="Arial"/>
          <w:szCs w:val="21"/>
        </w:rPr>
      </w:pPr>
      <w:r>
        <w:rPr>
          <w:rFonts w:ascii="宋体" w:hAnsi="宋体" w:cs="Arial"/>
          <w:szCs w:val="21"/>
        </w:rPr>
        <w:t>1.在本基金与基金管理人管理的其它基金开展转换业务之前，基金管理人应函告基金托管人并就相关事宜进行协商。</w:t>
      </w:r>
    </w:p>
    <w:p>
      <w:pPr>
        <w:spacing w:line="360" w:lineRule="auto"/>
        <w:ind w:firstLine="420" w:firstLineChars="200"/>
        <w:rPr>
          <w:rFonts w:hint="eastAsia" w:ascii="宋体" w:hAnsi="宋体" w:cs="Arial"/>
          <w:szCs w:val="21"/>
        </w:rPr>
      </w:pPr>
      <w:r>
        <w:rPr>
          <w:rFonts w:ascii="宋体" w:hAnsi="宋体" w:cs="Arial"/>
          <w:szCs w:val="21"/>
        </w:rPr>
        <w:t>2.基金托管人将根据基金管理人传送的基金转换数据进行账务处理，</w:t>
      </w:r>
      <w:r>
        <w:rPr>
          <w:rFonts w:hint="eastAsia" w:ascii="宋体" w:hAnsi="宋体" w:cs="Arial"/>
          <w:szCs w:val="21"/>
        </w:rPr>
        <w:t>具体资金清算和数据传递的时间、程序及托管协议当事人承担的权责按基金管理人届时的公告执行。</w:t>
      </w:r>
    </w:p>
    <w:p>
      <w:pPr>
        <w:spacing w:line="360" w:lineRule="auto"/>
        <w:ind w:firstLine="420" w:firstLineChars="200"/>
        <w:rPr>
          <w:rFonts w:hint="eastAsia" w:ascii="宋体" w:hAnsi="宋体" w:cs="Arial"/>
          <w:szCs w:val="21"/>
        </w:rPr>
      </w:pPr>
      <w:r>
        <w:rPr>
          <w:rFonts w:ascii="宋体" w:hAnsi="宋体" w:cs="Arial"/>
          <w:szCs w:val="21"/>
        </w:rPr>
        <w:t>3.本基金开展基金转换业务应按相关法律法规规定及《基金合同》的约定进行公告。</w:t>
      </w:r>
    </w:p>
    <w:p>
      <w:pPr>
        <w:spacing w:line="360" w:lineRule="auto"/>
        <w:rPr>
          <w:rFonts w:hint="eastAsia" w:ascii="宋体" w:hAnsi="宋体" w:cs="Arial"/>
          <w:szCs w:val="21"/>
        </w:rPr>
      </w:pPr>
      <w:r>
        <w:rPr>
          <w:rFonts w:hint="eastAsia" w:ascii="宋体" w:hAnsi="宋体" w:cs="Arial"/>
          <w:szCs w:val="21"/>
        </w:rPr>
        <w:t>（六）基金分红</w:t>
      </w:r>
    </w:p>
    <w:p>
      <w:pPr>
        <w:spacing w:line="360" w:lineRule="auto"/>
        <w:ind w:firstLine="420" w:firstLineChars="200"/>
        <w:rPr>
          <w:rFonts w:hint="eastAsia" w:ascii="宋体" w:hAnsi="宋体" w:cs="Arial"/>
          <w:szCs w:val="21"/>
        </w:rPr>
      </w:pPr>
      <w:r>
        <w:rPr>
          <w:rFonts w:ascii="宋体" w:hAnsi="宋体" w:cs="Arial"/>
          <w:szCs w:val="21"/>
        </w:rPr>
        <w:t>1.基金管理人确定分红方案通知基金托管人，双方核定后</w:t>
      </w:r>
      <w:r>
        <w:rPr>
          <w:rFonts w:hint="eastAsia" w:ascii="宋体" w:hAnsi="宋体"/>
          <w:szCs w:val="21"/>
        </w:rPr>
        <w:t>依照《信息披露办法》的有关规定在中国证监会规定媒介上公告</w:t>
      </w:r>
      <w:r>
        <w:rPr>
          <w:rFonts w:hint="eastAsia" w:ascii="宋体" w:hAnsi="宋体" w:cs="Arial"/>
          <w:szCs w:val="21"/>
        </w:rPr>
        <w:t>。</w:t>
      </w:r>
    </w:p>
    <w:p>
      <w:pPr>
        <w:adjustRightInd w:val="0"/>
        <w:snapToGrid w:val="0"/>
        <w:spacing w:line="360" w:lineRule="auto"/>
        <w:ind w:firstLine="480"/>
        <w:rPr>
          <w:rFonts w:hint="eastAsia" w:ascii="宋体" w:hAnsi="宋体" w:cs="Arial"/>
          <w:szCs w:val="21"/>
        </w:rPr>
      </w:pPr>
      <w:r>
        <w:rPr>
          <w:rFonts w:ascii="宋体" w:hAnsi="宋体" w:cs="Arial"/>
          <w:szCs w:val="21"/>
        </w:rPr>
        <w:t>2.基金托管人和基金管理人对基金分红进行账务处理并核对后，基金管理人向基金托管人发送现金红利的划款指令，基金托管人应及时将资金划入专用账户。</w:t>
      </w:r>
    </w:p>
    <w:p>
      <w:pPr>
        <w:spacing w:line="360" w:lineRule="auto"/>
        <w:ind w:firstLine="480"/>
        <w:rPr>
          <w:rFonts w:hint="eastAsia" w:ascii="宋体" w:hAnsi="宋体" w:cs="Arial"/>
          <w:szCs w:val="21"/>
        </w:rPr>
      </w:pPr>
      <w:r>
        <w:rPr>
          <w:rFonts w:ascii="宋体" w:hAnsi="宋体" w:cs="Arial"/>
          <w:szCs w:val="21"/>
        </w:rPr>
        <w:t>3.基金管理人在下达指令时，应给基金托管人留出必需的划款时间。</w:t>
      </w:r>
    </w:p>
    <w:p>
      <w:pPr>
        <w:spacing w:line="360" w:lineRule="auto"/>
        <w:ind w:firstLine="480"/>
        <w:rPr>
          <w:rFonts w:hint="eastAsia" w:ascii="宋体" w:hAnsi="宋体" w:cs="Arial"/>
          <w:szCs w:val="21"/>
        </w:rPr>
      </w:pPr>
      <w:r>
        <w:rPr>
          <w:rFonts w:hint="eastAsia" w:ascii="宋体" w:hAnsi="宋体" w:cs="Arial"/>
          <w:szCs w:val="21"/>
        </w:rPr>
        <w:t>（七）投资银行存款的特别约定</w:t>
      </w:r>
    </w:p>
    <w:p>
      <w:pPr>
        <w:spacing w:line="360" w:lineRule="auto"/>
        <w:ind w:firstLine="480"/>
        <w:rPr>
          <w:rFonts w:hint="eastAsia" w:ascii="宋体" w:hAnsi="宋体" w:cs="Arial"/>
          <w:szCs w:val="21"/>
        </w:rPr>
      </w:pPr>
      <w:r>
        <w:rPr>
          <w:rFonts w:ascii="宋体" w:hAnsi="宋体" w:cs="Arial"/>
          <w:szCs w:val="21"/>
        </w:rPr>
        <w:t>1.本基金投资银行存款前，基金管理人应与存款银行签订具体存款协议，包括但不限于以下内容：。</w:t>
      </w:r>
    </w:p>
    <w:p>
      <w:pPr>
        <w:spacing w:line="360" w:lineRule="auto"/>
        <w:ind w:firstLine="480"/>
        <w:rPr>
          <w:rFonts w:hint="eastAsia" w:ascii="宋体" w:hAnsi="宋体" w:cs="Arial"/>
          <w:szCs w:val="21"/>
        </w:rPr>
      </w:pPr>
      <w:r>
        <w:rPr>
          <w:rFonts w:hint="eastAsia" w:ascii="宋体" w:hAnsi="宋体" w:cs="Arial"/>
          <w:szCs w:val="21"/>
        </w:rPr>
        <w:t>（</w:t>
      </w:r>
      <w:r>
        <w:rPr>
          <w:rFonts w:ascii="宋体" w:hAnsi="宋体" w:cs="Arial"/>
          <w:szCs w:val="21"/>
        </w:rPr>
        <w:t>1）存款账户必须以本基金名义开立,并将基金托管人为本基金开立的基金托管资金账</w:t>
      </w:r>
      <w:r>
        <w:rPr>
          <w:rFonts w:hint="eastAsia" w:ascii="宋体" w:hAnsi="宋体" w:cs="Arial"/>
          <w:szCs w:val="21"/>
        </w:rPr>
        <w:t>户指定为唯一回款账户，任何情况下，存款银行都不得将存款投资本息划往任何其他账户。</w:t>
      </w:r>
    </w:p>
    <w:p>
      <w:pPr>
        <w:spacing w:line="360" w:lineRule="auto"/>
        <w:ind w:firstLine="480"/>
        <w:rPr>
          <w:rFonts w:hint="eastAsia" w:ascii="宋体" w:hAnsi="宋体" w:cs="Arial"/>
          <w:szCs w:val="21"/>
        </w:rPr>
      </w:pPr>
      <w:r>
        <w:rPr>
          <w:rFonts w:hint="eastAsia" w:ascii="宋体" w:hAnsi="宋体" w:cs="Arial"/>
          <w:szCs w:val="21"/>
        </w:rPr>
        <w:t>（</w:t>
      </w:r>
      <w:r>
        <w:rPr>
          <w:rFonts w:ascii="宋体" w:hAnsi="宋体" w:cs="Arial"/>
          <w:szCs w:val="21"/>
        </w:rPr>
        <w:t>2）存款银行不得接受基金管理人或基金托管人任何一方单方面提出的对存款进行更名、转让、挂失、质押、担保、撤销、变更印鉴及回款账户信息等可能导致财产转移的操作申请。</w:t>
      </w:r>
    </w:p>
    <w:p>
      <w:pPr>
        <w:spacing w:line="360" w:lineRule="auto"/>
        <w:ind w:firstLine="480"/>
        <w:rPr>
          <w:rFonts w:hint="eastAsia" w:ascii="宋体" w:hAnsi="宋体" w:cs="Arial"/>
          <w:szCs w:val="21"/>
        </w:rPr>
      </w:pPr>
      <w:r>
        <w:rPr>
          <w:rFonts w:hint="eastAsia" w:ascii="宋体" w:hAnsi="宋体" w:cs="Arial"/>
          <w:szCs w:val="21"/>
        </w:rPr>
        <w:t>（</w:t>
      </w:r>
      <w:r>
        <w:rPr>
          <w:rFonts w:ascii="宋体" w:hAnsi="宋体" w:cs="Arial"/>
          <w:szCs w:val="21"/>
        </w:rPr>
        <w:t>3）约定存款证实书的具体传递交接方式及交接期限。</w:t>
      </w:r>
    </w:p>
    <w:p>
      <w:pPr>
        <w:spacing w:line="360" w:lineRule="auto"/>
        <w:ind w:firstLine="480"/>
        <w:rPr>
          <w:rFonts w:hint="eastAsia" w:ascii="宋体" w:hAnsi="宋体" w:cs="Arial"/>
          <w:szCs w:val="21"/>
        </w:rPr>
      </w:pPr>
      <w:r>
        <w:rPr>
          <w:rFonts w:hint="eastAsia" w:ascii="宋体" w:hAnsi="宋体" w:cs="Arial"/>
          <w:szCs w:val="21"/>
        </w:rPr>
        <w:t>（</w:t>
      </w:r>
      <w:r>
        <w:rPr>
          <w:rFonts w:ascii="宋体" w:hAnsi="宋体" w:cs="Arial"/>
          <w:szCs w:val="21"/>
        </w:rPr>
        <w:t>4）资金划转过程中需要使用存款银行过渡账户的，存款银行须保证资金在过渡账户中不出现滞留，不被挪用。</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为防范特殊情况下的流动性风险，定期存款协议中应当约定提前支取条款。</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1</w:t>
      </w:r>
      <w:r>
        <w:rPr>
          <w:rFonts w:hint="eastAsia" w:ascii="宋体" w:hAnsi="宋体" w:cs="Arial"/>
          <w:szCs w:val="21"/>
        </w:rPr>
        <w:t>）建立风险预警机制，对于实物凭证未送达集中度较高的存款银行，主动发函管理人尽量避免在此类银行进行存款投资；（</w:t>
      </w:r>
      <w:r>
        <w:rPr>
          <w:rFonts w:ascii="宋体" w:hAnsi="宋体" w:cs="Arial"/>
          <w:szCs w:val="21"/>
        </w:rPr>
        <w:t>2</w:t>
      </w:r>
      <w:r>
        <w:rPr>
          <w:rFonts w:hint="eastAsia" w:ascii="宋体" w:hAnsi="宋体" w:cs="Arial"/>
          <w:szCs w:val="21"/>
        </w:rPr>
        <w:t>）在定期报告中，对未按约定送达基金托管人保管的实物凭证信息进行规定范围信息披露；（</w:t>
      </w:r>
      <w:r>
        <w:rPr>
          <w:rFonts w:ascii="宋体" w:hAnsi="宋体" w:cs="Arial"/>
          <w:szCs w:val="21"/>
        </w:rPr>
        <w:t>3</w:t>
      </w:r>
      <w:r>
        <w:rPr>
          <w:rFonts w:hint="eastAsia" w:ascii="宋体" w:hAnsi="宋体" w:cs="Arial"/>
          <w:szCs w:val="21"/>
        </w:rPr>
        <w:t>）未送达实物凭证超过送单截止日后</w:t>
      </w:r>
      <w:r>
        <w:rPr>
          <w:rFonts w:ascii="宋体" w:hAnsi="宋体" w:cs="Arial"/>
          <w:szCs w:val="21"/>
        </w:rPr>
        <w:t>30</w:t>
      </w:r>
      <w:r>
        <w:rPr>
          <w:rFonts w:hint="eastAsia" w:ascii="宋体" w:hAnsi="宋体" w:cs="Arial"/>
          <w:szCs w:val="21"/>
        </w:rPr>
        <w:t>个工作日，且累计超过</w:t>
      </w:r>
      <w:r>
        <w:rPr>
          <w:rFonts w:ascii="宋体" w:hAnsi="宋体" w:cs="Arial"/>
          <w:szCs w:val="21"/>
        </w:rPr>
        <w:t>3</w:t>
      </w:r>
      <w:r>
        <w:rPr>
          <w:rFonts w:hint="eastAsia" w:ascii="宋体" w:hAnsi="宋体" w:cs="Arial"/>
          <w:szCs w:val="21"/>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pPr>
        <w:adjustRightInd w:val="0"/>
        <w:snapToGrid w:val="0"/>
        <w:spacing w:line="360" w:lineRule="auto"/>
        <w:ind w:firstLine="420" w:firstLineChars="200"/>
        <w:rPr>
          <w:rFonts w:hint="eastAsia" w:ascii="宋体" w:hAnsi="宋体" w:cs="Arial"/>
          <w:szCs w:val="21"/>
        </w:rPr>
      </w:pPr>
    </w:p>
    <w:p>
      <w:pPr>
        <w:pStyle w:val="3"/>
        <w:spacing w:line="360" w:lineRule="auto"/>
        <w:jc w:val="center"/>
        <w:rPr>
          <w:rFonts w:hint="eastAsia" w:ascii="宋体" w:hAnsi="宋体" w:eastAsia="宋体"/>
          <w:sz w:val="21"/>
          <w:szCs w:val="21"/>
        </w:rPr>
      </w:pPr>
      <w:bookmarkStart w:id="94" w:name="_Toc124325892"/>
      <w:r>
        <w:rPr>
          <w:rFonts w:ascii="宋体" w:hAnsi="宋体" w:eastAsia="宋体"/>
          <w:sz w:val="21"/>
          <w:szCs w:val="21"/>
        </w:rPr>
        <w:t xml:space="preserve"> </w:t>
      </w:r>
      <w:bookmarkStart w:id="95" w:name="_Toc233054442"/>
      <w:r>
        <w:rPr>
          <w:rFonts w:hint="eastAsia" w:ascii="宋体" w:hAnsi="宋体" w:eastAsia="宋体"/>
          <w:sz w:val="21"/>
          <w:szCs w:val="21"/>
        </w:rPr>
        <w:t>八、基金资产净值计算和会计核算</w:t>
      </w:r>
      <w:bookmarkEnd w:id="94"/>
      <w:bookmarkEnd w:id="95"/>
    </w:p>
    <w:p>
      <w:pPr>
        <w:spacing w:line="360" w:lineRule="auto"/>
        <w:rPr>
          <w:rFonts w:hint="eastAsia" w:ascii="宋体" w:hAnsi="宋体" w:cs="Arial"/>
          <w:szCs w:val="21"/>
        </w:rPr>
      </w:pPr>
      <w:r>
        <w:rPr>
          <w:rFonts w:hint="eastAsia" w:ascii="宋体" w:hAnsi="宋体" w:cs="Arial"/>
          <w:szCs w:val="21"/>
        </w:rPr>
        <w:t>（一）基金资产净值的计算、复核与完成的时间及程序</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1.基金资产净值是指基金资产总值减去负债后的金额。各类基金份额净值是按照每个</w:t>
      </w:r>
      <w:r>
        <w:rPr>
          <w:rFonts w:hint="eastAsia" w:ascii="宋体" w:hAnsi="宋体" w:cs="Arial"/>
          <w:szCs w:val="21"/>
        </w:rPr>
        <w:t>工作日闭市后，该类基金资产净值除以当日该类基金份额的余额数量计算，均精确到</w:t>
      </w:r>
      <w:r>
        <w:rPr>
          <w:rFonts w:ascii="宋体" w:hAnsi="宋体" w:cs="Arial"/>
          <w:szCs w:val="21"/>
        </w:rPr>
        <w:t>0.0001元，小数点后第五位四舍五入</w:t>
      </w:r>
      <w:r>
        <w:rPr>
          <w:rFonts w:hint="eastAsia" w:ascii="宋体" w:hAnsi="宋体"/>
          <w:szCs w:val="21"/>
        </w:rPr>
        <w:t>，由此产生的误差计入基金财产</w:t>
      </w:r>
      <w:r>
        <w:rPr>
          <w:rFonts w:hint="eastAsia" w:ascii="宋体" w:hAnsi="宋体" w:cs="Arial"/>
          <w:szCs w:val="21"/>
        </w:rPr>
        <w:t>。基金管理人可以设立大额赎回情形下的净值精度应急调整机制。国家另有规定的，从其规定。</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每个估值日计算基金资产净值及各类基金份额净值，并按规定公告。</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基金管理人应每估值日对基金资产估值。但基金管理人根据法律法规或《基金合同》的规定暂停估值时除外。基金管理人每个估值日对基金资产估值后，将各类基金份额净值结果发送基金托管人，经基金托管人复核无误后，由基金管理人对外公布。</w:t>
      </w:r>
    </w:p>
    <w:p>
      <w:pPr>
        <w:spacing w:line="360" w:lineRule="auto"/>
        <w:ind w:firstLine="420" w:firstLineChars="200"/>
        <w:rPr>
          <w:rFonts w:hint="eastAsia" w:ascii="宋体" w:hAnsi="宋体" w:cs="Arial"/>
          <w:szCs w:val="21"/>
        </w:rPr>
      </w:pPr>
      <w:r>
        <w:rPr>
          <w:rFonts w:hint="eastAsia" w:ascii="宋体" w:hAnsi="宋体" w:cs="Arial"/>
          <w:szCs w:val="21"/>
        </w:rPr>
        <w:t>（二）基金资产估值方法和特殊情形的处理</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1.估值对象</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基金所拥有的基金、资产支持证券、债券、货币市场工具和银行存款本息、应收款项、其它投资等资产及负债。</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2.估值方法</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本基金所持有的投资品种，按如下原则进行估值</w:t>
      </w:r>
      <w:r>
        <w:rPr>
          <w:rFonts w:ascii="宋体" w:hAnsi="宋体" w:cs="Arial"/>
          <w:szCs w:val="21"/>
        </w:rPr>
        <w:t xml:space="preserve"> </w:t>
      </w:r>
      <w:r>
        <w:rPr>
          <w:rFonts w:hint="eastAsia" w:ascii="宋体" w:hAnsi="宋体" w:cs="Arial"/>
          <w:szCs w:val="21"/>
        </w:rPr>
        <w:t>：</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1）证券交易所上市的有价证券的估值</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1）交易所上市的有价证券，以其估值日在证券交易所挂牌的市价（收盘价）估值；估值日无交易的，且最近交易日后经济环境未发生重大变化以及</w:t>
      </w:r>
      <w:r>
        <w:rPr>
          <w:rFonts w:hint="eastAsia" w:ascii="宋体" w:hAnsi="宋体" w:cs="Arial"/>
          <w:szCs w:val="21"/>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2）交易所上市交易或挂牌转让的不含</w:t>
      </w:r>
      <w:r>
        <w:rPr>
          <w:rFonts w:hint="eastAsia" w:ascii="宋体" w:hAnsi="宋体" w:cs="Arial"/>
          <w:szCs w:val="21"/>
        </w:rPr>
        <w:t>权固定收益品种（另有规定的除外），选取估值日第三方估值机构提供的相应品种当日的估值全价进行估值。</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3）交易所上市交易或挂牌转让的含</w:t>
      </w:r>
      <w:r>
        <w:rPr>
          <w:rFonts w:hint="eastAsia" w:ascii="宋体" w:hAnsi="宋体" w:cs="Arial"/>
          <w:szCs w:val="21"/>
        </w:rPr>
        <w:t>权固定收益品种（另有规定的除外），选取估值日第三方估值机构提供的相应品种当日的唯一估值全价或推荐估值全价进行估值。</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4）交易所上市不存在活跃市场的有价证券，采用估值技术确定公允价值。交易所市场挂牌转让的资产支持证券，采用估值技术确定公允价值。</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5）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2）首次公开发行未上市的债券，采用估值技术确定公允价值。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3）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4）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5</w:t>
      </w:r>
      <w:r>
        <w:rPr>
          <w:rFonts w:hint="eastAsia" w:ascii="宋体" w:hAnsi="宋体" w:cs="Arial"/>
          <w:szCs w:val="21"/>
        </w:rPr>
        <w:t>）存款的估值方法</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持有的银行定期存款或通知存款以本金列示，按协议或合同利率逐日确认利息收入。</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6</w:t>
      </w:r>
      <w:r>
        <w:rPr>
          <w:rFonts w:hint="eastAsia" w:ascii="宋体" w:hAnsi="宋体" w:cs="Arial"/>
          <w:szCs w:val="21"/>
        </w:rPr>
        <w:t>）</w:t>
      </w:r>
      <w:bookmarkStart w:id="96" w:name="_Hlk215735942"/>
      <w:r>
        <w:rPr>
          <w:rFonts w:hint="eastAsia" w:ascii="宋体" w:hAnsi="宋体" w:cs="Arial"/>
          <w:szCs w:val="21"/>
        </w:rPr>
        <w:t>公募</w:t>
      </w:r>
      <w:r>
        <w:rPr>
          <w:rFonts w:ascii="宋体" w:hAnsi="宋体" w:cs="Arial"/>
          <w:szCs w:val="21"/>
        </w:rPr>
        <w:t>REITs</w:t>
      </w:r>
      <w:bookmarkEnd w:id="96"/>
      <w:r>
        <w:rPr>
          <w:rFonts w:hint="eastAsia" w:ascii="宋体" w:hAnsi="宋体" w:cs="Arial"/>
          <w:szCs w:val="21"/>
        </w:rPr>
        <w:t>的估值方法：</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1）已上市的公募REITs按其估值日的收盘价估值。</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2）首次公开发行未上市的公募REITs，采用估值技术确定公允价值。</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在发行时明确一定期限限售期的公募REITs，包括但不限于战略配售取得的带限售期的公募REITs等，不包括停牌、新发行未上市等流通受限公募REITs，按监管机构或行业协会有关规定确定公允价值。如无明确规定的，可根据具体情况并参考类似投资品种的估值方法，由基金管理人与基金托管人商议后，按最能反映委托资产公允价值的方法估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如遇所投资公募</w:t>
      </w:r>
      <w:r>
        <w:rPr>
          <w:rFonts w:ascii="宋体" w:hAnsi="宋体" w:cs="Arial"/>
          <w:szCs w:val="21"/>
        </w:rPr>
        <w:t>REITs进行拆分或合并、估值日无交易等特殊情况，基金管理人根据以下原则进行估值：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①如果估值日无交易，且最近交易日后市场环境未发生重大变化，按最近交易日的收盘价估值；如最近交易日后市场环境发生了重大变化的，可根据具体情况并参考类似投资品种的现行市价及重大变化因素调整最近交易市价，确定公允价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②如果所投资基金前一估值日至估值日期间发生分红除权、拆分或合并，基金管理人应根据基金份额收盘价、单位基金份额分红金额、折算拆分比例、持仓份额等因素合理确定公允价值。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如果未来相关法律法规或监管规定对公募</w:t>
      </w:r>
      <w:r>
        <w:rPr>
          <w:rFonts w:ascii="宋体" w:hAnsi="宋体" w:cs="Arial"/>
          <w:szCs w:val="21"/>
        </w:rPr>
        <w:t>REITs的估值方法进行调整，本基金将采用调整后的方法对证券投资基金进行估值，不需召开基金份额持有人大会。</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7</w:t>
      </w:r>
      <w:r>
        <w:rPr>
          <w:rFonts w:hint="eastAsia" w:ascii="宋体" w:hAnsi="宋体" w:cs="Arial"/>
          <w:szCs w:val="21"/>
        </w:rPr>
        <w:t>）其他基金的估值方法：</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本基金投资的债券</w:t>
      </w:r>
      <w:r>
        <w:rPr>
          <w:rFonts w:ascii="宋体" w:hAnsi="宋体" w:cs="Arial"/>
          <w:szCs w:val="21"/>
        </w:rPr>
        <w:t>ETF，按所投资ETF基金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如果所投资基金前一估值日至估值日期间发生分红除权、折算或拆分，基金管理人应根据基金份额净值或收盘价、单位基金份额分红金额、折算拆分比例、持仓份额等因素合理确定公允价值。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8）</w:t>
      </w:r>
      <w:r>
        <w:rPr>
          <w:rFonts w:hint="eastAsia" w:ascii="宋体" w:hAnsi="宋体" w:cs="Arial"/>
          <w:szCs w:val="21"/>
        </w:rPr>
        <w:t>同一证券同时在两个或两个以上市场交易的，按证券所处的市场分别估值。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9</w:t>
      </w:r>
      <w:r>
        <w:rPr>
          <w:rFonts w:hint="eastAsia" w:ascii="宋体" w:hAnsi="宋体" w:cs="Arial"/>
          <w:szCs w:val="21"/>
        </w:rPr>
        <w:t>）本基金可以采用第三方估值机构按照上述公允价值确定原则提供的估值价格数据。</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10</w:t>
      </w:r>
      <w:r>
        <w:rPr>
          <w:rFonts w:hint="eastAsia" w:ascii="宋体" w:hAnsi="宋体" w:cs="Arial"/>
          <w:szCs w:val="21"/>
        </w:rPr>
        <w:t>）上述第三方估值机构提供的估值全价指第三方估值机构直接提供的估值全价或第三方估值机构提供的估值净价加每百元应计利息。</w:t>
      </w:r>
    </w:p>
    <w:p>
      <w:pPr>
        <w:adjustRightInd w:val="0"/>
        <w:snapToGrid w:val="0"/>
        <w:spacing w:line="360" w:lineRule="auto"/>
        <w:ind w:firstLine="420" w:firstLineChars="200"/>
        <w:rPr>
          <w:rFonts w:hint="eastAsia" w:ascii="宋体" w:hAnsi="宋体" w:cs="Arial"/>
          <w:szCs w:val="21"/>
        </w:rPr>
      </w:pPr>
      <w:r>
        <w:rPr>
          <w:rStyle w:val="31"/>
          <w:rFonts w:hint="eastAsia"/>
        </w:rPr>
        <w:t>（</w:t>
      </w:r>
      <w:r>
        <w:rPr>
          <w:rFonts w:ascii="宋体" w:hAnsi="宋体"/>
          <w:szCs w:val="21"/>
        </w:rPr>
        <w:t>11</w:t>
      </w:r>
      <w:r>
        <w:rPr>
          <w:rStyle w:val="31"/>
          <w:rFonts w:hint="eastAsia"/>
        </w:rPr>
        <w:t>）</w:t>
      </w:r>
      <w:r>
        <w:rPr>
          <w:rFonts w:hint="eastAsia" w:ascii="宋体" w:hAnsi="宋体" w:cs="Arial"/>
          <w:szCs w:val="21"/>
        </w:rPr>
        <w:t>如有确凿证据表明按上述方法进行估值不能客观反映其公允价值的，基金管理人可根据具体情况与基金托管人商定后，按最能反映公允价值的价格估值。使用模型估值的，应当审慎确定模型参数，不得随意调整。对于仅依赖管理人所提供数据（包括不限于管理人自建模型定价）且无法从其他渠道获取可靠数据进行会计核算的投资品种，管理人应对该估值数据的真实性、准确性、完整性、合规性负责，因上述估值数据错误导致估值结果的不真实、不准确、不完整、不合规，托管人不承担任何责任。</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12</w:t>
      </w:r>
      <w:r>
        <w:rPr>
          <w:rFonts w:hint="eastAsia" w:ascii="宋体" w:hAnsi="宋体" w:cs="Arial"/>
          <w:szCs w:val="21"/>
        </w:rPr>
        <w:t>）当发生大额申购或赎回情形时，基金管理人可以采用摆动定价机制，以确保基金估值的公平性。</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13</w:t>
      </w:r>
      <w:r>
        <w:rPr>
          <w:rFonts w:hint="eastAsia" w:ascii="宋体" w:hAnsi="宋体" w:cs="Arial"/>
          <w:szCs w:val="21"/>
        </w:rPr>
        <w:t>）其他资产按法律法规或监管机构有关规定进行估值。</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14</w:t>
      </w:r>
      <w:r>
        <w:rPr>
          <w:rFonts w:hint="eastAsia" w:ascii="宋体" w:hAnsi="宋体" w:cs="Arial"/>
          <w:szCs w:val="21"/>
        </w:rPr>
        <w:t>）税收按照相关法律法规、监管机构等的规定以及行业惯例进行处理。</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15</w:t>
      </w:r>
      <w:r>
        <w:rPr>
          <w:rFonts w:hint="eastAsia" w:ascii="宋体" w:hAnsi="宋体" w:cs="Arial"/>
          <w:szCs w:val="21"/>
        </w:rPr>
        <w:t>）相关法律法规以及监管部门有强制规定的，从其规定。如有新增事项，按国家最新规定估值。</w:t>
      </w:r>
    </w:p>
    <w:p>
      <w:pPr>
        <w:adjustRightInd w:val="0"/>
        <w:snapToGrid w:val="0"/>
        <w:spacing w:line="360" w:lineRule="auto"/>
        <w:ind w:firstLine="480"/>
        <w:rPr>
          <w:rFonts w:hint="eastAsia" w:ascii="宋体" w:hAnsi="宋体" w:cs="Arial"/>
          <w:szCs w:val="21"/>
        </w:rPr>
      </w:pPr>
      <w:r>
        <w:rPr>
          <w:rFonts w:hint="eastAsia" w:ascii="宋体" w:hAnsi="宋体" w:cs="Arial"/>
          <w:szCs w:val="21"/>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spacing w:line="360" w:lineRule="auto"/>
        <w:ind w:firstLine="480"/>
        <w:rPr>
          <w:rFonts w:hint="eastAsia" w:ascii="宋体" w:hAnsi="宋体"/>
          <w:szCs w:val="21"/>
        </w:rPr>
      </w:pPr>
      <w:r>
        <w:rPr>
          <w:rFonts w:hint="eastAsia" w:ascii="宋体" w:hAnsi="宋体"/>
          <w:szCs w:val="21"/>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意见的，基金管理人向基金托管人出具盖章的书面说明后，按照基金管理人对基金净值信息的计算结果对外予以公布。</w:t>
      </w:r>
    </w:p>
    <w:p>
      <w:pPr>
        <w:adjustRightInd w:val="0"/>
        <w:snapToGrid w:val="0"/>
        <w:spacing w:line="360" w:lineRule="auto"/>
        <w:ind w:firstLine="480"/>
        <w:rPr>
          <w:rStyle w:val="51"/>
          <w:rFonts w:hint="eastAsia" w:ascii="宋体" w:hAnsi="宋体" w:cs="Arial"/>
          <w:szCs w:val="21"/>
        </w:rPr>
      </w:pPr>
      <w:r>
        <w:rPr>
          <w:rStyle w:val="51"/>
          <w:rFonts w:ascii="宋体" w:hAnsi="宋体" w:cs="Arial"/>
          <w:szCs w:val="21"/>
        </w:rPr>
        <w:t>3.特殊情形的处理</w:t>
      </w:r>
    </w:p>
    <w:p>
      <w:pPr>
        <w:adjustRightInd w:val="0"/>
        <w:snapToGrid w:val="0"/>
        <w:spacing w:line="360" w:lineRule="auto"/>
        <w:ind w:firstLine="420" w:firstLineChars="200"/>
        <w:rPr>
          <w:rStyle w:val="51"/>
          <w:rFonts w:hint="eastAsia" w:ascii="宋体" w:hAnsi="宋体"/>
          <w:szCs w:val="21"/>
        </w:rPr>
      </w:pPr>
      <w:r>
        <w:rPr>
          <w:rStyle w:val="51"/>
          <w:rFonts w:hint="eastAsia" w:ascii="宋体" w:hAnsi="宋体" w:cs="Arial"/>
          <w:szCs w:val="21"/>
        </w:rPr>
        <w:t>（</w:t>
      </w:r>
      <w:r>
        <w:rPr>
          <w:rStyle w:val="51"/>
          <w:rFonts w:ascii="宋体" w:hAnsi="宋体" w:cs="Arial"/>
          <w:szCs w:val="21"/>
        </w:rPr>
        <w:t>1）基金管理人、基金托管人按估值方法的第(</w:t>
      </w:r>
      <w:r>
        <w:rPr>
          <w:rStyle w:val="51"/>
          <w:rFonts w:ascii="彩虹粗仿宋" w:hAnsi="宋体" w:eastAsia="彩虹粗仿宋" w:cs="Arial"/>
          <w:szCs w:val="21"/>
        </w:rPr>
        <w:t>11</w:t>
      </w:r>
      <w:r>
        <w:rPr>
          <w:rStyle w:val="51"/>
          <w:rFonts w:ascii="宋体" w:hAnsi="宋体" w:cs="Arial"/>
          <w:szCs w:val="21"/>
        </w:rPr>
        <w:t>)项进行估值时，所造成的误差不作为基金份</w:t>
      </w:r>
      <w:r>
        <w:rPr>
          <w:rStyle w:val="51"/>
          <w:rFonts w:hint="eastAsia" w:ascii="宋体" w:hAnsi="宋体"/>
          <w:szCs w:val="21"/>
        </w:rPr>
        <w:t>额净值错误处理。</w:t>
      </w:r>
    </w:p>
    <w:p>
      <w:pPr>
        <w:adjustRightInd w:val="0"/>
        <w:snapToGrid w:val="0"/>
        <w:spacing w:line="360" w:lineRule="auto"/>
        <w:ind w:firstLine="420" w:firstLineChars="200"/>
        <w:rPr>
          <w:rStyle w:val="51"/>
          <w:rFonts w:hint="eastAsia" w:ascii="宋体" w:hAnsi="宋体"/>
          <w:szCs w:val="21"/>
        </w:rPr>
      </w:pPr>
      <w:r>
        <w:rPr>
          <w:rStyle w:val="51"/>
          <w:rFonts w:hint="eastAsia" w:ascii="宋体" w:hAnsi="宋体"/>
          <w:szCs w:val="21"/>
        </w:rPr>
        <w:t>（</w:t>
      </w:r>
      <w:r>
        <w:rPr>
          <w:rStyle w:val="51"/>
          <w:rFonts w:ascii="宋体" w:hAnsi="宋体"/>
          <w:szCs w:val="21"/>
        </w:rPr>
        <w:t>2）由于证券交易所、登记结算公司、指数编制机构及第三方估值机构、存款银行等机构发送的数据错误、遗漏，有关会计制度变化、市场规则变更或由于其他不可抗力等</w:t>
      </w:r>
      <w:r>
        <w:rPr>
          <w:rStyle w:val="51"/>
          <w:rFonts w:hint="eastAsia" w:ascii="宋体" w:hAnsi="宋体"/>
          <w:szCs w:val="21"/>
        </w:rPr>
        <w:t>非基金管理人与基金托管人原因，基金管理人和基金托管人虽然已经采取必要、适当、合理的措施进行检查，但是未能发现该错误或虽发现错误但因前述原因无法及时更正而造成的基金份额净值计算错误，基金管理人、基金托管人免除赔偿责任。但基金管理人、基金托管人应积极采取必要的措施减轻或消除由此造成的影响。</w:t>
      </w:r>
    </w:p>
    <w:p>
      <w:pPr>
        <w:adjustRightInd w:val="0"/>
        <w:snapToGrid w:val="0"/>
        <w:spacing w:line="360" w:lineRule="auto"/>
        <w:ind w:firstLine="420" w:firstLineChars="200"/>
        <w:rPr>
          <w:rStyle w:val="51"/>
          <w:rFonts w:hint="eastAsia" w:ascii="宋体" w:hAnsi="宋体"/>
          <w:szCs w:val="21"/>
        </w:rPr>
      </w:pPr>
      <w:r>
        <w:rPr>
          <w:rStyle w:val="51"/>
          <w:rFonts w:hint="eastAsia" w:ascii="宋体" w:hAnsi="宋体"/>
          <w:szCs w:val="21"/>
        </w:rPr>
        <w:t>（三）基金份额净值错误的处理方式</w:t>
      </w:r>
    </w:p>
    <w:p>
      <w:pPr>
        <w:adjustRightInd w:val="0"/>
        <w:snapToGrid w:val="0"/>
        <w:spacing w:line="360" w:lineRule="auto"/>
        <w:ind w:firstLine="420" w:firstLineChars="200"/>
        <w:rPr>
          <w:rStyle w:val="51"/>
          <w:rFonts w:hint="eastAsia" w:ascii="宋体" w:hAnsi="宋体"/>
          <w:szCs w:val="21"/>
        </w:rPr>
      </w:pPr>
      <w:r>
        <w:rPr>
          <w:rStyle w:val="51"/>
          <w:rFonts w:ascii="宋体" w:hAnsi="宋体"/>
          <w:szCs w:val="21"/>
        </w:rPr>
        <w:t>1.当任一类基金份额净值小数点后4</w:t>
      </w:r>
      <w:r>
        <w:rPr>
          <w:rStyle w:val="51"/>
          <w:rFonts w:hint="eastAsia" w:ascii="宋体" w:hAnsi="宋体"/>
          <w:szCs w:val="21"/>
        </w:rPr>
        <w:t>位以内</w:t>
      </w:r>
      <w:r>
        <w:rPr>
          <w:rStyle w:val="51"/>
          <w:rFonts w:ascii="宋体" w:hAnsi="宋体"/>
          <w:szCs w:val="21"/>
        </w:rPr>
        <w:t>(含第4</w:t>
      </w:r>
      <w:r>
        <w:rPr>
          <w:rStyle w:val="51"/>
          <w:rFonts w:hint="eastAsia" w:ascii="宋体" w:hAnsi="宋体"/>
          <w:szCs w:val="21"/>
        </w:rPr>
        <w:t>位</w:t>
      </w:r>
      <w:r>
        <w:rPr>
          <w:rStyle w:val="51"/>
          <w:rFonts w:ascii="宋体" w:hAnsi="宋体"/>
          <w:szCs w:val="21"/>
        </w:rPr>
        <w:t>)发生差错时，视为该类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w:t>
      </w:r>
      <w:r>
        <w:rPr>
          <w:rFonts w:hint="eastAsia" w:ascii="宋体" w:hAnsi="宋体" w:cs="Arial"/>
          <w:szCs w:val="21"/>
        </w:rPr>
        <w:t>；错误偏差达到该类基金份额净值的</w:t>
      </w:r>
      <w:r>
        <w:rPr>
          <w:rFonts w:ascii="宋体" w:hAnsi="宋体"/>
          <w:szCs w:val="21"/>
        </w:rPr>
        <w:t>0.5%时，基金管理人应当公告</w:t>
      </w:r>
      <w:r>
        <w:rPr>
          <w:rFonts w:hint="eastAsia" w:ascii="宋体" w:hAnsi="宋体" w:cs="Arial"/>
          <w:szCs w:val="21"/>
        </w:rPr>
        <w:t>，并报中国证监会备案</w:t>
      </w:r>
      <w:r>
        <w:rPr>
          <w:rStyle w:val="51"/>
          <w:rFonts w:hint="eastAsia" w:ascii="宋体" w:hAnsi="宋体"/>
          <w:szCs w:val="21"/>
        </w:rPr>
        <w:t>；当发生净值计算错误时，由基金管理人负责处理，由此给基金份额持有人和基金造成损失的，应由基金管理人先行赔付，基金管理人按差错情形，有权向其他当事人追偿。</w:t>
      </w:r>
    </w:p>
    <w:p>
      <w:pPr>
        <w:adjustRightInd w:val="0"/>
        <w:snapToGrid w:val="0"/>
        <w:spacing w:line="360" w:lineRule="auto"/>
        <w:ind w:firstLine="420" w:firstLineChars="200"/>
        <w:rPr>
          <w:rStyle w:val="51"/>
          <w:rFonts w:hint="eastAsia" w:ascii="宋体" w:hAnsi="宋体"/>
          <w:szCs w:val="21"/>
        </w:rPr>
      </w:pPr>
      <w:r>
        <w:rPr>
          <w:rStyle w:val="51"/>
          <w:rFonts w:ascii="宋体" w:hAnsi="宋体"/>
          <w:szCs w:val="21"/>
        </w:rPr>
        <w:t>2.当基金份额净值计算差错给基金和基金份额持有人造成损失需要进行赔偿时，基金管理人和基金托管人根据实际情况界定双方承担的责任，经确认后按以下条款进行赔偿：</w:t>
      </w:r>
    </w:p>
    <w:p>
      <w:pPr>
        <w:adjustRightInd w:val="0"/>
        <w:snapToGrid w:val="0"/>
        <w:spacing w:line="360" w:lineRule="auto"/>
        <w:ind w:firstLine="420" w:firstLineChars="200"/>
        <w:rPr>
          <w:rFonts w:hint="eastAsia" w:ascii="宋体" w:hAnsi="宋体" w:cs="Arial"/>
          <w:szCs w:val="21"/>
        </w:rPr>
      </w:pPr>
      <w:r>
        <w:rPr>
          <w:rStyle w:val="51"/>
          <w:rFonts w:ascii="宋体" w:hAnsi="宋体"/>
          <w:szCs w:val="21"/>
        </w:rPr>
        <w:t>(1)本基金的基金会计责任方由基金管理人担任，与本基金有关的会计问题，如经双方在平等基础上充分讨论后，尚不能达成一致时，按基金管理人的建议执行，由此给基金份额持有人和基金财产造成的</w:t>
      </w:r>
      <w:r>
        <w:rPr>
          <w:rFonts w:hint="eastAsia" w:ascii="宋体" w:hAnsi="宋体" w:cs="Arial"/>
          <w:szCs w:val="21"/>
        </w:rPr>
        <w:t>损失，由基金管理人负责赔付。</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w:t>
      </w:r>
      <w:r>
        <w:rPr>
          <w:rFonts w:hint="eastAsia" w:ascii="宋体" w:hAnsi="宋体"/>
          <w:kern w:val="0"/>
          <w:szCs w:val="21"/>
        </w:rPr>
        <w:t>若基金管理人计算的基金份额净值已由基金托管人复核确认后公告，由此给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w:t>
      </w:r>
      <w:r>
        <w:rPr>
          <w:rFonts w:hint="eastAsia" w:ascii="宋体" w:hAnsi="宋体"/>
          <w:kern w:val="0"/>
          <w:szCs w:val="21"/>
        </w:rPr>
        <w:t>由于基金管理人提供的信息错误（包括但不限于基金申购或赎回金额等），进而导致基金份额净值计算错误而引起的基金份额持有人和基金财产的损失，由基金管理人负责赔付。</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3.基金管理人和基金托管人由于各自技术系统设置而产生的净值计算尾差，以基金管理人计算结果为准。</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4.前述内容如法律法规或者监管部门另有规定的，从其规定。</w:t>
      </w:r>
      <w:bookmarkStart w:id="97" w:name="_Hlk176009278"/>
      <w:r>
        <w:rPr>
          <w:rFonts w:hint="eastAsia" w:ascii="宋体" w:hAnsi="宋体" w:cs="Arial"/>
          <w:szCs w:val="21"/>
        </w:rPr>
        <w:t>如果行业另有通行做法，双方当事人应本着平等和保护基金份额持有人利益的原则进行协商。</w:t>
      </w:r>
      <w:bookmarkEnd w:id="97"/>
    </w:p>
    <w:p>
      <w:pPr>
        <w:spacing w:line="360" w:lineRule="auto"/>
        <w:ind w:firstLine="420" w:firstLineChars="200"/>
        <w:rPr>
          <w:rFonts w:hint="eastAsia" w:ascii="宋体" w:hAnsi="宋体" w:cs="Arial"/>
          <w:szCs w:val="21"/>
        </w:rPr>
      </w:pPr>
      <w:r>
        <w:rPr>
          <w:rFonts w:hint="eastAsia" w:ascii="宋体" w:hAnsi="宋体" w:cs="Arial"/>
          <w:szCs w:val="21"/>
        </w:rPr>
        <w:t>（四）暂停估值与公告基金份额净值的情形</w:t>
      </w:r>
    </w:p>
    <w:p>
      <w:pPr>
        <w:spacing w:line="360" w:lineRule="auto"/>
        <w:ind w:firstLine="420" w:firstLineChars="200"/>
        <w:rPr>
          <w:rFonts w:hint="eastAsia" w:ascii="宋体" w:hAnsi="宋体" w:cs="Arial"/>
          <w:szCs w:val="21"/>
        </w:rPr>
      </w:pPr>
      <w:r>
        <w:rPr>
          <w:rFonts w:ascii="宋体" w:hAnsi="宋体" w:cs="Arial"/>
          <w:szCs w:val="21"/>
        </w:rPr>
        <w:t>1.基金投资所涉及的证券交易市场遇法定节假日或因其他原因暂停营业时；</w:t>
      </w:r>
    </w:p>
    <w:p>
      <w:pPr>
        <w:spacing w:line="360" w:lineRule="auto"/>
        <w:ind w:firstLine="420" w:firstLineChars="200"/>
        <w:rPr>
          <w:rFonts w:hint="eastAsia" w:ascii="宋体" w:hAnsi="宋体" w:cs="Arial"/>
          <w:szCs w:val="21"/>
        </w:rPr>
      </w:pPr>
      <w:r>
        <w:rPr>
          <w:rFonts w:ascii="宋体" w:hAnsi="宋体" w:cs="Arial"/>
          <w:szCs w:val="21"/>
        </w:rPr>
        <w:t>2.因不可抗力或其他情形致使基金管理人、基金托管人无法准确评估基金资产价值时；</w:t>
      </w:r>
    </w:p>
    <w:p>
      <w:pPr>
        <w:spacing w:line="360" w:lineRule="auto"/>
        <w:ind w:firstLine="420" w:firstLineChars="200"/>
        <w:rPr>
          <w:rFonts w:hint="eastAsia" w:ascii="宋体" w:hAnsi="宋体" w:cs="Arial"/>
          <w:szCs w:val="21"/>
        </w:rPr>
      </w:pPr>
      <w:r>
        <w:rPr>
          <w:rFonts w:ascii="宋体" w:hAnsi="宋体" w:cs="Arial"/>
          <w:szCs w:val="21"/>
        </w:rPr>
        <w:t>3.占相当比例的被投资基金暂停公告收盘价、暂停估值、暂停公告基金份额净值时。</w:t>
      </w:r>
    </w:p>
    <w:p>
      <w:pPr>
        <w:spacing w:line="360" w:lineRule="auto"/>
        <w:ind w:firstLine="420" w:firstLineChars="200"/>
        <w:rPr>
          <w:rFonts w:hint="eastAsia" w:ascii="宋体" w:hAnsi="宋体" w:cs="Arial"/>
          <w:szCs w:val="21"/>
        </w:rPr>
      </w:pPr>
      <w:r>
        <w:rPr>
          <w:rFonts w:ascii="宋体" w:hAnsi="宋体" w:cs="Arial"/>
          <w:szCs w:val="21"/>
        </w:rPr>
        <w:t>4.占基金相当比例的投资品种的估值出现重大转变，而基金管理人为保障投资人的利益，已决定延迟估值；如果出现基金管理人认为属于紧急事故的任何情况，导致基金管理人不能出售或评估基金资产时。</w:t>
      </w:r>
    </w:p>
    <w:p>
      <w:pPr>
        <w:spacing w:line="360" w:lineRule="auto"/>
        <w:ind w:firstLine="420" w:firstLineChars="200"/>
        <w:rPr>
          <w:rFonts w:hint="eastAsia" w:ascii="宋体" w:hAnsi="宋体" w:cs="Arial"/>
          <w:szCs w:val="21"/>
        </w:rPr>
      </w:pPr>
      <w:r>
        <w:rPr>
          <w:rFonts w:ascii="宋体" w:hAnsi="宋体" w:cs="Arial"/>
          <w:szCs w:val="21"/>
        </w:rPr>
        <w:t>5.</w:t>
      </w:r>
      <w:bookmarkStart w:id="98" w:name="_Hlk175757842"/>
      <w:r>
        <w:rPr>
          <w:rFonts w:hint="eastAsia" w:ascii="宋体" w:hAnsi="宋体" w:cs="Arial"/>
          <w:szCs w:val="21"/>
        </w:rPr>
        <w:t>当前一估值日基金资产净值</w:t>
      </w:r>
      <w:r>
        <w:rPr>
          <w:rFonts w:ascii="宋体" w:hAnsi="宋体" w:cs="Arial"/>
          <w:szCs w:val="21"/>
        </w:rPr>
        <w:t xml:space="preserve"> 50%以上的资产出现无可参考的活跃市场价格且采用估值技术</w:t>
      </w:r>
      <w:r>
        <w:rPr>
          <w:rFonts w:hint="eastAsia" w:ascii="宋体" w:hAnsi="宋体" w:cs="Arial"/>
          <w:szCs w:val="21"/>
        </w:rPr>
        <w:t>仍导致公允价值存在重大不确定性时，经与基金托管人协商一致的</w:t>
      </w:r>
      <w:bookmarkEnd w:id="98"/>
      <w:r>
        <w:rPr>
          <w:rFonts w:hint="eastAsia" w:ascii="宋体" w:hAnsi="宋体" w:cs="Arial"/>
          <w:szCs w:val="21"/>
        </w:rPr>
        <w:t>；</w:t>
      </w:r>
    </w:p>
    <w:p>
      <w:pPr>
        <w:spacing w:line="360" w:lineRule="auto"/>
        <w:ind w:firstLine="420" w:firstLineChars="200"/>
        <w:rPr>
          <w:rFonts w:hint="eastAsia" w:ascii="宋体" w:hAnsi="宋体" w:cs="Arial"/>
          <w:szCs w:val="21"/>
        </w:rPr>
      </w:pPr>
      <w:r>
        <w:rPr>
          <w:rFonts w:ascii="宋体" w:hAnsi="宋体" w:cs="Arial"/>
          <w:szCs w:val="21"/>
        </w:rPr>
        <w:t>6.法律法规、中国证监会和《基金合同》认定的其他情形。</w:t>
      </w:r>
    </w:p>
    <w:p>
      <w:pPr>
        <w:spacing w:line="360" w:lineRule="auto"/>
        <w:ind w:firstLine="420" w:firstLineChars="200"/>
        <w:rPr>
          <w:rFonts w:hint="eastAsia" w:ascii="宋体" w:hAnsi="宋体" w:cs="Arial"/>
          <w:szCs w:val="21"/>
        </w:rPr>
      </w:pPr>
      <w:r>
        <w:rPr>
          <w:rFonts w:hint="eastAsia" w:ascii="宋体" w:hAnsi="宋体" w:cs="Arial"/>
          <w:szCs w:val="21"/>
        </w:rPr>
        <w:t>（五）实施侧袋机制期间的基金资产估值</w:t>
      </w:r>
    </w:p>
    <w:p>
      <w:pPr>
        <w:spacing w:line="360" w:lineRule="auto"/>
        <w:ind w:firstLine="420" w:firstLineChars="200"/>
        <w:rPr>
          <w:rFonts w:hint="eastAsia" w:ascii="宋体" w:hAnsi="宋体" w:cs="Arial"/>
          <w:szCs w:val="21"/>
        </w:rPr>
      </w:pPr>
      <w:r>
        <w:rPr>
          <w:rFonts w:hint="eastAsia" w:ascii="宋体" w:hAnsi="宋体" w:cs="Arial"/>
          <w:szCs w:val="21"/>
        </w:rPr>
        <w:t>本基金实施侧袋机制的，应根据本部分的约定对主袋账户资产进行估值并披露主袋账户的基金净值信息，暂停披露侧袋账户份额净值。</w:t>
      </w:r>
    </w:p>
    <w:p>
      <w:pPr>
        <w:spacing w:line="360" w:lineRule="auto"/>
        <w:ind w:firstLine="420" w:firstLineChars="200"/>
        <w:rPr>
          <w:rFonts w:hint="eastAsia" w:ascii="宋体" w:hAnsi="宋体" w:cs="Arial"/>
          <w:szCs w:val="21"/>
        </w:rPr>
      </w:pPr>
      <w:r>
        <w:rPr>
          <w:rFonts w:hint="eastAsia" w:ascii="宋体" w:hAnsi="宋体" w:cs="Arial"/>
          <w:szCs w:val="21"/>
        </w:rPr>
        <w:t>（六）基金会计制度</w:t>
      </w:r>
    </w:p>
    <w:p>
      <w:pPr>
        <w:spacing w:line="360" w:lineRule="auto"/>
        <w:ind w:firstLine="420" w:firstLineChars="200"/>
        <w:rPr>
          <w:rFonts w:hint="eastAsia" w:ascii="宋体" w:hAnsi="宋体" w:cs="Arial"/>
          <w:szCs w:val="21"/>
        </w:rPr>
      </w:pPr>
      <w:r>
        <w:rPr>
          <w:rFonts w:hint="eastAsia" w:ascii="宋体" w:hAnsi="宋体" w:cs="Arial"/>
          <w:szCs w:val="21"/>
        </w:rPr>
        <w:t>按国家有关部门规定的会计制度执行。</w:t>
      </w:r>
    </w:p>
    <w:p>
      <w:pPr>
        <w:spacing w:line="360" w:lineRule="auto"/>
        <w:ind w:firstLine="420" w:firstLineChars="200"/>
        <w:rPr>
          <w:rFonts w:hint="eastAsia" w:ascii="宋体" w:hAnsi="宋体" w:cs="Arial"/>
          <w:szCs w:val="21"/>
        </w:rPr>
      </w:pPr>
      <w:r>
        <w:rPr>
          <w:rFonts w:hint="eastAsia" w:ascii="宋体" w:hAnsi="宋体" w:cs="Arial"/>
          <w:szCs w:val="21"/>
        </w:rPr>
        <w:t>（七）基金账册的建立</w:t>
      </w:r>
    </w:p>
    <w:p>
      <w:pPr>
        <w:spacing w:line="360" w:lineRule="auto"/>
        <w:ind w:firstLine="420" w:firstLineChars="200"/>
        <w:rPr>
          <w:rFonts w:hint="eastAsia" w:ascii="宋体" w:hAnsi="宋体" w:cs="Arial"/>
          <w:szCs w:val="21"/>
        </w:rPr>
      </w:pPr>
      <w:r>
        <w:rPr>
          <w:rFonts w:hint="eastAsia" w:ascii="宋体" w:hAnsi="宋体" w:cs="Arial"/>
          <w:szCs w:val="21"/>
        </w:rPr>
        <w:t>基金管理人进行基金会计核算并编制基金财务会计报告。基金管理人、基金托管人各自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pPr>
        <w:spacing w:line="360" w:lineRule="auto"/>
        <w:ind w:firstLine="420" w:firstLineChars="200"/>
        <w:rPr>
          <w:rFonts w:hint="eastAsia" w:ascii="宋体" w:hAnsi="宋体" w:cs="Arial"/>
          <w:szCs w:val="21"/>
        </w:rPr>
      </w:pPr>
      <w:r>
        <w:rPr>
          <w:rFonts w:hint="eastAsia" w:ascii="宋体" w:hAnsi="宋体" w:cs="Arial"/>
          <w:szCs w:val="21"/>
        </w:rPr>
        <w:t>（八）基金财务报表与报告的编制和复核</w:t>
      </w:r>
    </w:p>
    <w:p>
      <w:pPr>
        <w:spacing w:line="360" w:lineRule="auto"/>
        <w:ind w:firstLine="420" w:firstLineChars="200"/>
        <w:rPr>
          <w:rFonts w:hint="eastAsia" w:ascii="宋体" w:hAnsi="宋体" w:cs="Arial"/>
          <w:szCs w:val="21"/>
        </w:rPr>
      </w:pPr>
      <w:r>
        <w:rPr>
          <w:rFonts w:ascii="宋体" w:hAnsi="宋体" w:cs="Arial"/>
          <w:szCs w:val="21"/>
        </w:rPr>
        <w:t>1.财务报表与报告的编制</w:t>
      </w:r>
    </w:p>
    <w:p>
      <w:pPr>
        <w:spacing w:line="360" w:lineRule="auto"/>
        <w:ind w:firstLine="420" w:firstLineChars="200"/>
        <w:rPr>
          <w:rFonts w:hint="eastAsia" w:ascii="宋体" w:hAnsi="宋体" w:cs="Arial"/>
          <w:szCs w:val="21"/>
        </w:rPr>
      </w:pPr>
      <w:r>
        <w:rPr>
          <w:rFonts w:hint="eastAsia" w:ascii="宋体" w:hAnsi="宋体" w:cs="Arial"/>
          <w:szCs w:val="21"/>
        </w:rPr>
        <w:t>基金财务报表与报告由基金管理人编制，基金托管人复核。</w:t>
      </w:r>
    </w:p>
    <w:p>
      <w:pPr>
        <w:spacing w:line="360" w:lineRule="auto"/>
        <w:ind w:firstLine="420" w:firstLineChars="200"/>
        <w:rPr>
          <w:rFonts w:hint="eastAsia" w:ascii="宋体" w:hAnsi="宋体" w:cs="Arial"/>
          <w:szCs w:val="21"/>
        </w:rPr>
      </w:pPr>
      <w:r>
        <w:rPr>
          <w:rFonts w:ascii="宋体" w:hAnsi="宋体" w:cs="Arial"/>
          <w:szCs w:val="21"/>
        </w:rPr>
        <w:t>2.报表与报告的复核</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基金托管人在收到基金管理人编制的基金财务报表与报告后，进行独立的复核。核对不符时，应及时通知基金管理人共同查出原因，进行调整，直至双方数据完全一致。</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3.财务报表与报告的编制与复核时间安排</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(1)报表与报告的编制</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基金管理人应当在每月结束后</w:t>
      </w:r>
      <w:r>
        <w:rPr>
          <w:rFonts w:ascii="宋体" w:hAnsi="宋体" w:cs="Arial"/>
          <w:szCs w:val="21"/>
        </w:rPr>
        <w:t>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pPr>
        <w:pStyle w:val="4"/>
        <w:adjustRightInd w:val="0"/>
        <w:snapToGrid w:val="0"/>
        <w:spacing w:line="360" w:lineRule="auto"/>
        <w:rPr>
          <w:rFonts w:hint="eastAsia" w:ascii="宋体" w:hAnsi="宋体" w:cs="Arial"/>
          <w:szCs w:val="21"/>
        </w:rPr>
      </w:pPr>
      <w:r>
        <w:rPr>
          <w:rFonts w:ascii="宋体" w:hAnsi="宋体" w:cs="Arial"/>
          <w:szCs w:val="21"/>
        </w:rPr>
        <w:t>(2)报表与报告的复核</w:t>
      </w:r>
    </w:p>
    <w:p>
      <w:pPr>
        <w:pStyle w:val="4"/>
        <w:adjustRightInd w:val="0"/>
        <w:snapToGrid w:val="0"/>
        <w:spacing w:line="360" w:lineRule="auto"/>
        <w:rPr>
          <w:rFonts w:hint="eastAsia" w:ascii="宋体" w:hAnsi="宋体" w:cs="Arial"/>
          <w:szCs w:val="21"/>
        </w:rPr>
      </w:pPr>
      <w:r>
        <w:rPr>
          <w:rFonts w:hint="eastAsia" w:ascii="宋体" w:hAnsi="宋体" w:cs="Arial"/>
          <w:szCs w:val="21"/>
        </w:rPr>
        <w:t>基金管理人应及时完成报表与报告的编制，将有关报表与报告提供基金托管人复核；基金托管人在复核过程中，发现双方的报表或报告存在不符时，基金管理人和基金托管人应共同查明原因，进行调整，调整以国家有关规定为准。</w:t>
      </w:r>
    </w:p>
    <w:p>
      <w:pPr>
        <w:pStyle w:val="4"/>
        <w:adjustRightInd w:val="0"/>
        <w:snapToGrid w:val="0"/>
        <w:spacing w:line="360" w:lineRule="auto"/>
        <w:rPr>
          <w:rFonts w:hint="eastAsia" w:ascii="宋体" w:hAnsi="宋体" w:cs="Arial"/>
          <w:szCs w:val="21"/>
        </w:rPr>
      </w:pPr>
      <w:r>
        <w:rPr>
          <w:rFonts w:hint="eastAsia" w:ascii="宋体" w:hAnsi="宋体" w:cs="Arial"/>
          <w:szCs w:val="21"/>
        </w:rPr>
        <w:t>基金管理人应留足充分的时间，便于基金托管人复核相关报表及报告。如果基金管理人与基金托管人不能于应当发布公告之日之前就相关报表或报告达成一致，基金管理人按照其编制的报表或报告对外发布公告，基金托管人有权就相关情况报中国证监会备案。</w:t>
      </w:r>
    </w:p>
    <w:p>
      <w:pPr>
        <w:pStyle w:val="4"/>
        <w:adjustRightInd w:val="0"/>
        <w:snapToGrid w:val="0"/>
        <w:spacing w:line="360" w:lineRule="auto"/>
        <w:rPr>
          <w:rFonts w:hint="eastAsia" w:ascii="宋体" w:hAnsi="宋体" w:cs="Arial"/>
          <w:szCs w:val="21"/>
        </w:rPr>
      </w:pPr>
      <w:r>
        <w:rPr>
          <w:rFonts w:hint="eastAsia" w:ascii="宋体" w:hAnsi="宋体" w:cs="Arial"/>
          <w:szCs w:val="21"/>
        </w:rPr>
        <w:t>（八）基金管理人应在编制季度报告、中期报告或者年度报告之前及时向基金托管人提供基金业绩比较基准的基础数据和编制结果。</w:t>
      </w:r>
    </w:p>
    <w:p>
      <w:pPr>
        <w:pStyle w:val="4"/>
        <w:adjustRightInd w:val="0"/>
        <w:snapToGrid w:val="0"/>
        <w:spacing w:line="360" w:lineRule="auto"/>
        <w:ind w:firstLine="0" w:firstLineChars="0"/>
        <w:rPr>
          <w:rFonts w:hint="eastAsia" w:ascii="宋体" w:hAnsi="宋体" w:cs="Arial"/>
          <w:szCs w:val="21"/>
        </w:rPr>
      </w:pPr>
    </w:p>
    <w:p>
      <w:pPr>
        <w:pStyle w:val="3"/>
        <w:spacing w:line="360" w:lineRule="auto"/>
        <w:jc w:val="center"/>
        <w:rPr>
          <w:rFonts w:hint="eastAsia" w:ascii="宋体" w:hAnsi="宋体" w:eastAsia="宋体"/>
          <w:sz w:val="21"/>
          <w:szCs w:val="21"/>
        </w:rPr>
      </w:pPr>
      <w:bookmarkStart w:id="99" w:name="_Toc233054443"/>
      <w:bookmarkStart w:id="100" w:name="_Toc124325893"/>
      <w:r>
        <w:rPr>
          <w:rFonts w:hint="eastAsia" w:ascii="宋体" w:hAnsi="宋体" w:eastAsia="宋体"/>
          <w:sz w:val="21"/>
          <w:szCs w:val="21"/>
        </w:rPr>
        <w:t>九、基金收益分配</w:t>
      </w:r>
      <w:bookmarkEnd w:id="99"/>
      <w:bookmarkEnd w:id="100"/>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基金收益分配是指按规定将基金的可分配收益按基金份额进行比例分配。</w:t>
      </w:r>
    </w:p>
    <w:p>
      <w:pPr>
        <w:spacing w:line="360" w:lineRule="auto"/>
        <w:ind w:firstLine="420" w:firstLineChars="200"/>
        <w:rPr>
          <w:rFonts w:hint="eastAsia" w:ascii="宋体" w:hAnsi="宋体" w:cs="Arial"/>
          <w:szCs w:val="21"/>
        </w:rPr>
      </w:pPr>
      <w:r>
        <w:rPr>
          <w:rFonts w:hint="eastAsia" w:ascii="宋体" w:hAnsi="宋体" w:cs="Arial"/>
          <w:szCs w:val="21"/>
        </w:rPr>
        <w:t>（一）基金收益分配的原则</w:t>
      </w:r>
    </w:p>
    <w:p>
      <w:pPr>
        <w:spacing w:line="360" w:lineRule="auto"/>
        <w:ind w:firstLine="420" w:firstLineChars="200"/>
        <w:rPr>
          <w:rFonts w:hint="eastAsia" w:ascii="宋体" w:hAnsi="宋体" w:cs="Arial"/>
          <w:szCs w:val="21"/>
        </w:rPr>
      </w:pPr>
      <w:r>
        <w:rPr>
          <w:rFonts w:ascii="宋体" w:hAnsi="宋体" w:cs="Arial"/>
          <w:szCs w:val="21"/>
        </w:rPr>
        <w:t>1、本基金收益分配方式分两种：现金分红与红利再投资，投资者可选择现金红利或将现</w:t>
      </w:r>
      <w:r>
        <w:rPr>
          <w:rFonts w:hint="eastAsia" w:ascii="宋体" w:hAnsi="宋体" w:cs="Arial"/>
          <w:szCs w:val="21"/>
        </w:rPr>
        <w:t>金红利自动转为相应类别的基金份额进行再投资；若投资者不选择，本基金默认的收益分配方式是现金分红；</w:t>
      </w:r>
    </w:p>
    <w:p>
      <w:pPr>
        <w:spacing w:line="360" w:lineRule="auto"/>
        <w:ind w:firstLine="420" w:firstLineChars="200"/>
        <w:rPr>
          <w:rFonts w:hint="eastAsia" w:ascii="宋体" w:hAnsi="宋体" w:cs="Arial"/>
          <w:szCs w:val="21"/>
        </w:rPr>
      </w:pPr>
      <w:r>
        <w:rPr>
          <w:rFonts w:ascii="宋体" w:hAnsi="宋体" w:cs="Arial"/>
          <w:szCs w:val="21"/>
        </w:rPr>
        <w:t>2、当基金累计报酬率超过同期标的指数累计报酬率时或者基金可供分配利润金额大于0时，基金管理人可进行收益分配。若《基金合同》生效不满3个月可不进行收益分配；</w:t>
      </w:r>
    </w:p>
    <w:p>
      <w:pPr>
        <w:spacing w:line="360" w:lineRule="auto"/>
        <w:ind w:firstLine="420" w:firstLineChars="200"/>
        <w:rPr>
          <w:rFonts w:hint="eastAsia" w:ascii="宋体" w:hAnsi="宋体" w:cs="Arial"/>
          <w:szCs w:val="21"/>
        </w:rPr>
      </w:pPr>
      <w:r>
        <w:rPr>
          <w:rFonts w:ascii="宋体" w:hAnsi="宋体" w:cs="Arial"/>
          <w:szCs w:val="21"/>
        </w:rPr>
        <w:t>3、由于基金费用的不同，不同类别的基金份额在收益分配数额方面可能有所不同，基金管理人可对各类别基金份额分别制定收益分配方案，同一类别的每一基金份额享有同等分配权；</w:t>
      </w:r>
    </w:p>
    <w:p>
      <w:pPr>
        <w:spacing w:line="360" w:lineRule="auto"/>
        <w:rPr>
          <w:rFonts w:hint="eastAsia" w:ascii="宋体" w:hAnsi="宋体" w:cs="Arial"/>
          <w:szCs w:val="21"/>
        </w:rPr>
      </w:pPr>
      <w:r>
        <w:rPr>
          <w:rFonts w:ascii="宋体" w:hAnsi="宋体" w:cs="Arial"/>
          <w:szCs w:val="21"/>
        </w:rPr>
        <w:t>4、在符合基金收益分配条件的情况下，基金管理人可以根据实际情况进行收益分配，具体分配方案以公告为准。当基金收益分配根据基金相对标的指数的超额收益率决定时，基于本基金的性质和特点，本基金收益分配不须以弥补浮动亏损为前提，收益分配后有可能使基金份额净值低于面值；当基金收益分配根据基金可供分配利润金额决定时，本基金收益分配后各类基金份额净值不能低于面值，即基金收益分配基准日的各类基金份额净值减去每单位该类基金份额收益分配金额后不能低于面值；</w:t>
      </w:r>
    </w:p>
    <w:p>
      <w:pPr>
        <w:spacing w:line="360" w:lineRule="auto"/>
        <w:ind w:firstLine="420" w:firstLineChars="200"/>
        <w:rPr>
          <w:rFonts w:hint="eastAsia" w:ascii="宋体" w:hAnsi="宋体" w:cs="Arial"/>
          <w:szCs w:val="21"/>
        </w:rPr>
      </w:pPr>
      <w:r>
        <w:rPr>
          <w:rFonts w:ascii="宋体" w:hAnsi="宋体" w:cs="Arial"/>
          <w:szCs w:val="21"/>
        </w:rPr>
        <w:t>5.法律法规或监管机构另有规定的，从其规定。</w:t>
      </w:r>
    </w:p>
    <w:p>
      <w:pPr>
        <w:spacing w:line="360" w:lineRule="auto"/>
        <w:ind w:firstLine="420" w:firstLineChars="200"/>
        <w:rPr>
          <w:rFonts w:hint="eastAsia" w:ascii="宋体" w:hAnsi="宋体" w:cs="Arial"/>
          <w:szCs w:val="21"/>
        </w:rPr>
      </w:pPr>
      <w:r>
        <w:rPr>
          <w:rFonts w:hint="eastAsia" w:ascii="宋体" w:hAnsi="宋体" w:cs="Arial"/>
          <w:szCs w:val="21"/>
        </w:rPr>
        <w:t>在不违反法律法规且对现有基金份额持有人利益无实质性不利影响的情况下，基金管理人和基金托管人协商一致并按照监管部门要求履行适当程序后可对基金收益分配原则进行调整，并应于变更实施日前在规定媒介公告。</w:t>
      </w:r>
    </w:p>
    <w:p>
      <w:pPr>
        <w:spacing w:line="360" w:lineRule="auto"/>
        <w:ind w:firstLine="420" w:firstLineChars="200"/>
        <w:rPr>
          <w:rFonts w:hint="eastAsia" w:ascii="宋体" w:hAnsi="宋体" w:cs="Arial"/>
          <w:szCs w:val="21"/>
        </w:rPr>
      </w:pPr>
      <w:r>
        <w:rPr>
          <w:rFonts w:hint="eastAsia" w:ascii="宋体" w:hAnsi="宋体" w:cs="Arial"/>
          <w:szCs w:val="21"/>
        </w:rPr>
        <w:t>（二）基金收益分配的时间和程序</w:t>
      </w:r>
    </w:p>
    <w:p>
      <w:pPr>
        <w:spacing w:line="360" w:lineRule="auto"/>
        <w:ind w:firstLine="420" w:firstLineChars="200"/>
        <w:rPr>
          <w:rFonts w:hint="eastAsia" w:ascii="宋体" w:hAnsi="宋体" w:cs="Arial"/>
          <w:szCs w:val="21"/>
        </w:rPr>
      </w:pPr>
      <w:r>
        <w:rPr>
          <w:rFonts w:hint="eastAsia" w:ascii="宋体" w:hAnsi="宋体" w:cs="Arial"/>
          <w:szCs w:val="21"/>
        </w:rPr>
        <w:t>本基金收益分配方案由基金管理人拟订，并由基金托管人复核，并依照《信息披露办法》的有关规定在规定媒介公告。基金收益分配方案公告后</w:t>
      </w:r>
      <w:r>
        <w:rPr>
          <w:rFonts w:ascii="宋体" w:hAnsi="宋体" w:cs="Arial"/>
          <w:szCs w:val="21"/>
        </w:rPr>
        <w:t>(依据具体方案的规定)，基金管理人就支付的现金红利向基金托管人发送划款指令，基金托管人按照基金管理人的指令及时进行分红资金的划付。</w:t>
      </w:r>
    </w:p>
    <w:p>
      <w:pPr>
        <w:spacing w:line="360" w:lineRule="auto"/>
        <w:ind w:firstLine="420" w:firstLineChars="200"/>
        <w:rPr>
          <w:rFonts w:hint="eastAsia" w:ascii="宋体" w:hAnsi="宋体" w:cs="Arial"/>
          <w:szCs w:val="21"/>
        </w:rPr>
      </w:pPr>
      <w:r>
        <w:rPr>
          <w:rFonts w:hint="eastAsia" w:ascii="宋体" w:hAnsi="宋体" w:cs="Arial"/>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pPr>
        <w:spacing w:line="360" w:lineRule="auto"/>
        <w:ind w:firstLine="420" w:firstLineChars="200"/>
        <w:rPr>
          <w:rFonts w:hint="eastAsia" w:ascii="宋体" w:hAnsi="宋体"/>
          <w:szCs w:val="21"/>
        </w:rPr>
      </w:pPr>
      <w:r>
        <w:rPr>
          <w:rFonts w:hint="eastAsia" w:ascii="宋体" w:hAnsi="宋体"/>
          <w:szCs w:val="21"/>
        </w:rPr>
        <w:t>（三）实施侧袋机制期间的收益分配</w:t>
      </w:r>
    </w:p>
    <w:p>
      <w:pPr>
        <w:spacing w:line="360" w:lineRule="auto"/>
        <w:ind w:firstLine="420" w:firstLineChars="200"/>
        <w:rPr>
          <w:rFonts w:hint="eastAsia" w:ascii="宋体" w:hAnsi="宋体"/>
          <w:szCs w:val="21"/>
        </w:rPr>
      </w:pPr>
      <w:r>
        <w:rPr>
          <w:rFonts w:hint="eastAsia" w:ascii="宋体" w:hAnsi="宋体"/>
          <w:szCs w:val="21"/>
        </w:rPr>
        <w:t>本基金实施侧袋机制的，侧袋账户不进行收益分配，详见招募说明书的规定。</w:t>
      </w:r>
    </w:p>
    <w:p>
      <w:pPr>
        <w:adjustRightInd w:val="0"/>
        <w:snapToGrid w:val="0"/>
        <w:spacing w:line="360" w:lineRule="auto"/>
        <w:rPr>
          <w:rFonts w:hint="eastAsia" w:ascii="宋体" w:hAnsi="宋体" w:cs="Arial"/>
          <w:szCs w:val="21"/>
        </w:rPr>
      </w:pPr>
    </w:p>
    <w:p>
      <w:pPr>
        <w:pStyle w:val="3"/>
        <w:spacing w:line="360" w:lineRule="auto"/>
        <w:jc w:val="center"/>
        <w:rPr>
          <w:rFonts w:hint="eastAsia" w:ascii="宋体" w:hAnsi="宋体" w:eastAsia="宋体"/>
          <w:sz w:val="21"/>
          <w:szCs w:val="21"/>
        </w:rPr>
      </w:pPr>
      <w:bookmarkStart w:id="101" w:name="_Toc124325894"/>
      <w:bookmarkStart w:id="102" w:name="_Toc233054444"/>
      <w:r>
        <w:rPr>
          <w:rFonts w:hint="eastAsia" w:ascii="宋体" w:hAnsi="宋体" w:eastAsia="宋体"/>
          <w:sz w:val="21"/>
          <w:szCs w:val="21"/>
        </w:rPr>
        <w:t>十、基金信息披露</w:t>
      </w:r>
      <w:bookmarkEnd w:id="101"/>
      <w:bookmarkEnd w:id="102"/>
    </w:p>
    <w:p>
      <w:pPr>
        <w:spacing w:line="360" w:lineRule="auto"/>
        <w:ind w:firstLine="420" w:firstLineChars="200"/>
        <w:rPr>
          <w:rFonts w:hint="eastAsia" w:ascii="宋体" w:hAnsi="宋体" w:cs="Arial"/>
          <w:szCs w:val="21"/>
        </w:rPr>
      </w:pPr>
      <w:r>
        <w:rPr>
          <w:rFonts w:hint="eastAsia" w:ascii="宋体" w:hAnsi="宋体" w:cs="Arial"/>
          <w:szCs w:val="21"/>
        </w:rPr>
        <w:t>（一）保密义务</w:t>
      </w:r>
    </w:p>
    <w:p>
      <w:pPr>
        <w:spacing w:line="360" w:lineRule="auto"/>
        <w:ind w:firstLine="420" w:firstLineChars="200"/>
        <w:rPr>
          <w:rFonts w:hint="eastAsia" w:ascii="宋体" w:hAnsi="宋体" w:cs="Arial"/>
          <w:szCs w:val="21"/>
        </w:rPr>
      </w:pPr>
      <w:r>
        <w:rPr>
          <w:rFonts w:hint="eastAsia" w:ascii="宋体" w:hAnsi="宋体" w:cs="Arial"/>
          <w:szCs w:val="21"/>
        </w:rPr>
        <w:t>基金托管人和基金管理人应按法律法规、《基金合同》的有关规定进行信息披露，拟公开披露的信息在公开披露之前应予保密。除按《基金法》、《运作办法》、《流动性风险管理规定》、《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spacing w:line="360" w:lineRule="auto"/>
        <w:ind w:firstLine="420" w:firstLineChars="200"/>
        <w:rPr>
          <w:rFonts w:hint="eastAsia" w:ascii="宋体" w:hAnsi="宋体" w:cs="Arial"/>
          <w:szCs w:val="21"/>
        </w:rPr>
      </w:pPr>
      <w:r>
        <w:rPr>
          <w:rFonts w:ascii="宋体" w:hAnsi="宋体" w:cs="Arial"/>
          <w:szCs w:val="21"/>
        </w:rPr>
        <w:t>1.非因基金管理人和基金托管人的原因导致保密信息被披露、泄露或公开；</w:t>
      </w:r>
    </w:p>
    <w:p>
      <w:pPr>
        <w:spacing w:line="360" w:lineRule="auto"/>
        <w:ind w:firstLine="420" w:firstLineChars="200"/>
        <w:rPr>
          <w:rFonts w:hint="eastAsia" w:ascii="宋体" w:hAnsi="宋体" w:cs="Arial"/>
          <w:szCs w:val="21"/>
        </w:rPr>
      </w:pPr>
      <w:r>
        <w:rPr>
          <w:rFonts w:ascii="宋体" w:hAnsi="宋体" w:cs="Arial"/>
          <w:szCs w:val="21"/>
        </w:rPr>
        <w:t>2.基金管理人和基金托管人为遵守和服从法院判决或裁定、仲裁裁决或中国证监会等监管机构的命令、决定所做出的信息披露或公开；</w:t>
      </w:r>
    </w:p>
    <w:p>
      <w:pPr>
        <w:spacing w:line="360" w:lineRule="auto"/>
        <w:ind w:firstLine="420" w:firstLineChars="200"/>
        <w:rPr>
          <w:rFonts w:hint="eastAsia" w:ascii="宋体" w:hAnsi="宋体" w:cs="Arial"/>
          <w:szCs w:val="21"/>
        </w:rPr>
      </w:pPr>
      <w:r>
        <w:rPr>
          <w:rFonts w:ascii="宋体" w:hAnsi="宋体" w:cs="Arial"/>
          <w:szCs w:val="21"/>
        </w:rPr>
        <w:t>3.</w:t>
      </w:r>
      <w:r>
        <w:rPr>
          <w:rFonts w:hint="eastAsia" w:ascii="宋体" w:hAnsi="宋体" w:cs="Arial"/>
          <w:szCs w:val="21"/>
        </w:rPr>
        <w:t>因审计、法律等专业服务向外部专业顾问提供信息。</w:t>
      </w:r>
    </w:p>
    <w:p>
      <w:pPr>
        <w:spacing w:line="360" w:lineRule="auto"/>
        <w:ind w:firstLine="420" w:firstLineChars="200"/>
        <w:rPr>
          <w:rFonts w:hint="eastAsia" w:ascii="宋体" w:hAnsi="宋体" w:cs="Arial"/>
          <w:szCs w:val="21"/>
        </w:rPr>
      </w:pPr>
      <w:r>
        <w:rPr>
          <w:rFonts w:hint="eastAsia" w:ascii="宋体" w:hAnsi="宋体" w:cs="Arial"/>
          <w:szCs w:val="21"/>
        </w:rPr>
        <w:t>（二）信息披露的内容</w:t>
      </w:r>
    </w:p>
    <w:p>
      <w:pPr>
        <w:spacing w:line="360" w:lineRule="auto"/>
        <w:ind w:firstLine="420" w:firstLineChars="200"/>
        <w:rPr>
          <w:rFonts w:hint="eastAsia" w:ascii="宋体" w:hAnsi="宋体" w:cs="Arial"/>
          <w:szCs w:val="21"/>
        </w:rPr>
      </w:pPr>
      <w:r>
        <w:rPr>
          <w:rFonts w:hint="eastAsia" w:ascii="宋体" w:hAnsi="宋体" w:cs="Arial"/>
          <w:szCs w:val="21"/>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投资资产支持证券的相关公告、投资流通受限证券的相关公告、投资于其他基金的相关公告、清算报告、实施侧袋机制期间的信息披露、中国证监会规定的其他信息。基金年度报告中的财务会计报告需经符合《证券法》规定的会计师事务所审计后，方可披露。</w:t>
      </w:r>
    </w:p>
    <w:p>
      <w:pPr>
        <w:spacing w:line="360" w:lineRule="auto"/>
        <w:ind w:firstLine="420" w:firstLineChars="200"/>
        <w:rPr>
          <w:rFonts w:hint="eastAsia" w:ascii="宋体" w:hAnsi="宋体" w:cs="Arial"/>
          <w:szCs w:val="21"/>
        </w:rPr>
      </w:pPr>
      <w:r>
        <w:rPr>
          <w:rFonts w:hint="eastAsia" w:ascii="宋体" w:hAnsi="宋体" w:cs="Arial"/>
          <w:szCs w:val="21"/>
        </w:rPr>
        <w:t>（三）基金托管人和基金管理人在信息披露中的职责和信息披露程序</w:t>
      </w:r>
    </w:p>
    <w:p>
      <w:pPr>
        <w:spacing w:line="360" w:lineRule="auto"/>
        <w:ind w:firstLine="420" w:firstLineChars="200"/>
        <w:rPr>
          <w:rFonts w:hint="eastAsia" w:ascii="宋体" w:hAnsi="宋体" w:cs="Arial"/>
          <w:szCs w:val="21"/>
        </w:rPr>
      </w:pPr>
      <w:r>
        <w:rPr>
          <w:rFonts w:ascii="宋体" w:hAnsi="宋体" w:cs="Arial"/>
          <w:szCs w:val="21"/>
        </w:rPr>
        <w:t>1.职责</w:t>
      </w:r>
    </w:p>
    <w:p>
      <w:pPr>
        <w:spacing w:line="360" w:lineRule="auto"/>
        <w:ind w:firstLine="420" w:firstLineChars="200"/>
        <w:rPr>
          <w:rFonts w:hint="eastAsia" w:ascii="宋体" w:hAnsi="宋体" w:cs="Arial"/>
          <w:szCs w:val="21"/>
        </w:rPr>
      </w:pPr>
      <w:r>
        <w:rPr>
          <w:rFonts w:hint="eastAsia" w:ascii="宋体" w:hAnsi="宋体" w:cs="Arial"/>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pPr>
        <w:spacing w:line="360" w:lineRule="auto"/>
        <w:ind w:firstLine="420" w:firstLineChars="200"/>
        <w:rPr>
          <w:rFonts w:hint="eastAsia" w:ascii="宋体" w:hAnsi="宋体" w:cs="Arial"/>
          <w:szCs w:val="21"/>
        </w:rPr>
      </w:pPr>
      <w:r>
        <w:rPr>
          <w:rFonts w:hint="eastAsia" w:ascii="宋体" w:hAnsi="宋体" w:cs="Arial"/>
          <w:szCs w:val="21"/>
        </w:rPr>
        <w:t>基金管理人在信息披露时，应说明基金托管人所复核的数据和信息。对于托管人复核结果与管理人无法达成一致的，管理人应按照有关法律法规进行信息披露。</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对于不需要基金托管人复核的信息，基金管理人在公告前应告知基金托管人。</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基金管理人和基金托管人应积极配合、互相监督，保证其履行按照法定方式和限时披露的义务。</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基金管理人应当在中国证监会规定的时间内，将应予披露的基金信息通过规定媒介披露。根据法律法规应由基金托管人公开披露的信息，基金托管人将通过规定媒介公开披露。</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当出现下述情况时，基金管理人和基金托管人可暂停或延迟披露基金相关信息：</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(1)不可抗力；</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(2)基金投资所涉及的证券交易市场遇法定节假日或因其他原因暂停营业时；</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(3)发生暂停估值的情形；</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(4)法律法规、《基金合同》或中国证监会规定的情况。</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2.程序</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按有关规定须经基金托管人复核的信息披露文件，由基金管理人起草、并经基金托管人复核后由基金管理人公告。发生《基金合同》中规定需要披露的事项时，按《基金合同》规定公布。</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3.信息文本的存放</w:t>
      </w:r>
    </w:p>
    <w:p>
      <w:pPr>
        <w:pStyle w:val="4"/>
        <w:spacing w:line="360" w:lineRule="auto"/>
        <w:rPr>
          <w:rFonts w:hint="eastAsia" w:ascii="宋体" w:hAnsi="宋体" w:cs="Arial"/>
          <w:szCs w:val="21"/>
        </w:rPr>
      </w:pPr>
      <w:r>
        <w:rPr>
          <w:rFonts w:hint="eastAsia" w:ascii="宋体" w:hAnsi="宋体" w:cs="Arial"/>
          <w:szCs w:val="21"/>
        </w:rPr>
        <w:t>依法必须披露的信息发布后，基金管理人、基金托管人应当按照相关法律法规规定将信息置备于公司住所，供社会公众查阅、复制。</w:t>
      </w:r>
    </w:p>
    <w:p>
      <w:pPr>
        <w:adjustRightInd w:val="0"/>
        <w:snapToGrid w:val="0"/>
        <w:spacing w:line="360" w:lineRule="auto"/>
        <w:ind w:firstLine="420" w:firstLineChars="200"/>
        <w:rPr>
          <w:rFonts w:hint="eastAsia" w:ascii="宋体" w:hAnsi="宋体" w:cs="Arial"/>
          <w:iCs/>
          <w:szCs w:val="21"/>
        </w:rPr>
      </w:pPr>
      <w:r>
        <w:rPr>
          <w:rFonts w:hint="eastAsia" w:ascii="宋体" w:hAnsi="宋体" w:cs="Arial"/>
          <w:iCs/>
          <w:szCs w:val="21"/>
        </w:rPr>
        <w:t>（四）实施侧袋机制期间的信息披露</w:t>
      </w:r>
    </w:p>
    <w:p>
      <w:pPr>
        <w:adjustRightInd w:val="0"/>
        <w:snapToGrid w:val="0"/>
        <w:spacing w:line="360" w:lineRule="auto"/>
        <w:ind w:firstLine="420" w:firstLineChars="200"/>
        <w:rPr>
          <w:rFonts w:hint="eastAsia" w:ascii="宋体" w:hAnsi="宋体" w:cs="Arial"/>
          <w:i/>
          <w:szCs w:val="21"/>
        </w:rPr>
      </w:pPr>
      <w:r>
        <w:rPr>
          <w:rFonts w:hint="eastAsia" w:ascii="宋体" w:hAnsi="宋体" w:cs="Arial"/>
          <w:iCs/>
          <w:szCs w:val="21"/>
        </w:rPr>
        <w:t>本基金实施侧袋机制的，相关信息披露义务人应当根据法律法规、基金合同和招募说明书的规定进行信息披露，详见招募说明书的规定。</w:t>
      </w:r>
    </w:p>
    <w:p>
      <w:pPr>
        <w:pStyle w:val="4"/>
        <w:spacing w:line="360" w:lineRule="auto"/>
        <w:rPr>
          <w:rFonts w:hint="eastAsia" w:ascii="宋体" w:hAnsi="宋体" w:cs="Arial"/>
          <w:szCs w:val="21"/>
        </w:rPr>
      </w:pPr>
      <w:r>
        <w:rPr>
          <w:rFonts w:hint="eastAsia" w:ascii="宋体" w:hAnsi="宋体" w:cs="Arial"/>
          <w:szCs w:val="21"/>
        </w:rPr>
        <w:t>（五）法律法规或监管部门对适用于本基金的信息披露另有规定的，从其规定。如规定发生变化的，从其最新规定。</w:t>
      </w:r>
    </w:p>
    <w:p>
      <w:pPr>
        <w:pStyle w:val="4"/>
        <w:spacing w:line="360" w:lineRule="auto"/>
        <w:ind w:firstLine="0" w:firstLineChars="0"/>
        <w:rPr>
          <w:rFonts w:hint="eastAsia" w:ascii="宋体" w:hAnsi="宋体" w:cs="Arial"/>
          <w:szCs w:val="21"/>
        </w:rPr>
      </w:pPr>
    </w:p>
    <w:p>
      <w:pPr>
        <w:pStyle w:val="3"/>
        <w:spacing w:line="360" w:lineRule="auto"/>
        <w:jc w:val="center"/>
        <w:rPr>
          <w:rFonts w:hint="eastAsia" w:ascii="宋体" w:hAnsi="宋体" w:eastAsia="宋体"/>
          <w:sz w:val="21"/>
          <w:szCs w:val="21"/>
        </w:rPr>
      </w:pPr>
      <w:bookmarkStart w:id="103" w:name="_Toc233054445"/>
      <w:bookmarkStart w:id="104" w:name="_Toc124325895"/>
      <w:r>
        <w:rPr>
          <w:rFonts w:hint="eastAsia" w:ascii="宋体" w:hAnsi="宋体" w:eastAsia="宋体"/>
          <w:sz w:val="21"/>
          <w:szCs w:val="21"/>
        </w:rPr>
        <w:t>十一、基金费用</w:t>
      </w:r>
      <w:bookmarkEnd w:id="103"/>
      <w:bookmarkEnd w:id="104"/>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（一）基金管理费的计提比例和计提方法</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本基金的管理费按前一日基金资产净值扣除基金资产中本基金管理人管理的基金份额所对应资产净值后剩余部分（若为负数，则取</w:t>
      </w:r>
      <w:r>
        <w:rPr>
          <w:rFonts w:ascii="宋体" w:hAnsi="宋体" w:cs="Arial"/>
          <w:szCs w:val="21"/>
        </w:rPr>
        <w:t>0）的0.50%年费率计提。基金管理人不得对本基金财产中持有的自身管理的基金部分收取管理费。管理费的计算方法如下：</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H＝E×0.50%</w:t>
      </w:r>
      <w:r>
        <w:rPr>
          <w:rFonts w:hint="eastAsia" w:ascii="宋体" w:hAnsi="宋体" w:cs="Arial"/>
          <w:szCs w:val="21"/>
        </w:rPr>
        <w:t>÷当年天数</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H为每日应计提的基金管理费</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E为前一日的基金资产净值扣除基金资产中本基金管理人管理的基金份额所对应资产净值后剩余部分，若为负数，则E取0。</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（二）基金托管费的计提比例和计提方法</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本基金的托管费按前一日基金资产净值扣除基金资产中本基金托管人托管的基金份额所对应资产净值后剩余部分（若为负数，则取</w:t>
      </w:r>
      <w:r>
        <w:rPr>
          <w:rFonts w:ascii="宋体" w:hAnsi="宋体" w:cs="Arial"/>
          <w:szCs w:val="21"/>
        </w:rPr>
        <w:t>0）的0.10%年费率计提。基金托管人不得对本基</w:t>
      </w:r>
      <w:r>
        <w:rPr>
          <w:rFonts w:hint="eastAsia" w:ascii="宋体" w:hAnsi="宋体" w:cs="Arial"/>
          <w:szCs w:val="21"/>
        </w:rPr>
        <w:t>金财产中持有的自身托管的基金部分收取托管费。托管费的计算方法如下：</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H＝E×0.10%</w:t>
      </w:r>
      <w:r>
        <w:rPr>
          <w:rFonts w:hint="eastAsia" w:ascii="宋体" w:hAnsi="宋体" w:cs="Arial"/>
          <w:szCs w:val="21"/>
        </w:rPr>
        <w:t>÷当年天数</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H为每日应计提的基金托管费</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E为前一日的基金资产净值扣除基金资产中本基金托管人托管的基金份额所对应资产净值后剩余部分，若为负数，则E取0。</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（三）销售服务费的计提比例和计提方法</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销售服务费可用于本基金市场推广、销售以及基金份额持有人服务等各项费用。</w:t>
      </w:r>
      <w:r>
        <w:rPr>
          <w:rFonts w:ascii="宋体" w:hAnsi="宋体" w:cs="Arial"/>
          <w:szCs w:val="21"/>
        </w:rPr>
        <w:t>本基金份额分为不同的类别，适用不同的销售服务费率。其中，A类基金份额不收取销售服务费，C类基金份额销售服务费年费率为0.20%。</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各类别基金份额的销售服务费计算方法如下：</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H＝E×R÷当年天数</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H 为</w:t>
      </w:r>
      <w:r>
        <w:rPr>
          <w:rFonts w:hint="eastAsia" w:ascii="宋体" w:hAnsi="宋体" w:cs="Arial"/>
          <w:szCs w:val="21"/>
        </w:rPr>
        <w:t>该</w:t>
      </w:r>
      <w:r>
        <w:rPr>
          <w:rFonts w:ascii="宋体" w:hAnsi="宋体" w:cs="Arial"/>
          <w:szCs w:val="21"/>
        </w:rPr>
        <w:t>类别基金份额每日应计提的销售服务费</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E 为</w:t>
      </w:r>
      <w:r>
        <w:rPr>
          <w:rFonts w:hint="eastAsia" w:ascii="宋体" w:hAnsi="宋体" w:cs="Arial"/>
          <w:szCs w:val="21"/>
        </w:rPr>
        <w:t>该</w:t>
      </w:r>
      <w:r>
        <w:rPr>
          <w:rFonts w:ascii="宋体" w:hAnsi="宋体" w:cs="Arial"/>
          <w:szCs w:val="21"/>
        </w:rPr>
        <w:t>类别基金份额前一日基金资产净值</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R 为</w:t>
      </w:r>
      <w:r>
        <w:rPr>
          <w:rFonts w:hint="eastAsia" w:ascii="宋体" w:hAnsi="宋体" w:cs="Arial"/>
          <w:szCs w:val="21"/>
        </w:rPr>
        <w:t>该</w:t>
      </w:r>
      <w:r>
        <w:rPr>
          <w:rFonts w:ascii="宋体" w:hAnsi="宋体" w:cs="Arial"/>
          <w:szCs w:val="21"/>
        </w:rPr>
        <w:t xml:space="preserve">类别基金份额适用的销售服务费率 </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销售服务费每日计提。</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 xml:space="preserve">1. </w:t>
      </w:r>
      <w:r>
        <w:rPr>
          <w:rFonts w:hint="eastAsia" w:ascii="宋体" w:hAnsi="宋体"/>
          <w:szCs w:val="21"/>
        </w:rPr>
        <w:t>基金管理人</w:t>
      </w:r>
      <w:r>
        <w:rPr>
          <w:rFonts w:hint="eastAsia" w:ascii="宋体" w:hAnsi="宋体" w:cs="Arial"/>
          <w:szCs w:val="21"/>
        </w:rPr>
        <w:t>直销机构：</w:t>
      </w:r>
    </w:p>
    <w:p>
      <w:pPr>
        <w:adjustRightInd w:val="0"/>
        <w:snapToGrid w:val="0"/>
        <w:spacing w:line="360" w:lineRule="auto"/>
        <w:ind w:firstLine="420" w:firstLineChars="200"/>
        <w:rPr>
          <w:rFonts w:hint="eastAsia" w:ascii="宋体" w:hAnsi="宋体" w:cs="Arial"/>
          <w:szCs w:val="21"/>
        </w:rPr>
      </w:pPr>
      <w:r>
        <w:rPr>
          <w:rFonts w:hint="eastAsia" w:ascii="宋体" w:hAnsi="宋体"/>
          <w:szCs w:val="21"/>
        </w:rPr>
        <w:t>基金</w:t>
      </w:r>
      <w:r>
        <w:rPr>
          <w:rFonts w:hint="eastAsia" w:ascii="宋体" w:hAnsi="宋体" w:cs="Arial"/>
          <w:szCs w:val="21"/>
        </w:rPr>
        <w:t>管理人销售其</w:t>
      </w:r>
      <w:r>
        <w:rPr>
          <w:rFonts w:hint="eastAsia" w:ascii="宋体" w:hAnsi="宋体"/>
          <w:szCs w:val="21"/>
        </w:rPr>
        <w:t>管理的基金</w:t>
      </w:r>
      <w:r>
        <w:rPr>
          <w:rFonts w:hint="eastAsia" w:ascii="宋体" w:hAnsi="宋体" w:cs="Arial"/>
          <w:szCs w:val="21"/>
        </w:rPr>
        <w:t>，</w:t>
      </w:r>
      <w:r>
        <w:rPr>
          <w:rFonts w:hint="eastAsia" w:ascii="宋体" w:hAnsi="宋体"/>
          <w:szCs w:val="21"/>
        </w:rPr>
        <w:t>不得收取</w:t>
      </w:r>
      <w:r>
        <w:rPr>
          <w:rFonts w:hint="eastAsia" w:ascii="宋体" w:hAnsi="宋体" w:cs="Arial"/>
          <w:szCs w:val="21"/>
        </w:rPr>
        <w:t>销售服务费。华夏财富（基金管理人销售子公司）</w:t>
      </w:r>
      <w:r>
        <w:rPr>
          <w:rFonts w:hint="eastAsia" w:ascii="宋体" w:hAnsi="宋体"/>
          <w:szCs w:val="21"/>
        </w:rPr>
        <w:t>按照</w:t>
      </w:r>
      <w:r>
        <w:rPr>
          <w:rFonts w:hint="eastAsia" w:ascii="宋体" w:hAnsi="宋体" w:cs="Arial"/>
          <w:szCs w:val="21"/>
        </w:rPr>
        <w:t>本条要求执行。</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 xml:space="preserve">2. </w:t>
      </w:r>
      <w:r>
        <w:rPr>
          <w:rFonts w:hint="eastAsia" w:ascii="宋体" w:hAnsi="宋体" w:cs="Arial"/>
          <w:szCs w:val="21"/>
        </w:rPr>
        <w:t>代销机构：</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对于投资者在其他代销机构持续持有期限未超过一年（即</w:t>
      </w:r>
      <w:r>
        <w:rPr>
          <w:rFonts w:ascii="宋体" w:hAnsi="宋体" w:cs="Arial"/>
          <w:szCs w:val="21"/>
        </w:rPr>
        <w:t>365天，下同）的</w:t>
      </w:r>
      <w:r>
        <w:rPr>
          <w:rFonts w:hint="eastAsia" w:ascii="宋体" w:hAnsi="宋体"/>
          <w:szCs w:val="21"/>
        </w:rPr>
        <w:t>基金</w:t>
      </w:r>
      <w:r>
        <w:rPr>
          <w:rFonts w:hint="eastAsia" w:ascii="宋体" w:hAnsi="宋体" w:cs="Arial"/>
          <w:szCs w:val="21"/>
        </w:rPr>
        <w:t>份额计提</w:t>
      </w:r>
      <w:r>
        <w:rPr>
          <w:rFonts w:hint="eastAsia" w:ascii="宋体" w:hAnsi="宋体"/>
          <w:szCs w:val="21"/>
        </w:rPr>
        <w:t>的</w:t>
      </w:r>
      <w:r>
        <w:rPr>
          <w:rFonts w:hint="eastAsia" w:ascii="宋体" w:hAnsi="宋体" w:cs="Arial"/>
          <w:szCs w:val="21"/>
        </w:rPr>
        <w:t>销售服务费，逐日累计至每月月末，按月支付。自动在次月初</w:t>
      </w:r>
      <w:r>
        <w:rPr>
          <w:rFonts w:ascii="宋体" w:hAnsi="宋体" w:cs="Arial"/>
          <w:szCs w:val="21"/>
        </w:rPr>
        <w:t>5</w:t>
      </w:r>
      <w:r>
        <w:rPr>
          <w:rFonts w:hint="eastAsia" w:ascii="宋体" w:hAnsi="宋体" w:cs="Arial"/>
          <w:szCs w:val="21"/>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对于投资者在其他代销机构持续持有期限超过一年的基金份额继续计提的销售服务费，在投资者赎回基金份额（或基金合同终止）时，该笔基金份额持有满一年起所计提的销售服务费，随</w:t>
      </w:r>
      <w:r>
        <w:rPr>
          <w:rFonts w:hint="eastAsia" w:ascii="宋体" w:hAnsi="宋体"/>
          <w:szCs w:val="21"/>
        </w:rPr>
        <w:t>赎回</w:t>
      </w:r>
      <w:r>
        <w:rPr>
          <w:rFonts w:hint="eastAsia" w:ascii="宋体" w:hAnsi="宋体" w:cs="Arial"/>
          <w:szCs w:val="21"/>
        </w:rPr>
        <w:t>款（或清算款）一并返还给投资者</w:t>
      </w:r>
      <w:r>
        <w:rPr>
          <w:rFonts w:hint="eastAsia" w:ascii="宋体" w:hAnsi="宋体"/>
          <w:szCs w:val="21"/>
        </w:rPr>
        <w:t>。</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四）基金的开户费用、账户维护费、证券交易结算费用、基金财产划拨支付的银行费用、《基金合同》生效后的信息披露费用、基金份额持有人大会费用、《基金合同》生效后与基金有关的会计师费、律师费、仲裁费和诉讼费等根据国家有关规定和《基金合同》的约定，可以在基金财产中列支的其他费用，列入当期基金费用。</w:t>
      </w:r>
    </w:p>
    <w:p>
      <w:pPr>
        <w:spacing w:line="360" w:lineRule="auto"/>
        <w:ind w:firstLine="200"/>
        <w:rPr>
          <w:rFonts w:hint="eastAsia" w:ascii="宋体" w:hAnsi="宋体" w:cs="Arial"/>
          <w:szCs w:val="21"/>
        </w:rPr>
      </w:pPr>
      <w:r>
        <w:rPr>
          <w:rFonts w:hint="eastAsia" w:ascii="宋体" w:hAnsi="宋体" w:cs="Arial"/>
          <w:szCs w:val="21"/>
        </w:rPr>
        <w:t>（五）不列入基金费用的项目</w:t>
      </w:r>
    </w:p>
    <w:p>
      <w:pPr>
        <w:spacing w:line="360" w:lineRule="auto"/>
        <w:ind w:firstLine="200"/>
        <w:rPr>
          <w:rFonts w:hint="eastAsia" w:ascii="宋体" w:hAnsi="宋体" w:cs="Arial"/>
          <w:szCs w:val="21"/>
        </w:rPr>
      </w:pPr>
      <w:r>
        <w:rPr>
          <w:rFonts w:hint="eastAsia" w:ascii="宋体" w:hAnsi="宋体" w:cs="Arial"/>
          <w:szCs w:val="21"/>
        </w:rPr>
        <w:t>《基金合同》生效前的律师费、会计师费和信息披露费用等相关费用不得从基金财产中列支；基金管理人和基金托管人因未履行或未完全履行义务导致的费用支出或基金财产的损失；标的指数许可使用费；处理与基金运作无关的事项发生的费用以及其他根据相关法律法规及中国证监会的有关规定不得列入基金费用的项目等不列入基金费用。</w:t>
      </w:r>
    </w:p>
    <w:p>
      <w:pPr>
        <w:spacing w:line="360" w:lineRule="auto"/>
        <w:ind w:firstLine="200"/>
        <w:rPr>
          <w:rFonts w:hint="eastAsia" w:ascii="宋体" w:hAnsi="宋体" w:cs="Arial"/>
          <w:szCs w:val="21"/>
        </w:rPr>
      </w:pPr>
      <w:r>
        <w:rPr>
          <w:rFonts w:hint="eastAsia" w:ascii="宋体" w:hAnsi="宋体" w:cs="Arial"/>
          <w:szCs w:val="21"/>
        </w:rPr>
        <w:t>（六）基金管理费、基金托管费和销售服务费的调整</w:t>
      </w:r>
    </w:p>
    <w:p>
      <w:pPr>
        <w:spacing w:line="360" w:lineRule="auto"/>
        <w:ind w:firstLine="200"/>
        <w:rPr>
          <w:rFonts w:hint="eastAsia" w:ascii="宋体" w:hAnsi="宋体" w:cs="Arial"/>
          <w:szCs w:val="21"/>
        </w:rPr>
      </w:pPr>
      <w:r>
        <w:rPr>
          <w:rFonts w:hint="eastAsia" w:ascii="宋体" w:hAnsi="宋体" w:cs="Arial"/>
          <w:szCs w:val="21"/>
        </w:rPr>
        <w:t>基金管理人和基金托管人在履行适当程序后可协商酌情降低基金管理费、基金托管费和销售服务费。基金管理人必须最迟于新的费率实施日前依照《信息披露办法》的有关规定在在规定媒介上刊登公告。</w:t>
      </w:r>
    </w:p>
    <w:p>
      <w:pPr>
        <w:spacing w:line="360" w:lineRule="auto"/>
        <w:ind w:firstLine="200"/>
        <w:rPr>
          <w:rFonts w:hint="eastAsia" w:ascii="宋体" w:hAnsi="宋体" w:cs="Arial"/>
          <w:szCs w:val="21"/>
        </w:rPr>
      </w:pPr>
      <w:r>
        <w:rPr>
          <w:rFonts w:hint="eastAsia" w:ascii="宋体" w:hAnsi="宋体" w:cs="Arial"/>
          <w:szCs w:val="21"/>
        </w:rPr>
        <w:t>（七）基金管理费、基金托管费、销售服务费的复核程序、支付方式和时间</w:t>
      </w:r>
    </w:p>
    <w:p>
      <w:pPr>
        <w:spacing w:line="360" w:lineRule="auto"/>
        <w:ind w:firstLine="420" w:firstLineChars="200"/>
        <w:rPr>
          <w:rFonts w:hint="eastAsia" w:ascii="宋体" w:hAnsi="宋体" w:cs="Arial"/>
          <w:szCs w:val="21"/>
        </w:rPr>
      </w:pPr>
      <w:r>
        <w:rPr>
          <w:rFonts w:ascii="宋体" w:hAnsi="宋体" w:cs="Arial"/>
          <w:szCs w:val="21"/>
        </w:rPr>
        <w:t>1.复核程序</w:t>
      </w:r>
    </w:p>
    <w:p>
      <w:pPr>
        <w:spacing w:line="360" w:lineRule="auto"/>
        <w:ind w:firstLine="420" w:firstLineChars="200"/>
        <w:rPr>
          <w:rFonts w:hint="eastAsia" w:ascii="宋体" w:hAnsi="宋体" w:cs="Arial"/>
          <w:szCs w:val="21"/>
        </w:rPr>
      </w:pPr>
      <w:r>
        <w:rPr>
          <w:rFonts w:hint="eastAsia" w:ascii="宋体" w:hAnsi="宋体" w:cs="Arial"/>
          <w:szCs w:val="21"/>
        </w:rPr>
        <w:t>基金托管人对基金管理人计提的基金管理费、基金托管费、销售服务费（等，根据本托管协议和《基金合同》的有关规定进行复核。因涉及相关数据，销售服务费返还部分费用的计算和复核工作由基金管理人完成，相关信息以注册登记机构计算结果为准，基金托管人不承担复核责任。</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2.支付方式和时间</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基金管理费、基金托管费每日计提，按月支付。</w:t>
      </w:r>
      <w:bookmarkStart w:id="105" w:name="_Hlk175758683"/>
      <w:r>
        <w:rPr>
          <w:rFonts w:hint="eastAsia" w:ascii="宋体" w:hAnsi="宋体" w:cs="Arial"/>
          <w:szCs w:val="21"/>
        </w:rPr>
        <w:t>由基金托管人根据与基金管理人核对一致的财务数据，自动在月初</w:t>
      </w:r>
      <w:r>
        <w:rPr>
          <w:rFonts w:ascii="宋体" w:hAnsi="宋体" w:cs="Arial"/>
          <w:szCs w:val="21"/>
        </w:rPr>
        <w:t>5</w:t>
      </w:r>
      <w:r>
        <w:rPr>
          <w:rFonts w:hint="eastAsia" w:ascii="宋体" w:hAnsi="宋体" w:cs="Arial"/>
          <w:szCs w:val="21"/>
        </w:rPr>
        <w:t>个工作日内、按照指定的账户路径进行资金支付（取），基金管理人无需再出具资金划拨指令。若遇法定节假日、休息日或不可抗力等，支付日期顺延。</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费用自动扣划后，基金管理人应进行核对，如发现数据不符，及时联系基金托管人协商解决。</w:t>
      </w:r>
      <w:bookmarkEnd w:id="105"/>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在首期支付基金管理费、销售服务费前，基金管理人应向托管人出具正式函件指定基金管理费、销售服务费的收款账户。基金管理人如需要变更此账户，应提前</w:t>
      </w:r>
      <w:r>
        <w:rPr>
          <w:rFonts w:ascii="宋体" w:hAnsi="宋体" w:cs="Arial"/>
          <w:szCs w:val="21"/>
        </w:rPr>
        <w:t>5个工作日向托管人出具书面的收款账户变更通知。</w:t>
      </w:r>
    </w:p>
    <w:p>
      <w:pPr>
        <w:adjustRightInd w:val="0"/>
        <w:snapToGrid w:val="0"/>
        <w:spacing w:line="360" w:lineRule="auto"/>
        <w:ind w:firstLine="420" w:firstLineChars="200"/>
        <w:rPr>
          <w:rFonts w:hint="eastAsia" w:ascii="宋体" w:hAnsi="宋体" w:cs="Arial"/>
          <w:szCs w:val="21"/>
        </w:rPr>
      </w:pPr>
      <w:r>
        <w:rPr>
          <w:rFonts w:hint="eastAsia" w:ascii="宋体" w:hAnsi="宋体" w:cs="Arial"/>
          <w:iCs/>
          <w:szCs w:val="21"/>
        </w:rPr>
        <w:t>（</w:t>
      </w:r>
      <w:r>
        <w:rPr>
          <w:rFonts w:ascii="宋体" w:hAnsi="宋体" w:cs="Arial"/>
          <w:iCs/>
          <w:szCs w:val="21"/>
        </w:rPr>
        <w:t>八</w:t>
      </w:r>
      <w:r>
        <w:rPr>
          <w:rFonts w:hint="eastAsia" w:ascii="宋体" w:hAnsi="宋体" w:cs="Arial"/>
          <w:iCs/>
          <w:szCs w:val="21"/>
        </w:rPr>
        <w:t>）</w:t>
      </w:r>
      <w:r>
        <w:rPr>
          <w:rFonts w:hint="eastAsia" w:ascii="宋体" w:hAnsi="宋体" w:cs="Arial"/>
          <w:szCs w:val="21"/>
        </w:rPr>
        <w:t>违规处理方式</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pPr>
        <w:adjustRightInd w:val="0"/>
        <w:snapToGrid w:val="0"/>
        <w:spacing w:line="360" w:lineRule="auto"/>
        <w:ind w:firstLine="420" w:firstLineChars="200"/>
        <w:rPr>
          <w:rFonts w:hint="eastAsia" w:ascii="宋体" w:hAnsi="宋体" w:cs="Arial"/>
          <w:iCs/>
          <w:szCs w:val="21"/>
        </w:rPr>
      </w:pPr>
      <w:r>
        <w:rPr>
          <w:rFonts w:hint="eastAsia" w:ascii="宋体" w:hAnsi="宋体"/>
          <w:iCs/>
          <w:color w:val="000000"/>
          <w:kern w:val="0"/>
          <w:szCs w:val="21"/>
        </w:rPr>
        <w:t>（</w:t>
      </w:r>
      <w:r>
        <w:rPr>
          <w:rFonts w:ascii="宋体" w:hAnsi="宋体"/>
          <w:iCs/>
          <w:color w:val="000000"/>
          <w:kern w:val="0"/>
          <w:szCs w:val="21"/>
        </w:rPr>
        <w:t>九</w:t>
      </w:r>
      <w:r>
        <w:rPr>
          <w:rFonts w:hint="eastAsia" w:ascii="宋体" w:hAnsi="宋体"/>
          <w:iCs/>
          <w:color w:val="000000"/>
          <w:kern w:val="0"/>
          <w:szCs w:val="21"/>
        </w:rPr>
        <w:t>）</w:t>
      </w:r>
      <w:r>
        <w:rPr>
          <w:rFonts w:hint="eastAsia" w:ascii="宋体" w:hAnsi="宋体" w:cs="Arial"/>
          <w:iCs/>
          <w:szCs w:val="21"/>
        </w:rPr>
        <w:t>实施侧袋机制期间的基金费用</w:t>
      </w:r>
    </w:p>
    <w:p>
      <w:pPr>
        <w:adjustRightInd w:val="0"/>
        <w:snapToGrid w:val="0"/>
        <w:spacing w:line="360" w:lineRule="auto"/>
        <w:ind w:firstLine="420" w:firstLineChars="200"/>
        <w:rPr>
          <w:rFonts w:hint="eastAsia" w:ascii="宋体" w:hAnsi="宋体" w:cs="Arial"/>
          <w:i/>
          <w:szCs w:val="21"/>
        </w:rPr>
      </w:pPr>
      <w:r>
        <w:rPr>
          <w:rFonts w:hint="eastAsia" w:ascii="宋体" w:hAnsi="宋体" w:cs="Arial"/>
          <w:iCs/>
          <w:szCs w:val="21"/>
        </w:rPr>
        <w:t>本基金实施侧袋</w:t>
      </w:r>
      <w:r>
        <w:rPr>
          <w:rFonts w:hint="eastAsia" w:ascii="宋体" w:hAnsi="宋体" w:cs="Arial"/>
          <w:szCs w:val="21"/>
        </w:rPr>
        <w:t>机制</w:t>
      </w:r>
      <w:r>
        <w:rPr>
          <w:rFonts w:hint="eastAsia" w:ascii="宋体" w:hAnsi="宋体" w:cs="Arial"/>
          <w:iCs/>
          <w:szCs w:val="21"/>
        </w:rPr>
        <w:t>的，与侧袋账户有关的费用可以从侧袋账户中列支，但应待侧袋账户资产变现后方可列支，有关费用可酌情收取或减免，但不得收取管理费，详见招募说明书的规定。</w:t>
      </w:r>
    </w:p>
    <w:p>
      <w:pPr>
        <w:adjustRightInd w:val="0"/>
        <w:snapToGrid w:val="0"/>
        <w:spacing w:line="360" w:lineRule="auto"/>
        <w:rPr>
          <w:rFonts w:hint="eastAsia" w:ascii="宋体" w:hAnsi="宋体" w:cs="Arial"/>
          <w:szCs w:val="21"/>
        </w:rPr>
      </w:pPr>
    </w:p>
    <w:p>
      <w:pPr>
        <w:pStyle w:val="3"/>
        <w:spacing w:line="360" w:lineRule="auto"/>
        <w:jc w:val="center"/>
        <w:rPr>
          <w:rFonts w:hint="eastAsia" w:ascii="宋体" w:hAnsi="宋体" w:eastAsia="宋体"/>
          <w:sz w:val="21"/>
          <w:szCs w:val="21"/>
        </w:rPr>
      </w:pPr>
      <w:bookmarkStart w:id="106" w:name="_Toc124325896"/>
      <w:bookmarkStart w:id="107" w:name="_Toc233054446"/>
      <w:r>
        <w:rPr>
          <w:rFonts w:hint="eastAsia" w:ascii="宋体" w:hAnsi="宋体" w:eastAsia="宋体"/>
          <w:sz w:val="21"/>
          <w:szCs w:val="21"/>
        </w:rPr>
        <w:t>十二、基金份额持有人名册的保管</w:t>
      </w:r>
      <w:bookmarkEnd w:id="106"/>
      <w:bookmarkEnd w:id="107"/>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按照法律法规的规定执行。如不能妥善保管，则按相关法规承担责任。</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在基金托管人要求或编制中期报告和年度报告前，基金管理人应将有关资料送交基金托管人，不得无故拒绝或延误提供，并保证其真实性、准确性和完整性。</w:t>
      </w:r>
      <w:r>
        <w:rPr>
          <w:rFonts w:hint="eastAsia" w:ascii="宋体" w:hAnsi="宋体"/>
          <w:kern w:val="0"/>
          <w:szCs w:val="21"/>
        </w:rPr>
        <w:t>基金托管人不得将所保管的基金份额持有人名册用于基金托管业务以外的其他用途，并应遵守保密义务。</w:t>
      </w:r>
    </w:p>
    <w:p>
      <w:pPr>
        <w:adjustRightInd w:val="0"/>
        <w:snapToGrid w:val="0"/>
        <w:spacing w:line="360" w:lineRule="auto"/>
        <w:rPr>
          <w:rFonts w:hint="eastAsia" w:ascii="宋体" w:hAnsi="宋体" w:cs="Arial"/>
          <w:szCs w:val="21"/>
        </w:rPr>
      </w:pPr>
    </w:p>
    <w:p>
      <w:pPr>
        <w:pStyle w:val="3"/>
        <w:spacing w:line="360" w:lineRule="auto"/>
        <w:jc w:val="center"/>
        <w:rPr>
          <w:rFonts w:hint="eastAsia" w:ascii="宋体" w:hAnsi="宋体" w:eastAsia="宋体"/>
          <w:sz w:val="21"/>
          <w:szCs w:val="21"/>
        </w:rPr>
      </w:pPr>
      <w:bookmarkStart w:id="108" w:name="_Toc233054447"/>
      <w:bookmarkStart w:id="109" w:name="_Toc124325897"/>
      <w:r>
        <w:rPr>
          <w:rFonts w:hint="eastAsia" w:ascii="宋体" w:hAnsi="宋体" w:eastAsia="宋体"/>
          <w:sz w:val="21"/>
          <w:szCs w:val="21"/>
        </w:rPr>
        <w:t>十三、基金有关文件档案的保存</w:t>
      </w:r>
      <w:bookmarkEnd w:id="108"/>
      <w:bookmarkEnd w:id="109"/>
    </w:p>
    <w:p>
      <w:pPr>
        <w:spacing w:line="360" w:lineRule="auto"/>
        <w:ind w:firstLine="420" w:firstLineChars="200"/>
        <w:rPr>
          <w:rFonts w:hint="eastAsia" w:ascii="宋体" w:hAnsi="宋体" w:cs="Arial"/>
          <w:szCs w:val="21"/>
        </w:rPr>
      </w:pPr>
      <w:r>
        <w:rPr>
          <w:rFonts w:hint="eastAsia" w:ascii="宋体" w:hAnsi="宋体" w:cs="Arial"/>
          <w:szCs w:val="21"/>
        </w:rPr>
        <w:t>（一）档案保存</w:t>
      </w:r>
    </w:p>
    <w:p>
      <w:pPr>
        <w:spacing w:line="360" w:lineRule="auto"/>
        <w:ind w:firstLine="420" w:firstLineChars="200"/>
        <w:rPr>
          <w:rFonts w:hint="eastAsia" w:ascii="宋体" w:hAnsi="宋体" w:cs="Arial"/>
          <w:szCs w:val="21"/>
        </w:rPr>
      </w:pPr>
      <w:r>
        <w:rPr>
          <w:rFonts w:hint="eastAsia" w:ascii="宋体" w:hAnsi="宋体" w:cs="Arial"/>
          <w:szCs w:val="21"/>
        </w:rPr>
        <w:t>基金管理人应保存基金财产管理业务活动的记录、账册、报表和其他相关资料。基金托管人应保存基金托管业务活动的记录、账册、报表和其他相关资料。基金管理人和基金托管人都应当按法律法规规定保管。</w:t>
      </w:r>
    </w:p>
    <w:p>
      <w:pPr>
        <w:spacing w:line="360" w:lineRule="auto"/>
        <w:ind w:firstLine="420" w:firstLineChars="200"/>
        <w:rPr>
          <w:rFonts w:hint="eastAsia" w:ascii="宋体" w:hAnsi="宋体" w:cs="Arial"/>
          <w:szCs w:val="21"/>
        </w:rPr>
      </w:pPr>
      <w:r>
        <w:rPr>
          <w:rFonts w:hint="eastAsia" w:ascii="宋体" w:hAnsi="宋体" w:cs="Arial"/>
          <w:szCs w:val="21"/>
        </w:rPr>
        <w:t>（二）合同档案的建立</w:t>
      </w:r>
    </w:p>
    <w:p>
      <w:pPr>
        <w:spacing w:line="360" w:lineRule="auto"/>
        <w:ind w:firstLine="420" w:firstLineChars="200"/>
        <w:rPr>
          <w:rFonts w:hint="eastAsia" w:ascii="宋体" w:hAnsi="宋体" w:cs="Arial"/>
          <w:szCs w:val="21"/>
        </w:rPr>
      </w:pPr>
      <w:r>
        <w:rPr>
          <w:rFonts w:ascii="宋体" w:hAnsi="宋体" w:cs="Arial"/>
          <w:szCs w:val="21"/>
        </w:rPr>
        <w:t>1.基金管理人签署重大合同文本后，应及时将合同文本正本送达基金托管人处。</w:t>
      </w:r>
    </w:p>
    <w:p>
      <w:pPr>
        <w:spacing w:line="360" w:lineRule="auto"/>
        <w:ind w:firstLine="420" w:firstLineChars="200"/>
        <w:rPr>
          <w:rFonts w:hint="eastAsia" w:ascii="宋体" w:hAnsi="宋体" w:cs="Arial"/>
          <w:szCs w:val="21"/>
        </w:rPr>
      </w:pPr>
      <w:r>
        <w:rPr>
          <w:rFonts w:ascii="宋体" w:hAnsi="宋体" w:cs="Arial"/>
          <w:szCs w:val="21"/>
        </w:rPr>
        <w:t>2.基金管理人应及时将与本基金账务处理、资金划拨等有关的合同、协议传真基金托管人。</w:t>
      </w:r>
    </w:p>
    <w:p>
      <w:pPr>
        <w:spacing w:line="360" w:lineRule="auto"/>
        <w:ind w:firstLine="420" w:firstLineChars="200"/>
        <w:rPr>
          <w:rFonts w:hint="eastAsia" w:ascii="宋体" w:hAnsi="宋体" w:cs="Arial"/>
          <w:szCs w:val="21"/>
        </w:rPr>
      </w:pPr>
      <w:r>
        <w:rPr>
          <w:rFonts w:hint="eastAsia" w:ascii="宋体" w:hAnsi="宋体" w:cs="Arial"/>
          <w:szCs w:val="21"/>
        </w:rPr>
        <w:t>（三）变更与协助</w:t>
      </w:r>
    </w:p>
    <w:p>
      <w:pPr>
        <w:spacing w:line="360" w:lineRule="auto"/>
        <w:ind w:firstLine="420" w:firstLineChars="200"/>
        <w:rPr>
          <w:rFonts w:hint="eastAsia" w:ascii="宋体" w:hAnsi="宋体"/>
          <w:b/>
          <w:bCs/>
          <w:szCs w:val="21"/>
        </w:rPr>
      </w:pPr>
      <w:r>
        <w:rPr>
          <w:rFonts w:hint="eastAsia" w:ascii="宋体" w:hAnsi="宋体" w:cs="Arial"/>
          <w:szCs w:val="21"/>
        </w:rPr>
        <w:t>若基金管理人</w:t>
      </w:r>
      <w:r>
        <w:rPr>
          <w:rFonts w:ascii="宋体" w:hAnsi="宋体" w:cs="Arial"/>
          <w:szCs w:val="21"/>
        </w:rPr>
        <w:t>/基金托管人发生变更，未变更的一方有义务协助变更后的接任人接收相应文件。</w:t>
      </w:r>
    </w:p>
    <w:p>
      <w:pPr>
        <w:adjustRightInd w:val="0"/>
        <w:snapToGrid w:val="0"/>
        <w:spacing w:line="360" w:lineRule="auto"/>
        <w:rPr>
          <w:rFonts w:hint="eastAsia" w:ascii="宋体" w:hAnsi="宋体"/>
          <w:szCs w:val="21"/>
        </w:rPr>
      </w:pPr>
    </w:p>
    <w:p>
      <w:pPr>
        <w:pStyle w:val="3"/>
        <w:spacing w:line="360" w:lineRule="auto"/>
        <w:jc w:val="center"/>
        <w:rPr>
          <w:rFonts w:hint="eastAsia" w:ascii="宋体" w:hAnsi="宋体" w:eastAsia="宋体"/>
          <w:sz w:val="21"/>
          <w:szCs w:val="21"/>
        </w:rPr>
      </w:pPr>
      <w:bookmarkStart w:id="110" w:name="_Toc233054448"/>
      <w:bookmarkStart w:id="111" w:name="_Toc124325898"/>
      <w:r>
        <w:rPr>
          <w:rFonts w:hint="eastAsia" w:ascii="宋体" w:hAnsi="宋体" w:eastAsia="宋体"/>
          <w:sz w:val="21"/>
          <w:szCs w:val="21"/>
        </w:rPr>
        <w:t>十四、基金管理人和基金托管人的更换</w:t>
      </w:r>
      <w:bookmarkEnd w:id="110"/>
      <w:bookmarkEnd w:id="111"/>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（一）基金管理人职责终止的情形</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1.基金管理人职责终止的情形</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有下列情形之一的，基金管理人职责终止：</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(1)被依法取消基金管理资格；</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(2)依法解散、被依法撤销或被依法宣告破产；</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(3)被基金份额持有人大会解任；</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(4)法律法规及中国证监会规定的和《基金合同》约定的其他情形。</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2.基金管理人的更换程序</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(1)提名：</w:t>
      </w:r>
      <w:r>
        <w:rPr>
          <w:rFonts w:hint="eastAsia" w:ascii="宋体" w:hAnsi="宋体" w:cs="Arial"/>
          <w:szCs w:val="21"/>
        </w:rPr>
        <w:t>新任基金管理人由基金托管人</w:t>
      </w:r>
      <w:r>
        <w:rPr>
          <w:rFonts w:hint="eastAsia" w:ascii="宋体" w:hAnsi="宋体"/>
          <w:szCs w:val="21"/>
        </w:rPr>
        <w:t>或由单独或合计持有</w:t>
      </w:r>
      <w:r>
        <w:rPr>
          <w:rFonts w:ascii="宋体" w:hAnsi="宋体"/>
          <w:szCs w:val="21"/>
        </w:rPr>
        <w:t>10%以上(含10%)基金份额的基金份额持有人</w:t>
      </w:r>
      <w:r>
        <w:rPr>
          <w:rFonts w:hint="eastAsia" w:ascii="宋体" w:hAnsi="宋体" w:cs="Arial"/>
          <w:szCs w:val="21"/>
        </w:rPr>
        <w:t>提名；</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(3)临时基金管理人：</w:t>
      </w:r>
      <w:r>
        <w:rPr>
          <w:rFonts w:hint="eastAsia" w:ascii="宋体" w:hAnsi="宋体" w:cs="Arial"/>
          <w:szCs w:val="21"/>
        </w:rPr>
        <w:t>新任基金管理人产生之前，由中国证监会指定临时基金管理人；</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(4)备案：基金份额持有人大会选任基金管理人的决议须报中国证监会备案；</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(5)公告：基金管理人更换后，由基金托管人在更换基金管理人的基金份额持有人大会决议生效后2日内在规定媒介公告；</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(6)交接：基金管理人职责终止的，基金管理人应妥善保管基金管理业务资料，及时向临时基金管理人或</w:t>
      </w:r>
      <w:r>
        <w:rPr>
          <w:rFonts w:hint="eastAsia" w:ascii="宋体" w:hAnsi="宋体" w:cs="Arial"/>
          <w:szCs w:val="21"/>
        </w:rPr>
        <w:t>新任基金管理人办理基金管理业务的移交手续，临时基金管理人或新任基金管理人应及时接收。临时基金管理人或新任基金管理人应与基金托管人核对基金净值信息；</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(7)审计：基金管理人职责终止的，应当按照法律法规规定聘请</w:t>
      </w:r>
      <w:r>
        <w:rPr>
          <w:rFonts w:hint="eastAsia" w:ascii="宋体" w:hAnsi="宋体"/>
          <w:szCs w:val="21"/>
        </w:rPr>
        <w:t>符合《中华人民共和国证券法》规定的</w:t>
      </w:r>
      <w:r>
        <w:rPr>
          <w:rFonts w:hint="eastAsia" w:ascii="宋体" w:hAnsi="宋体" w:cs="Arial"/>
          <w:szCs w:val="21"/>
        </w:rPr>
        <w:t>会计师事务所对基金财产进行审计，并将审计结果予以公告，同时报中国证监会备案；</w:t>
      </w:r>
    </w:p>
    <w:p>
      <w:pPr>
        <w:adjustRightInd w:val="0"/>
        <w:snapToGrid w:val="0"/>
        <w:spacing w:line="360" w:lineRule="auto"/>
        <w:ind w:firstLine="420" w:firstLineChars="200"/>
        <w:rPr>
          <w:rFonts w:hint="eastAsia" w:ascii="宋体" w:hAnsi="宋体"/>
          <w:szCs w:val="21"/>
        </w:rPr>
      </w:pPr>
      <w:r>
        <w:rPr>
          <w:rFonts w:ascii="宋体" w:hAnsi="宋体" w:cs="Arial"/>
          <w:szCs w:val="21"/>
        </w:rPr>
        <w:t>(8)基金名称变更：基金管理人更换后，如果原任或</w:t>
      </w:r>
      <w:r>
        <w:rPr>
          <w:rFonts w:hint="eastAsia" w:ascii="宋体" w:hAnsi="宋体" w:cs="Arial"/>
          <w:szCs w:val="21"/>
        </w:rPr>
        <w:t>新任基金管理人要求，应按其要求替换或删除基金名称中与原基金管理人有关的名称字样。</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（二）基金托管人职责终止的情形</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1.基金托管人职责终止的情形</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有下列情形之一的，基金托管人职责终止：</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(1)被依法取消基金托管资格；</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(2)依法解散、被依法撤销或被依法宣告破产；</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(3)被基金份额持有人大会解任；</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(4)法律法规及中国证监会规定的和《基金合同》约定的其他情形。</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2.基金托管人的更换程序</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(1)提名：</w:t>
      </w:r>
      <w:r>
        <w:rPr>
          <w:rFonts w:hint="eastAsia" w:ascii="宋体" w:hAnsi="宋体" w:cs="Arial"/>
          <w:szCs w:val="21"/>
        </w:rPr>
        <w:t>新任基金托管人由基金管理人</w:t>
      </w:r>
      <w:r>
        <w:rPr>
          <w:rFonts w:hint="eastAsia" w:ascii="宋体" w:hAnsi="宋体"/>
          <w:szCs w:val="21"/>
        </w:rPr>
        <w:t>或由单独或合计持有</w:t>
      </w:r>
      <w:r>
        <w:rPr>
          <w:rFonts w:ascii="宋体" w:hAnsi="宋体"/>
          <w:szCs w:val="21"/>
        </w:rPr>
        <w:t>10%以上(含10%)基金份额的基金份额持有人</w:t>
      </w:r>
      <w:r>
        <w:rPr>
          <w:rFonts w:hint="eastAsia" w:ascii="宋体" w:hAnsi="宋体" w:cs="Arial"/>
          <w:szCs w:val="21"/>
        </w:rPr>
        <w:t>提名；</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(2)决议：基金份额持有人大会在基金托管人职责终止后6个月内对被提名的基金托管人形成决议，该决议需经参加大会的基金份额持有人所持表决权的三分之二以上(含三分之二)表决通过；</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(3)临时基金托管人：</w:t>
      </w:r>
      <w:r>
        <w:rPr>
          <w:rFonts w:hint="eastAsia" w:ascii="宋体" w:hAnsi="宋体" w:cs="Arial"/>
          <w:szCs w:val="21"/>
        </w:rPr>
        <w:t>新任基金托管人产生之前，由中国证监会指定临时基金托管人；</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(4)备案：基金份额持有人大会更换基金托管人的决议须报中国证监会备案；</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(5)公告：基金托管人更换后，由基金管理人在更换基金托管人的基金份额持有人大会决</w:t>
      </w:r>
      <w:r>
        <w:rPr>
          <w:rFonts w:hint="eastAsia" w:ascii="宋体" w:hAnsi="宋体" w:cs="Arial"/>
          <w:szCs w:val="21"/>
        </w:rPr>
        <w:t>议生效后</w:t>
      </w:r>
      <w:r>
        <w:rPr>
          <w:rFonts w:ascii="宋体" w:hAnsi="宋体" w:cs="Arial"/>
          <w:szCs w:val="21"/>
        </w:rPr>
        <w:t xml:space="preserve"> 2日内在规定媒介公告；</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(6)交接：基金托管人职责终止的，应当妥善保管基金财产和基金托管业务资料，及时向临时基金托管人或</w:t>
      </w:r>
      <w:r>
        <w:rPr>
          <w:rFonts w:hint="eastAsia" w:ascii="宋体" w:hAnsi="宋体" w:cs="Arial"/>
          <w:szCs w:val="21"/>
        </w:rPr>
        <w:t>新任基金托管人办理基金财产和基金托管业务的移交手续，新任基金托管人或者临时基金托管人应当及时接收。新任基金托管人或临时基金托管人与基金管理人核对基金净值信息；</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(7)审计：基金托管人职责终止的，应当按照法律法规规定聘请</w:t>
      </w:r>
      <w:r>
        <w:rPr>
          <w:rFonts w:hint="eastAsia"/>
          <w:szCs w:val="21"/>
        </w:rPr>
        <w:t>符合《中华人民共和国证券法》规定的</w:t>
      </w:r>
      <w:r>
        <w:rPr>
          <w:rFonts w:hint="eastAsia" w:ascii="宋体" w:hAnsi="宋体" w:cs="Arial"/>
          <w:szCs w:val="21"/>
        </w:rPr>
        <w:t>会计师事务所对基金财产进行审计，并将审计结果予以公告，同时报中国证监会备案。</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（三）基金管理人与基金托管人同时更换的条件和程序</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1.提名：如果基金管理人和基金托管人同时更换，由单独或合计持有基金总份额10%以上(含10%)的基金份额持有人提名新的基金管理人和基金托管人；</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2.基金管理人和基金托管人的更换分别按上述程序进行；</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3.公告：</w:t>
      </w:r>
      <w:r>
        <w:rPr>
          <w:rFonts w:hint="eastAsia" w:ascii="宋体" w:hAnsi="宋体" w:cs="Arial"/>
          <w:szCs w:val="21"/>
        </w:rPr>
        <w:t>新任基金管理人和新任基金托管人应在更换基金管理人和基金托管人的基金份额持有人大会决议生效后</w:t>
      </w:r>
      <w:r>
        <w:rPr>
          <w:rFonts w:ascii="宋体" w:hAnsi="宋体" w:cs="Arial"/>
          <w:szCs w:val="21"/>
        </w:rPr>
        <w:t>2日内在规定媒介上联合公告。</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和本协议的规定收取基金管理费或基金托管费。</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（五）</w:t>
      </w:r>
      <w:r>
        <w:rPr>
          <w:rFonts w:hint="eastAsia" w:ascii="宋体" w:hAnsi="宋体" w:cs="Arial"/>
          <w:szCs w:val="21"/>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adjustRightInd w:val="0"/>
        <w:snapToGrid w:val="0"/>
        <w:spacing w:line="360" w:lineRule="auto"/>
        <w:rPr>
          <w:rFonts w:hint="eastAsia" w:ascii="宋体" w:hAnsi="宋体" w:cs="Arial"/>
          <w:szCs w:val="21"/>
        </w:rPr>
      </w:pPr>
    </w:p>
    <w:p>
      <w:pPr>
        <w:pStyle w:val="3"/>
        <w:spacing w:line="360" w:lineRule="auto"/>
        <w:jc w:val="center"/>
        <w:rPr>
          <w:rFonts w:hint="eastAsia" w:ascii="宋体" w:hAnsi="宋体" w:eastAsia="宋体"/>
          <w:sz w:val="21"/>
          <w:szCs w:val="21"/>
        </w:rPr>
      </w:pPr>
      <w:bookmarkStart w:id="112" w:name="_Toc233054449"/>
      <w:bookmarkStart w:id="113" w:name="_Toc124325899"/>
      <w:r>
        <w:rPr>
          <w:rFonts w:hint="eastAsia" w:ascii="宋体" w:hAnsi="宋体" w:eastAsia="宋体"/>
          <w:sz w:val="21"/>
          <w:szCs w:val="21"/>
        </w:rPr>
        <w:t>十五、禁止行为</w:t>
      </w:r>
      <w:bookmarkEnd w:id="112"/>
      <w:bookmarkEnd w:id="113"/>
    </w:p>
    <w:p>
      <w:pPr>
        <w:spacing w:line="360" w:lineRule="auto"/>
        <w:ind w:firstLine="420" w:firstLineChars="200"/>
        <w:rPr>
          <w:rFonts w:hint="eastAsia" w:ascii="宋体" w:hAnsi="宋体" w:cs="Arial"/>
          <w:szCs w:val="21"/>
        </w:rPr>
      </w:pPr>
      <w:r>
        <w:rPr>
          <w:rFonts w:hint="eastAsia" w:ascii="宋体" w:hAnsi="宋体" w:cs="Arial"/>
          <w:szCs w:val="21"/>
        </w:rPr>
        <w:t>本协议当事人禁止从事的行为，包括但不限于：</w:t>
      </w:r>
    </w:p>
    <w:p>
      <w:pPr>
        <w:spacing w:line="360" w:lineRule="auto"/>
        <w:ind w:firstLine="420" w:firstLineChars="200"/>
        <w:rPr>
          <w:rFonts w:hint="eastAsia" w:ascii="宋体" w:hAnsi="宋体"/>
          <w:szCs w:val="21"/>
        </w:rPr>
      </w:pPr>
      <w:r>
        <w:rPr>
          <w:rFonts w:hint="eastAsia" w:ascii="宋体" w:hAnsi="宋体"/>
          <w:szCs w:val="21"/>
        </w:rPr>
        <w:t>（一）基金管理人、基金托管人将其固有财产或者他人财产混同于基金财产从事证券投资。</w:t>
      </w:r>
    </w:p>
    <w:p>
      <w:pPr>
        <w:spacing w:line="360" w:lineRule="auto"/>
        <w:ind w:firstLine="420" w:firstLineChars="200"/>
        <w:rPr>
          <w:rFonts w:hint="eastAsia" w:ascii="宋体" w:hAnsi="宋体"/>
          <w:szCs w:val="21"/>
        </w:rPr>
      </w:pPr>
      <w:r>
        <w:rPr>
          <w:rFonts w:hint="eastAsia" w:ascii="宋体" w:hAnsi="宋体"/>
          <w:szCs w:val="21"/>
        </w:rPr>
        <w:t>（二）基金管理人不公平地对待其管理的不同基金财产，基金托管人不公平地对待其托管的不同基金财产。</w:t>
      </w:r>
    </w:p>
    <w:p>
      <w:pPr>
        <w:spacing w:line="360" w:lineRule="auto"/>
        <w:ind w:firstLine="420" w:firstLineChars="200"/>
        <w:rPr>
          <w:rFonts w:hint="eastAsia" w:ascii="宋体" w:hAnsi="宋体"/>
          <w:szCs w:val="21"/>
        </w:rPr>
      </w:pPr>
      <w:r>
        <w:rPr>
          <w:rFonts w:hint="eastAsia" w:ascii="宋体" w:hAnsi="宋体"/>
          <w:szCs w:val="21"/>
        </w:rPr>
        <w:t>（三）基金管理人、基金托管人利用基金财产或职务之便为基金份额持有人以外的第三人牟取利益。</w:t>
      </w:r>
    </w:p>
    <w:p>
      <w:pPr>
        <w:spacing w:line="360" w:lineRule="auto"/>
        <w:ind w:firstLine="420" w:firstLineChars="200"/>
        <w:rPr>
          <w:rFonts w:hint="eastAsia" w:ascii="宋体" w:hAnsi="宋体"/>
          <w:szCs w:val="21"/>
        </w:rPr>
      </w:pPr>
      <w:r>
        <w:rPr>
          <w:rFonts w:hint="eastAsia" w:ascii="宋体" w:hAnsi="宋体"/>
          <w:szCs w:val="21"/>
        </w:rPr>
        <w:t>（四）基金管理人、基金托管人向基金份额持有人违规承诺收益或者承担损失。</w:t>
      </w:r>
    </w:p>
    <w:p>
      <w:pPr>
        <w:spacing w:line="360" w:lineRule="auto"/>
        <w:ind w:firstLine="420" w:firstLineChars="200"/>
        <w:rPr>
          <w:rFonts w:hint="eastAsia" w:ascii="宋体" w:hAnsi="宋体" w:cs="Arial"/>
          <w:szCs w:val="21"/>
        </w:rPr>
      </w:pPr>
      <w:r>
        <w:rPr>
          <w:rFonts w:hint="eastAsia" w:ascii="宋体" w:hAnsi="宋体" w:cs="Arial"/>
          <w:szCs w:val="21"/>
        </w:rPr>
        <w:t>（五）基金管理人、基金托管人对他人泄露基金运作和管理过程中任何尚未按法律法规规定的方式公开披露的信息。</w:t>
      </w:r>
    </w:p>
    <w:p>
      <w:pPr>
        <w:spacing w:line="360" w:lineRule="auto"/>
        <w:ind w:firstLine="420" w:firstLineChars="200"/>
        <w:rPr>
          <w:rFonts w:hint="eastAsia" w:ascii="宋体" w:hAnsi="宋体" w:cs="Arial"/>
          <w:szCs w:val="21"/>
        </w:rPr>
      </w:pPr>
      <w:r>
        <w:rPr>
          <w:rFonts w:hint="eastAsia" w:ascii="宋体" w:hAnsi="宋体" w:cs="Arial"/>
          <w:szCs w:val="21"/>
        </w:rPr>
        <w:t>（六）基金管理人在没有充足资金的情况下向基金托管人发出投资指令和赎回、分红资金的划拨指令，或违规向基金托管人发出指令。</w:t>
      </w:r>
    </w:p>
    <w:p>
      <w:pPr>
        <w:spacing w:line="360" w:lineRule="auto"/>
        <w:ind w:firstLine="420" w:firstLineChars="200"/>
        <w:rPr>
          <w:rFonts w:hint="eastAsia" w:ascii="宋体" w:hAnsi="宋体" w:cs="Arial"/>
          <w:szCs w:val="21"/>
        </w:rPr>
      </w:pPr>
      <w:r>
        <w:rPr>
          <w:rFonts w:hint="eastAsia" w:ascii="宋体" w:hAnsi="宋体" w:cs="Arial"/>
          <w:szCs w:val="21"/>
        </w:rPr>
        <w:t>（七）基金管理人、基金托管人在行政上、财务上不独立，其高级管理人员和其他从业人员相互兼职。</w:t>
      </w:r>
    </w:p>
    <w:p>
      <w:pPr>
        <w:spacing w:line="360" w:lineRule="auto"/>
        <w:ind w:firstLine="420" w:firstLineChars="200"/>
        <w:rPr>
          <w:rFonts w:hint="eastAsia" w:ascii="宋体" w:hAnsi="宋体" w:cs="Arial"/>
          <w:szCs w:val="21"/>
        </w:rPr>
      </w:pPr>
      <w:r>
        <w:rPr>
          <w:rFonts w:hint="eastAsia" w:ascii="宋体" w:hAnsi="宋体" w:cs="Arial"/>
          <w:szCs w:val="21"/>
        </w:rPr>
        <w:t>（八）基金托管人私自动用或处分基金财产，根据基金管理人的有效指令、《基金合同》或托管协议的规定进行处分的除外。</w:t>
      </w:r>
    </w:p>
    <w:p>
      <w:pPr>
        <w:spacing w:line="360" w:lineRule="auto"/>
        <w:ind w:firstLine="420" w:firstLineChars="200"/>
        <w:rPr>
          <w:rFonts w:hint="eastAsia" w:ascii="宋体" w:hAnsi="宋体" w:cs="Arial"/>
          <w:szCs w:val="21"/>
        </w:rPr>
      </w:pPr>
      <w:r>
        <w:rPr>
          <w:rFonts w:hint="eastAsia" w:ascii="宋体" w:hAnsi="宋体"/>
          <w:szCs w:val="21"/>
        </w:rPr>
        <w:t>（九）</w:t>
      </w:r>
      <w:r>
        <w:rPr>
          <w:rFonts w:hint="eastAsia" w:ascii="宋体" w:hAnsi="宋体" w:cs="Arial"/>
          <w:szCs w:val="21"/>
        </w:rPr>
        <w:t>基金财产</w:t>
      </w:r>
      <w:r>
        <w:rPr>
          <w:rFonts w:hint="eastAsia" w:ascii="宋体" w:hAnsi="宋体"/>
          <w:szCs w:val="21"/>
        </w:rPr>
        <w:t>用于下列投资或者活动：</w:t>
      </w:r>
      <w:r>
        <w:rPr>
          <w:rFonts w:ascii="宋体" w:hAnsi="宋体"/>
          <w:szCs w:val="21"/>
        </w:rPr>
        <w:t>1.承销证券；2.违反规定向他人贷款或者提供担保；3.从事承担无限责任的投资；4.向其基金管理人、基金托管人出资；5.从事内幕交易、操纵证券交易价格及其他不正当的证券交易活动；6.法律、行政法规和国务院证券监督管理机构规定禁止的其他活动。</w:t>
      </w:r>
    </w:p>
    <w:p>
      <w:pPr>
        <w:spacing w:line="360" w:lineRule="auto"/>
        <w:ind w:firstLine="420" w:firstLineChars="200"/>
        <w:rPr>
          <w:rFonts w:hint="eastAsia" w:ascii="宋体" w:hAnsi="宋体"/>
          <w:szCs w:val="21"/>
        </w:rPr>
      </w:pPr>
      <w:r>
        <w:rPr>
          <w:rFonts w:hint="eastAsia" w:ascii="宋体" w:hAnsi="宋体" w:cs="Arial"/>
          <w:szCs w:val="21"/>
        </w:rPr>
        <w:t>（十）法律法规和《基金合同》禁止的其他行为，以及</w:t>
      </w:r>
      <w:r>
        <w:rPr>
          <w:rFonts w:hint="eastAsia" w:ascii="宋体" w:hAnsi="宋体"/>
          <w:szCs w:val="21"/>
        </w:rPr>
        <w:t>依照法律、行政法规有关规定，由国务院证券监督管理机构规定禁止基金管理人、基金托管人从事的其他行为。</w:t>
      </w:r>
    </w:p>
    <w:p>
      <w:pPr>
        <w:spacing w:line="360" w:lineRule="auto"/>
        <w:ind w:firstLine="420" w:firstLineChars="200"/>
        <w:rPr>
          <w:rFonts w:hint="eastAsia" w:ascii="宋体" w:hAnsi="宋体" w:cs="Arial"/>
          <w:szCs w:val="21"/>
        </w:rPr>
      </w:pPr>
      <w:r>
        <w:rPr>
          <w:rFonts w:hint="eastAsia" w:ascii="宋体" w:hAnsi="宋体" w:cs="Arial"/>
          <w:szCs w:val="21"/>
        </w:rPr>
        <w:t>法律、行政法规或监管部门取消或变更上述禁止性规定的，如适用于本基金，则本基金投资不再受上述相关限制，自动遵守届时有效的法律法规或监管规定。</w:t>
      </w:r>
    </w:p>
    <w:p>
      <w:pPr>
        <w:adjustRightInd w:val="0"/>
        <w:snapToGrid w:val="0"/>
        <w:spacing w:line="360" w:lineRule="auto"/>
        <w:rPr>
          <w:rFonts w:hint="eastAsia" w:ascii="宋体" w:hAnsi="宋体"/>
          <w:szCs w:val="21"/>
        </w:rPr>
      </w:pPr>
    </w:p>
    <w:p>
      <w:pPr>
        <w:pStyle w:val="3"/>
        <w:spacing w:line="360" w:lineRule="auto"/>
        <w:jc w:val="center"/>
        <w:rPr>
          <w:rFonts w:hint="eastAsia" w:ascii="宋体" w:hAnsi="宋体" w:eastAsia="宋体"/>
          <w:sz w:val="21"/>
          <w:szCs w:val="21"/>
        </w:rPr>
      </w:pPr>
      <w:bookmarkStart w:id="114" w:name="_Toc124325900"/>
      <w:bookmarkStart w:id="115" w:name="_Toc233054450"/>
      <w:r>
        <w:rPr>
          <w:rFonts w:hint="eastAsia" w:ascii="宋体" w:hAnsi="宋体" w:eastAsia="宋体"/>
          <w:sz w:val="21"/>
          <w:szCs w:val="21"/>
        </w:rPr>
        <w:t>十六、托管协议的变更、终止与基金财产的清算</w:t>
      </w:r>
      <w:bookmarkEnd w:id="114"/>
      <w:bookmarkEnd w:id="115"/>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（一）托管协议的变更程序</w:t>
      </w:r>
    </w:p>
    <w:p>
      <w:pPr>
        <w:adjustRightInd w:val="0"/>
        <w:snapToGrid w:val="0"/>
        <w:spacing w:line="360" w:lineRule="auto"/>
        <w:ind w:firstLine="420" w:firstLineChars="200"/>
        <w:rPr>
          <w:rFonts w:hint="eastAsia" w:ascii="宋体" w:hAnsi="宋体"/>
          <w:szCs w:val="21"/>
        </w:rPr>
      </w:pPr>
      <w:r>
        <w:rPr>
          <w:rFonts w:hint="eastAsia" w:ascii="宋体" w:hAnsi="宋体" w:cs="Arial"/>
          <w:szCs w:val="21"/>
        </w:rPr>
        <w:t>本协议双方当事人经协商一致，可以对协议进行修改。修改后的新协议，其内容不得与《基金合同》的规定有任何冲突。基金托管协议的变更报中国证监会备案（如需）。</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（二）托管协议终止的情形</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1.《基金合同》终止；</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2.基金托管人解散、依法被撤销、破产或由其他基金托管人接管基金资产；</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3.基金管理人解散、依法被撤销、破产或由其他基金管理人接管基金管理权；</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4.发生法律法规或《基金合同》规定的终止事项。</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（三）基金财产的清算</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2.基金财产清算小组组成：基金财产清算小组成员由基金管理人、基金托管人、具有从事</w:t>
      </w:r>
      <w:r>
        <w:rPr>
          <w:rFonts w:hint="eastAsia" w:ascii="宋体" w:hAnsi="宋体" w:cs="Arial"/>
          <w:szCs w:val="21"/>
        </w:rPr>
        <w:t>证券相关业务资格的注册会计师、律师以及中国证监会指定的人员组成。基金财产清算小组可以聘用必要的工作人员。</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4.基金财产清算程序：</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(1)《基金合同》终止情形出现时，由基金财产清算小组统一接管基金；</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(2)对基金财产和债权债务进行清理和确认；</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(3)对基金财产进行估值和变现；</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(4)制作清算报告；</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(5)聘请会计师事务所对清算报告进行外部审计，聘请律师事务所对清算报告出具法律意见书；</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(6)将清算报告报中国证监会备案并公告；</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(7)对基金剩余财产进行分配。</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5.基金财产清算的期限为6个月，但因本基金所持证券、基金的流动性受到限制而不能及时变现的，清算期限可相应顺延。</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6.清算费用</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清算费用是指基金财产清算小组在进行基金清算过程中发生的所有合理费用，清算费用由基金财产清算小组优先从基金财产中支付。</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7.基金财产清算剩余资产的分配</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依据基金财产清算的分配方案，将基金财产清算后的全部剩余资产扣除基金财产清算费用、交纳所欠税款并清偿基金债务后，按基金份额持有人持有的各类基金份额比例进行分配。</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8.基金财产清算的公告</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9.基金财产清算账册及文件的保存</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基金财产清算账册及有关文件由基金托管人保存，保存</w:t>
      </w:r>
      <w:r>
        <w:rPr>
          <w:rFonts w:hint="eastAsia" w:ascii="宋体" w:hAnsi="宋体" w:cs="Arial"/>
          <w:bCs/>
          <w:szCs w:val="21"/>
        </w:rPr>
        <w:t>期限</w:t>
      </w:r>
      <w:r>
        <w:rPr>
          <w:rFonts w:hint="eastAsia" w:ascii="宋体" w:hAnsi="宋体" w:cs="Arial"/>
          <w:szCs w:val="21"/>
        </w:rPr>
        <w:t>按照法律法规的规定执行。</w:t>
      </w:r>
    </w:p>
    <w:p>
      <w:pPr>
        <w:adjustRightInd w:val="0"/>
        <w:snapToGrid w:val="0"/>
        <w:spacing w:line="360" w:lineRule="auto"/>
        <w:rPr>
          <w:rFonts w:hint="eastAsia" w:ascii="宋体" w:hAnsi="宋体" w:cs="Arial"/>
          <w:szCs w:val="21"/>
        </w:rPr>
      </w:pPr>
    </w:p>
    <w:p>
      <w:pPr>
        <w:pStyle w:val="3"/>
        <w:spacing w:line="360" w:lineRule="auto"/>
        <w:jc w:val="center"/>
        <w:rPr>
          <w:rFonts w:hint="eastAsia" w:ascii="宋体" w:hAnsi="宋体" w:eastAsia="宋体"/>
          <w:sz w:val="21"/>
          <w:szCs w:val="21"/>
        </w:rPr>
      </w:pPr>
      <w:bookmarkStart w:id="116" w:name="_Toc124325901"/>
      <w:bookmarkStart w:id="117" w:name="_Toc233054451"/>
      <w:r>
        <w:rPr>
          <w:rFonts w:hint="eastAsia" w:ascii="宋体" w:hAnsi="宋体" w:eastAsia="宋体"/>
          <w:sz w:val="21"/>
          <w:szCs w:val="21"/>
        </w:rPr>
        <w:t>十七、违约责任</w:t>
      </w:r>
      <w:bookmarkEnd w:id="116"/>
      <w:bookmarkEnd w:id="117"/>
    </w:p>
    <w:p>
      <w:pPr>
        <w:spacing w:line="360" w:lineRule="auto"/>
        <w:ind w:firstLine="420" w:firstLineChars="200"/>
        <w:rPr>
          <w:rFonts w:hint="eastAsia" w:ascii="宋体" w:hAnsi="宋体" w:cs="Arial"/>
          <w:szCs w:val="21"/>
        </w:rPr>
      </w:pPr>
      <w:r>
        <w:rPr>
          <w:rFonts w:hint="eastAsia" w:ascii="宋体" w:hAnsi="宋体" w:cs="Arial"/>
          <w:szCs w:val="21"/>
        </w:rPr>
        <w:t>（一）基金管理人、基金托管人不履行本协议或履行本协议不符合约定的，应当承担违约责任。</w:t>
      </w:r>
    </w:p>
    <w:p>
      <w:pPr>
        <w:spacing w:line="360" w:lineRule="auto"/>
        <w:ind w:firstLine="420" w:firstLineChars="200"/>
        <w:rPr>
          <w:rFonts w:hint="eastAsia" w:ascii="宋体" w:hAnsi="宋体" w:cs="Arial"/>
          <w:szCs w:val="21"/>
        </w:rPr>
      </w:pPr>
      <w:r>
        <w:rPr>
          <w:rFonts w:hint="eastAsia" w:ascii="宋体" w:hAnsi="宋体" w:cs="Arial"/>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pPr>
        <w:spacing w:line="360" w:lineRule="auto"/>
        <w:ind w:firstLine="420" w:firstLineChars="200"/>
        <w:rPr>
          <w:rFonts w:hint="eastAsia" w:ascii="宋体" w:hAnsi="宋体" w:cs="Arial"/>
          <w:szCs w:val="21"/>
        </w:rPr>
      </w:pPr>
      <w:r>
        <w:rPr>
          <w:rFonts w:hint="eastAsia" w:ascii="宋体" w:hAnsi="宋体" w:cs="Arial"/>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pPr>
        <w:spacing w:line="360" w:lineRule="auto"/>
        <w:ind w:firstLine="420" w:firstLineChars="200"/>
        <w:rPr>
          <w:rFonts w:hint="eastAsia" w:ascii="宋体" w:hAnsi="宋体" w:cs="Arial"/>
          <w:szCs w:val="21"/>
        </w:rPr>
      </w:pPr>
      <w:r>
        <w:rPr>
          <w:rFonts w:ascii="宋体" w:hAnsi="宋体" w:cs="Arial"/>
          <w:szCs w:val="21"/>
        </w:rPr>
        <w:t>1.不可抗力；</w:t>
      </w:r>
    </w:p>
    <w:p>
      <w:pPr>
        <w:spacing w:line="360" w:lineRule="auto"/>
        <w:ind w:firstLine="420" w:firstLineChars="200"/>
        <w:rPr>
          <w:rFonts w:hint="eastAsia" w:ascii="宋体" w:hAnsi="宋体" w:cs="Arial"/>
          <w:szCs w:val="21"/>
        </w:rPr>
      </w:pPr>
      <w:r>
        <w:rPr>
          <w:rFonts w:ascii="宋体" w:hAnsi="宋体" w:cs="Arial"/>
          <w:szCs w:val="21"/>
        </w:rPr>
        <w:t>2.基金管理人、基金托管人按照当时有效的法律法规或中国证监会的规定作为或不作为而造成的损失等；</w:t>
      </w:r>
    </w:p>
    <w:p>
      <w:pPr>
        <w:spacing w:line="360" w:lineRule="auto"/>
        <w:ind w:firstLine="420" w:firstLineChars="200"/>
        <w:rPr>
          <w:rFonts w:hint="eastAsia" w:ascii="宋体" w:hAnsi="宋体" w:cs="Arial"/>
          <w:szCs w:val="21"/>
        </w:rPr>
      </w:pPr>
      <w:r>
        <w:rPr>
          <w:rFonts w:ascii="宋体" w:hAnsi="宋体" w:cs="Arial"/>
          <w:szCs w:val="21"/>
        </w:rPr>
        <w:t>3.在没有过错的情况下，基金管理人由于按照《基金合同》规定的投资原则投资或不投资造成的直接损失</w:t>
      </w:r>
      <w:bookmarkStart w:id="118" w:name="_Hlk177721194"/>
      <w:r>
        <w:rPr>
          <w:rFonts w:hint="eastAsia" w:ascii="宋体" w:hAnsi="宋体" w:cs="Arial"/>
          <w:szCs w:val="21"/>
        </w:rPr>
        <w:t>或潜在损失</w:t>
      </w:r>
      <w:bookmarkEnd w:id="118"/>
      <w:r>
        <w:rPr>
          <w:rFonts w:hint="eastAsia" w:ascii="宋体" w:hAnsi="宋体" w:cs="Arial"/>
          <w:szCs w:val="21"/>
        </w:rPr>
        <w:t>等。</w:t>
      </w:r>
    </w:p>
    <w:p>
      <w:pPr>
        <w:spacing w:line="360" w:lineRule="auto"/>
        <w:ind w:firstLine="420" w:firstLineChars="200"/>
        <w:rPr>
          <w:rFonts w:hint="eastAsia" w:ascii="宋体" w:hAnsi="宋体" w:cs="Arial"/>
          <w:szCs w:val="21"/>
        </w:rPr>
      </w:pPr>
      <w:r>
        <w:rPr>
          <w:rFonts w:ascii="宋体" w:hAnsi="宋体" w:cs="Arial"/>
          <w:szCs w:val="21"/>
        </w:rPr>
        <w:t>4.非因基金管理人、基金托管人的故意或重大过失造成的计算机系统故障、网络故障、通讯故障、电力故障、计算机病毒攻击及其它意外事故所导致的损失等。</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pPr>
        <w:spacing w:line="360" w:lineRule="auto"/>
        <w:ind w:firstLine="420" w:firstLineChars="200"/>
        <w:rPr>
          <w:rFonts w:hint="eastAsia" w:ascii="宋体" w:hAnsi="宋体" w:cs="Arial"/>
          <w:szCs w:val="21"/>
        </w:rPr>
      </w:pPr>
      <w:r>
        <w:rPr>
          <w:rFonts w:hint="eastAsia" w:ascii="宋体" w:hAnsi="宋体" w:cs="Arial"/>
          <w:szCs w:val="21"/>
        </w:rPr>
        <w:t>（五）违约行为虽已发生，但本托管协议能够继续履行的，在最大限度地保护基金份额持有人利益的前提下，基金管理人和基金托管人应当继续履行本协议。</w:t>
      </w:r>
    </w:p>
    <w:p>
      <w:pPr>
        <w:spacing w:line="360" w:lineRule="auto"/>
        <w:ind w:firstLine="420" w:firstLineChars="200"/>
        <w:rPr>
          <w:rFonts w:hint="eastAsia" w:ascii="宋体" w:hAnsi="宋体" w:cs="Arial"/>
          <w:szCs w:val="21"/>
        </w:rPr>
      </w:pPr>
      <w:r>
        <w:rPr>
          <w:rFonts w:hint="eastAsia" w:ascii="宋体" w:hAnsi="宋体" w:cs="Arial"/>
          <w:szCs w:val="21"/>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减轻或消除由此造成的影响。</w:t>
      </w:r>
    </w:p>
    <w:p>
      <w:pPr>
        <w:spacing w:line="360" w:lineRule="auto"/>
        <w:rPr>
          <w:rFonts w:hint="eastAsia" w:ascii="宋体" w:hAnsi="宋体" w:cs="Arial"/>
          <w:szCs w:val="21"/>
        </w:rPr>
      </w:pPr>
    </w:p>
    <w:p>
      <w:pPr>
        <w:pStyle w:val="3"/>
        <w:spacing w:line="360" w:lineRule="auto"/>
        <w:jc w:val="center"/>
        <w:rPr>
          <w:rFonts w:hint="eastAsia" w:ascii="宋体" w:hAnsi="宋体" w:eastAsia="宋体"/>
          <w:sz w:val="21"/>
          <w:szCs w:val="21"/>
        </w:rPr>
      </w:pPr>
      <w:bookmarkStart w:id="119" w:name="_Toc233054452"/>
      <w:bookmarkStart w:id="120" w:name="_Toc124325902"/>
      <w:r>
        <w:rPr>
          <w:rFonts w:hint="eastAsia" w:ascii="宋体" w:hAnsi="宋体" w:eastAsia="宋体"/>
          <w:sz w:val="21"/>
          <w:szCs w:val="21"/>
        </w:rPr>
        <w:t>十八、争议解决方式</w:t>
      </w:r>
      <w:bookmarkEnd w:id="119"/>
      <w:bookmarkEnd w:id="120"/>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因本协议产生或与之相关的争议，双方当事人应通过协商、调解解决，协商、调解不能解决的，任何一方均应当将争议提交</w:t>
      </w:r>
      <w:bookmarkStart w:id="121" w:name="_Hlk175759346"/>
      <w:r>
        <w:rPr>
          <w:rFonts w:hint="eastAsia" w:ascii="宋体" w:hAnsi="宋体" w:cs="Arial"/>
          <w:szCs w:val="21"/>
        </w:rPr>
        <w:t>中国国际经济贸易仲裁委员会</w:t>
      </w:r>
      <w:bookmarkEnd w:id="121"/>
      <w:r>
        <w:rPr>
          <w:rFonts w:hint="eastAsia" w:ascii="宋体" w:hAnsi="宋体" w:cs="Arial"/>
          <w:szCs w:val="21"/>
        </w:rPr>
        <w:t>，仲裁地点为北京市，按照中国国际经济贸易仲裁委员会届时有效的仲裁规则按照普通程序进行仲裁。仲裁裁决是终局的，对当事人均有约束力，除非仲裁裁决另有决定，仲裁费用由败诉方承担。</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争议处理期间，双方当事人应恪守基金管理人和基金托管人职责，各自继续忠实、勤勉、尽责地履行《基金合同》和本托管协议规定的义务，维护基金份额持有人的合法权益。</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本协议受中国法律（为本协议之目的，不包括香港特别行政区、澳门特别行政区和台湾地区法律）管辖并从其解释。</w:t>
      </w:r>
    </w:p>
    <w:p>
      <w:pPr>
        <w:adjustRightInd w:val="0"/>
        <w:snapToGrid w:val="0"/>
        <w:spacing w:line="360" w:lineRule="auto"/>
        <w:rPr>
          <w:rFonts w:hint="eastAsia" w:ascii="宋体" w:hAnsi="宋体" w:cs="Arial"/>
          <w:szCs w:val="21"/>
        </w:rPr>
      </w:pPr>
    </w:p>
    <w:p>
      <w:pPr>
        <w:pStyle w:val="3"/>
        <w:spacing w:line="360" w:lineRule="auto"/>
        <w:jc w:val="center"/>
        <w:rPr>
          <w:rFonts w:hint="eastAsia" w:ascii="宋体" w:hAnsi="宋体" w:eastAsia="宋体"/>
          <w:sz w:val="21"/>
          <w:szCs w:val="21"/>
        </w:rPr>
      </w:pPr>
      <w:bookmarkStart w:id="122" w:name="_Toc124325903"/>
      <w:bookmarkStart w:id="123" w:name="_Toc233054453"/>
      <w:r>
        <w:rPr>
          <w:rFonts w:hint="eastAsia" w:ascii="宋体" w:hAnsi="宋体" w:eastAsia="宋体"/>
          <w:sz w:val="21"/>
          <w:szCs w:val="21"/>
        </w:rPr>
        <w:t>十九、托管协议的效力</w:t>
      </w:r>
      <w:bookmarkEnd w:id="122"/>
      <w:bookmarkEnd w:id="123"/>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双方对托管协议的效力约定如下：</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基金管理人在向中国证监会申请发售基金份额时提交的托管协议草案，应经托管协议当事人双方加盖公章或合同专业章以及双方法定代表人或授权代表签字（或盖章），协议当事人双方根据中国证监会的意见修改托管协议草案。托管协议以中国证监会备案的文本为正式文本。</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（二）托管协议自《基金合同》成立之日起成立，自《基金合同》生效之日起生效。托管协议的有效期自其生效之日起至基金财产清算结果报中国证监会备案并公告之日止。</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（三）托管协议自生效之日起对托管协议当事人具有同等的法律约束力。</w:t>
      </w:r>
    </w:p>
    <w:p>
      <w:pPr>
        <w:adjustRightInd w:val="0"/>
        <w:snapToGrid w:val="0"/>
        <w:spacing w:line="360" w:lineRule="auto"/>
        <w:ind w:firstLine="420" w:firstLineChars="200"/>
        <w:rPr>
          <w:rFonts w:hint="eastAsia" w:ascii="宋体" w:hAnsi="宋体"/>
          <w:szCs w:val="21"/>
        </w:rPr>
      </w:pPr>
      <w:r>
        <w:rPr>
          <w:rFonts w:hint="eastAsia" w:ascii="宋体" w:hAnsi="宋体" w:cs="Arial"/>
          <w:szCs w:val="21"/>
        </w:rPr>
        <w:t>（四）本协议一式六份，协议双方各持二份，上报监管机构二份，每份具有同等的法律效力。</w:t>
      </w:r>
    </w:p>
    <w:p>
      <w:pPr>
        <w:adjustRightInd w:val="0"/>
        <w:snapToGrid w:val="0"/>
        <w:spacing w:line="360" w:lineRule="auto"/>
        <w:rPr>
          <w:rFonts w:hint="eastAsia" w:ascii="宋体" w:hAnsi="宋体" w:cs="Arial"/>
          <w:szCs w:val="21"/>
        </w:rPr>
      </w:pPr>
    </w:p>
    <w:p>
      <w:pPr>
        <w:pStyle w:val="3"/>
        <w:spacing w:line="360" w:lineRule="auto"/>
        <w:jc w:val="center"/>
        <w:rPr>
          <w:rFonts w:hint="eastAsia" w:ascii="宋体" w:hAnsi="宋体" w:eastAsia="宋体"/>
          <w:sz w:val="21"/>
          <w:szCs w:val="21"/>
        </w:rPr>
      </w:pPr>
      <w:bookmarkStart w:id="124" w:name="_Toc124325904"/>
      <w:bookmarkStart w:id="125" w:name="_Toc233054454"/>
      <w:r>
        <w:rPr>
          <w:rFonts w:hint="eastAsia" w:ascii="宋体" w:hAnsi="宋体" w:eastAsia="宋体"/>
          <w:sz w:val="21"/>
          <w:szCs w:val="21"/>
        </w:rPr>
        <w:t>二十、其他事项</w:t>
      </w:r>
      <w:bookmarkEnd w:id="124"/>
      <w:bookmarkEnd w:id="125"/>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如发生有权司法机关依法冻结基金份额持有人的基金份额时，基金管理人应予以配合，承担司法协助义务。</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除本协议有明确定义外，本协议的用语定义适用《基金合同》的约定。本协议未尽事宜，当事人依据《基金合同》、有关法律法规等规定协商办理。</w:t>
      </w:r>
    </w:p>
    <w:p>
      <w:pPr>
        <w:adjustRightInd w:val="0"/>
        <w:snapToGrid w:val="0"/>
        <w:spacing w:line="360" w:lineRule="auto"/>
        <w:rPr>
          <w:rFonts w:hint="eastAsia" w:ascii="宋体" w:hAnsi="宋体"/>
          <w:b/>
          <w:bCs/>
          <w:szCs w:val="21"/>
        </w:rPr>
      </w:pPr>
    </w:p>
    <w:p>
      <w:pPr>
        <w:pStyle w:val="3"/>
        <w:spacing w:line="360" w:lineRule="auto"/>
        <w:jc w:val="center"/>
        <w:rPr>
          <w:rFonts w:hint="eastAsia" w:ascii="宋体" w:hAnsi="宋体" w:eastAsia="宋体"/>
          <w:sz w:val="21"/>
          <w:szCs w:val="21"/>
        </w:rPr>
      </w:pPr>
      <w:bookmarkStart w:id="126" w:name="_Toc233054455"/>
      <w:bookmarkStart w:id="127" w:name="_Toc124325905"/>
      <w:r>
        <w:rPr>
          <w:rFonts w:hint="eastAsia" w:ascii="宋体" w:hAnsi="宋体" w:eastAsia="宋体"/>
          <w:sz w:val="21"/>
          <w:szCs w:val="21"/>
        </w:rPr>
        <w:t>二十一、托管协议的签订</w:t>
      </w:r>
      <w:bookmarkEnd w:id="126"/>
      <w:bookmarkEnd w:id="127"/>
    </w:p>
    <w:p>
      <w:pPr>
        <w:adjustRightInd w:val="0"/>
        <w:snapToGrid w:val="0"/>
        <w:spacing w:line="360" w:lineRule="auto"/>
        <w:ind w:firstLine="420" w:firstLineChars="200"/>
        <w:rPr>
          <w:rFonts w:hint="eastAsia" w:ascii="宋体" w:hAnsi="宋体"/>
          <w:szCs w:val="21"/>
        </w:rPr>
      </w:pPr>
      <w:r>
        <w:rPr>
          <w:rFonts w:hint="eastAsia" w:ascii="宋体" w:hAnsi="宋体" w:cs="Arial"/>
          <w:szCs w:val="21"/>
        </w:rPr>
        <w:t>本协议双方法定代表人或授权代表签字或盖章并加盖双方公章或合同专用章，并列明签订地、签订日。</w:t>
      </w:r>
    </w:p>
    <w:p>
      <w:pPr>
        <w:widowControl/>
        <w:jc w:val="left"/>
        <w:rPr>
          <w:rFonts w:hint="eastAsia" w:ascii="宋体" w:hAnsi="宋体"/>
          <w:szCs w:val="21"/>
        </w:rPr>
      </w:pPr>
      <w:bookmarkStart w:id="128" w:name="_GoBack"/>
      <w:bookmarkEnd w:id="128"/>
    </w:p>
    <w:sectPr>
      <w:headerReference r:id="rId5" w:type="default"/>
      <w:footerReference r:id="rId6"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宋体"/>
    <w:panose1 w:val="02010609030101010101"/>
    <w:charset w:val="86"/>
    <w:family w:val="modern"/>
    <w:pitch w:val="default"/>
    <w:sig w:usb0="00000000" w:usb1="00000000" w:usb2="00000010" w:usb3="00000000" w:csb0="00040000" w:csb1="00000000"/>
  </w:font>
  <w:font w:name="方正仿宋简体">
    <w:altName w:val="方正仿宋_GBK"/>
    <w:panose1 w:val="00000000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roman"/>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楷体_GB2312">
    <w:altName w:val="宋体"/>
    <w:panose1 w:val="02010609030101010101"/>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彩虹粗仿宋">
    <w:panose1 w:val="03000509000000000000"/>
    <w:charset w:val="86"/>
    <w:family w:val="script"/>
    <w:pitch w:val="default"/>
    <w:sig w:usb0="00000001" w:usb1="080E0000" w:usb2="00000000" w:usb3="00000000" w:csb0="00040000" w:csb1="00000000"/>
  </w:font>
  <w:font w:name="方正宋体-人口信息">
    <w:panose1 w:val="02000000000000000000"/>
    <w:charset w:val="86"/>
    <w:family w:val="auto"/>
    <w:pitch w:val="default"/>
    <w:sig w:usb0="A00002BF" w:usb1="38CFFCFA" w:usb2="00000016" w:usb3="00000008" w:csb0="6004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华夏中证REITs全收益指数证券投资基金托管协议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F"/>
    <w:rsid w:val="000024F9"/>
    <w:rsid w:val="000065D9"/>
    <w:rsid w:val="00015340"/>
    <w:rsid w:val="00016083"/>
    <w:rsid w:val="00017FC0"/>
    <w:rsid w:val="00020B76"/>
    <w:rsid w:val="00025EBB"/>
    <w:rsid w:val="000334B8"/>
    <w:rsid w:val="00033697"/>
    <w:rsid w:val="00043538"/>
    <w:rsid w:val="000477BB"/>
    <w:rsid w:val="00052DD1"/>
    <w:rsid w:val="00055B8E"/>
    <w:rsid w:val="00060BE3"/>
    <w:rsid w:val="000662BB"/>
    <w:rsid w:val="00066C5E"/>
    <w:rsid w:val="0007276D"/>
    <w:rsid w:val="00075420"/>
    <w:rsid w:val="00081B36"/>
    <w:rsid w:val="000836E4"/>
    <w:rsid w:val="000841AB"/>
    <w:rsid w:val="00085734"/>
    <w:rsid w:val="000865A6"/>
    <w:rsid w:val="0009125B"/>
    <w:rsid w:val="00091D1E"/>
    <w:rsid w:val="00092B02"/>
    <w:rsid w:val="000A0DC9"/>
    <w:rsid w:val="000A131C"/>
    <w:rsid w:val="000A6320"/>
    <w:rsid w:val="000A67AD"/>
    <w:rsid w:val="000B3EC2"/>
    <w:rsid w:val="000B6015"/>
    <w:rsid w:val="000B6BF5"/>
    <w:rsid w:val="000C0991"/>
    <w:rsid w:val="000C1DB4"/>
    <w:rsid w:val="000D45A1"/>
    <w:rsid w:val="000D7113"/>
    <w:rsid w:val="000F0982"/>
    <w:rsid w:val="000F2AE0"/>
    <w:rsid w:val="000F5ED3"/>
    <w:rsid w:val="00100B98"/>
    <w:rsid w:val="00106808"/>
    <w:rsid w:val="00106FDD"/>
    <w:rsid w:val="00107C43"/>
    <w:rsid w:val="001125C9"/>
    <w:rsid w:val="00124CA3"/>
    <w:rsid w:val="00132C6D"/>
    <w:rsid w:val="001348E9"/>
    <w:rsid w:val="00135594"/>
    <w:rsid w:val="0014099C"/>
    <w:rsid w:val="0015074B"/>
    <w:rsid w:val="00164615"/>
    <w:rsid w:val="0016573A"/>
    <w:rsid w:val="00165A4F"/>
    <w:rsid w:val="00171A58"/>
    <w:rsid w:val="00171BEB"/>
    <w:rsid w:val="001724C7"/>
    <w:rsid w:val="00174A5C"/>
    <w:rsid w:val="0018537F"/>
    <w:rsid w:val="00187A0D"/>
    <w:rsid w:val="00193522"/>
    <w:rsid w:val="00197230"/>
    <w:rsid w:val="001A3B29"/>
    <w:rsid w:val="001A4A8C"/>
    <w:rsid w:val="001B1F3B"/>
    <w:rsid w:val="001B785B"/>
    <w:rsid w:val="001C05A5"/>
    <w:rsid w:val="001D23CA"/>
    <w:rsid w:val="001D76FC"/>
    <w:rsid w:val="001E0E74"/>
    <w:rsid w:val="001E201A"/>
    <w:rsid w:val="001E3FBF"/>
    <w:rsid w:val="002003A2"/>
    <w:rsid w:val="002034B0"/>
    <w:rsid w:val="00203CEB"/>
    <w:rsid w:val="00212970"/>
    <w:rsid w:val="002173F8"/>
    <w:rsid w:val="00227208"/>
    <w:rsid w:val="00230FA1"/>
    <w:rsid w:val="00232A1C"/>
    <w:rsid w:val="00232F7F"/>
    <w:rsid w:val="002358C1"/>
    <w:rsid w:val="00244216"/>
    <w:rsid w:val="00245E2E"/>
    <w:rsid w:val="00246219"/>
    <w:rsid w:val="00251A06"/>
    <w:rsid w:val="00263917"/>
    <w:rsid w:val="0026412C"/>
    <w:rsid w:val="002641D1"/>
    <w:rsid w:val="002675F3"/>
    <w:rsid w:val="002733AC"/>
    <w:rsid w:val="00274EA9"/>
    <w:rsid w:val="002825A4"/>
    <w:rsid w:val="0028293D"/>
    <w:rsid w:val="00297FCD"/>
    <w:rsid w:val="002A3C3D"/>
    <w:rsid w:val="002B4247"/>
    <w:rsid w:val="002B63D4"/>
    <w:rsid w:val="002C0D68"/>
    <w:rsid w:val="002C1835"/>
    <w:rsid w:val="002C4245"/>
    <w:rsid w:val="002D399D"/>
    <w:rsid w:val="002D5DBF"/>
    <w:rsid w:val="002D640A"/>
    <w:rsid w:val="002E19A7"/>
    <w:rsid w:val="002E4146"/>
    <w:rsid w:val="002F4A98"/>
    <w:rsid w:val="00303FBE"/>
    <w:rsid w:val="00310468"/>
    <w:rsid w:val="00316CDC"/>
    <w:rsid w:val="0032124B"/>
    <w:rsid w:val="003219C4"/>
    <w:rsid w:val="00324864"/>
    <w:rsid w:val="00325859"/>
    <w:rsid w:val="00335E13"/>
    <w:rsid w:val="00336B0A"/>
    <w:rsid w:val="003422C2"/>
    <w:rsid w:val="00343DF9"/>
    <w:rsid w:val="00350C44"/>
    <w:rsid w:val="003512F7"/>
    <w:rsid w:val="00353E40"/>
    <w:rsid w:val="00356066"/>
    <w:rsid w:val="003567CD"/>
    <w:rsid w:val="00357BB8"/>
    <w:rsid w:val="00361048"/>
    <w:rsid w:val="003611B9"/>
    <w:rsid w:val="003631A7"/>
    <w:rsid w:val="00363BA7"/>
    <w:rsid w:val="0037176F"/>
    <w:rsid w:val="003751D1"/>
    <w:rsid w:val="00383FBF"/>
    <w:rsid w:val="003868A8"/>
    <w:rsid w:val="0039110D"/>
    <w:rsid w:val="00391FB0"/>
    <w:rsid w:val="00394056"/>
    <w:rsid w:val="003A4EEC"/>
    <w:rsid w:val="003A7F00"/>
    <w:rsid w:val="003B1C14"/>
    <w:rsid w:val="003B46F9"/>
    <w:rsid w:val="003B63C0"/>
    <w:rsid w:val="003B7E82"/>
    <w:rsid w:val="003C13FB"/>
    <w:rsid w:val="003C6BBA"/>
    <w:rsid w:val="003E1382"/>
    <w:rsid w:val="003E1ADA"/>
    <w:rsid w:val="003E1E8E"/>
    <w:rsid w:val="003F0D6B"/>
    <w:rsid w:val="00401831"/>
    <w:rsid w:val="004045F9"/>
    <w:rsid w:val="004070BF"/>
    <w:rsid w:val="004103A2"/>
    <w:rsid w:val="00415F65"/>
    <w:rsid w:val="00423E76"/>
    <w:rsid w:val="004252DC"/>
    <w:rsid w:val="004268F0"/>
    <w:rsid w:val="00432F60"/>
    <w:rsid w:val="00433C78"/>
    <w:rsid w:val="0043423D"/>
    <w:rsid w:val="004475B8"/>
    <w:rsid w:val="004552ED"/>
    <w:rsid w:val="004569BE"/>
    <w:rsid w:val="004606C9"/>
    <w:rsid w:val="00467D8B"/>
    <w:rsid w:val="00470D80"/>
    <w:rsid w:val="00472D5F"/>
    <w:rsid w:val="00477356"/>
    <w:rsid w:val="0047762F"/>
    <w:rsid w:val="004800D0"/>
    <w:rsid w:val="004820FE"/>
    <w:rsid w:val="00492C65"/>
    <w:rsid w:val="0049354E"/>
    <w:rsid w:val="004A1E71"/>
    <w:rsid w:val="004A2465"/>
    <w:rsid w:val="004A6368"/>
    <w:rsid w:val="004B3796"/>
    <w:rsid w:val="004B6C56"/>
    <w:rsid w:val="004C1330"/>
    <w:rsid w:val="004C19B4"/>
    <w:rsid w:val="004C1CF8"/>
    <w:rsid w:val="004D1298"/>
    <w:rsid w:val="004D3582"/>
    <w:rsid w:val="004D659A"/>
    <w:rsid w:val="004E101D"/>
    <w:rsid w:val="004E25EB"/>
    <w:rsid w:val="004E6F8A"/>
    <w:rsid w:val="004F0DEF"/>
    <w:rsid w:val="004F5196"/>
    <w:rsid w:val="0050027A"/>
    <w:rsid w:val="00501CF4"/>
    <w:rsid w:val="00510EBA"/>
    <w:rsid w:val="00525524"/>
    <w:rsid w:val="00542BD6"/>
    <w:rsid w:val="005500B0"/>
    <w:rsid w:val="00577B67"/>
    <w:rsid w:val="005861B2"/>
    <w:rsid w:val="00590B7F"/>
    <w:rsid w:val="00591D1B"/>
    <w:rsid w:val="00591EB4"/>
    <w:rsid w:val="00593605"/>
    <w:rsid w:val="0059405A"/>
    <w:rsid w:val="005A2446"/>
    <w:rsid w:val="005B3BF3"/>
    <w:rsid w:val="005B3C7E"/>
    <w:rsid w:val="005D129B"/>
    <w:rsid w:val="005D2018"/>
    <w:rsid w:val="005D6A9F"/>
    <w:rsid w:val="005D71F6"/>
    <w:rsid w:val="005E17DA"/>
    <w:rsid w:val="005E1B2B"/>
    <w:rsid w:val="005E654C"/>
    <w:rsid w:val="005E7D65"/>
    <w:rsid w:val="005F3A20"/>
    <w:rsid w:val="005F4C60"/>
    <w:rsid w:val="006126F0"/>
    <w:rsid w:val="00613F05"/>
    <w:rsid w:val="006147C0"/>
    <w:rsid w:val="00614F24"/>
    <w:rsid w:val="00616CEF"/>
    <w:rsid w:val="00624816"/>
    <w:rsid w:val="00626EC3"/>
    <w:rsid w:val="00633AF1"/>
    <w:rsid w:val="00634F7C"/>
    <w:rsid w:val="0063571B"/>
    <w:rsid w:val="006358B1"/>
    <w:rsid w:val="00642A8A"/>
    <w:rsid w:val="00645DC7"/>
    <w:rsid w:val="00654841"/>
    <w:rsid w:val="0065627F"/>
    <w:rsid w:val="00661CA3"/>
    <w:rsid w:val="00663370"/>
    <w:rsid w:val="0067018A"/>
    <w:rsid w:val="0067121F"/>
    <w:rsid w:val="00676E2E"/>
    <w:rsid w:val="006838DC"/>
    <w:rsid w:val="0068629F"/>
    <w:rsid w:val="0069652F"/>
    <w:rsid w:val="006A24AF"/>
    <w:rsid w:val="006A5F59"/>
    <w:rsid w:val="006A7606"/>
    <w:rsid w:val="006B13D5"/>
    <w:rsid w:val="006B4273"/>
    <w:rsid w:val="006B5312"/>
    <w:rsid w:val="006B7E86"/>
    <w:rsid w:val="006C2861"/>
    <w:rsid w:val="006C799B"/>
    <w:rsid w:val="006D0EA5"/>
    <w:rsid w:val="006D566D"/>
    <w:rsid w:val="006D7F86"/>
    <w:rsid w:val="006E7C25"/>
    <w:rsid w:val="006F779C"/>
    <w:rsid w:val="00706191"/>
    <w:rsid w:val="00710218"/>
    <w:rsid w:val="00710C96"/>
    <w:rsid w:val="00726310"/>
    <w:rsid w:val="00734FDC"/>
    <w:rsid w:val="0073607B"/>
    <w:rsid w:val="0074065C"/>
    <w:rsid w:val="007415BF"/>
    <w:rsid w:val="00744053"/>
    <w:rsid w:val="0075591A"/>
    <w:rsid w:val="007559FC"/>
    <w:rsid w:val="00755C13"/>
    <w:rsid w:val="00764918"/>
    <w:rsid w:val="00765ED3"/>
    <w:rsid w:val="007721C3"/>
    <w:rsid w:val="007748AD"/>
    <w:rsid w:val="00775F3A"/>
    <w:rsid w:val="00780ABF"/>
    <w:rsid w:val="007830BC"/>
    <w:rsid w:val="00791508"/>
    <w:rsid w:val="00795194"/>
    <w:rsid w:val="007A5C83"/>
    <w:rsid w:val="007B0B02"/>
    <w:rsid w:val="007C0696"/>
    <w:rsid w:val="007C1DDB"/>
    <w:rsid w:val="007C268E"/>
    <w:rsid w:val="007C51B4"/>
    <w:rsid w:val="007D6157"/>
    <w:rsid w:val="007F064D"/>
    <w:rsid w:val="007F06E2"/>
    <w:rsid w:val="007F3D68"/>
    <w:rsid w:val="007F619B"/>
    <w:rsid w:val="007F62F9"/>
    <w:rsid w:val="007F6E16"/>
    <w:rsid w:val="008000FE"/>
    <w:rsid w:val="0080732A"/>
    <w:rsid w:val="00816B6A"/>
    <w:rsid w:val="00820193"/>
    <w:rsid w:val="00820591"/>
    <w:rsid w:val="008236A5"/>
    <w:rsid w:val="0083046C"/>
    <w:rsid w:val="008309AF"/>
    <w:rsid w:val="008350E5"/>
    <w:rsid w:val="00837402"/>
    <w:rsid w:val="0083783A"/>
    <w:rsid w:val="00841E93"/>
    <w:rsid w:val="0084553F"/>
    <w:rsid w:val="008474ED"/>
    <w:rsid w:val="00847DD3"/>
    <w:rsid w:val="00850426"/>
    <w:rsid w:val="0085689A"/>
    <w:rsid w:val="00862043"/>
    <w:rsid w:val="008675B8"/>
    <w:rsid w:val="0087125E"/>
    <w:rsid w:val="00872089"/>
    <w:rsid w:val="00875BA4"/>
    <w:rsid w:val="00877B70"/>
    <w:rsid w:val="008808FD"/>
    <w:rsid w:val="008830A6"/>
    <w:rsid w:val="00891319"/>
    <w:rsid w:val="00893076"/>
    <w:rsid w:val="00893F96"/>
    <w:rsid w:val="008A1CEC"/>
    <w:rsid w:val="008A46A5"/>
    <w:rsid w:val="008B112F"/>
    <w:rsid w:val="008B79CC"/>
    <w:rsid w:val="008C0954"/>
    <w:rsid w:val="008C0AC9"/>
    <w:rsid w:val="008C288B"/>
    <w:rsid w:val="008D3434"/>
    <w:rsid w:val="008E0BAD"/>
    <w:rsid w:val="008E25B6"/>
    <w:rsid w:val="008F08D7"/>
    <w:rsid w:val="008F23A8"/>
    <w:rsid w:val="008F57B2"/>
    <w:rsid w:val="00903903"/>
    <w:rsid w:val="00905B14"/>
    <w:rsid w:val="00906B21"/>
    <w:rsid w:val="009127E8"/>
    <w:rsid w:val="00912F8C"/>
    <w:rsid w:val="0091304D"/>
    <w:rsid w:val="0091596D"/>
    <w:rsid w:val="00916DE8"/>
    <w:rsid w:val="009204E9"/>
    <w:rsid w:val="00920988"/>
    <w:rsid w:val="00927782"/>
    <w:rsid w:val="00934AF7"/>
    <w:rsid w:val="0093578F"/>
    <w:rsid w:val="009379DA"/>
    <w:rsid w:val="009407CB"/>
    <w:rsid w:val="009428F5"/>
    <w:rsid w:val="00944468"/>
    <w:rsid w:val="0094764D"/>
    <w:rsid w:val="00953FA5"/>
    <w:rsid w:val="009559CC"/>
    <w:rsid w:val="00967A78"/>
    <w:rsid w:val="00967B4F"/>
    <w:rsid w:val="00976406"/>
    <w:rsid w:val="00981311"/>
    <w:rsid w:val="00991CCD"/>
    <w:rsid w:val="009A0D80"/>
    <w:rsid w:val="009B16A7"/>
    <w:rsid w:val="009D5A17"/>
    <w:rsid w:val="009D60E2"/>
    <w:rsid w:val="009D6644"/>
    <w:rsid w:val="009D76C4"/>
    <w:rsid w:val="009E0F24"/>
    <w:rsid w:val="009F262F"/>
    <w:rsid w:val="009F2F01"/>
    <w:rsid w:val="009F384A"/>
    <w:rsid w:val="009F59DC"/>
    <w:rsid w:val="009F6A69"/>
    <w:rsid w:val="009F7926"/>
    <w:rsid w:val="00A018D7"/>
    <w:rsid w:val="00A02B86"/>
    <w:rsid w:val="00A02ED3"/>
    <w:rsid w:val="00A06274"/>
    <w:rsid w:val="00A123EA"/>
    <w:rsid w:val="00A15A53"/>
    <w:rsid w:val="00A16563"/>
    <w:rsid w:val="00A21157"/>
    <w:rsid w:val="00A2272D"/>
    <w:rsid w:val="00A22DF3"/>
    <w:rsid w:val="00A24D34"/>
    <w:rsid w:val="00A24F7D"/>
    <w:rsid w:val="00A25C24"/>
    <w:rsid w:val="00A262F2"/>
    <w:rsid w:val="00A36003"/>
    <w:rsid w:val="00A3792C"/>
    <w:rsid w:val="00A564FD"/>
    <w:rsid w:val="00A6029A"/>
    <w:rsid w:val="00A606FD"/>
    <w:rsid w:val="00A60929"/>
    <w:rsid w:val="00A63942"/>
    <w:rsid w:val="00A71C50"/>
    <w:rsid w:val="00A72217"/>
    <w:rsid w:val="00A7255A"/>
    <w:rsid w:val="00A74063"/>
    <w:rsid w:val="00A74228"/>
    <w:rsid w:val="00A76924"/>
    <w:rsid w:val="00A82D35"/>
    <w:rsid w:val="00A83C38"/>
    <w:rsid w:val="00A843F4"/>
    <w:rsid w:val="00A8441F"/>
    <w:rsid w:val="00A875F7"/>
    <w:rsid w:val="00A936A1"/>
    <w:rsid w:val="00A965E8"/>
    <w:rsid w:val="00A976C3"/>
    <w:rsid w:val="00AA1579"/>
    <w:rsid w:val="00AA548B"/>
    <w:rsid w:val="00AB1BE8"/>
    <w:rsid w:val="00AB22F2"/>
    <w:rsid w:val="00AB23A9"/>
    <w:rsid w:val="00AB29B7"/>
    <w:rsid w:val="00AC2F84"/>
    <w:rsid w:val="00AC707B"/>
    <w:rsid w:val="00AD1C13"/>
    <w:rsid w:val="00AD21CA"/>
    <w:rsid w:val="00AF40D0"/>
    <w:rsid w:val="00AF56E4"/>
    <w:rsid w:val="00AF7C6D"/>
    <w:rsid w:val="00B069F6"/>
    <w:rsid w:val="00B07185"/>
    <w:rsid w:val="00B079D3"/>
    <w:rsid w:val="00B10884"/>
    <w:rsid w:val="00B14F0A"/>
    <w:rsid w:val="00B2400F"/>
    <w:rsid w:val="00B26E20"/>
    <w:rsid w:val="00B278A3"/>
    <w:rsid w:val="00B34E98"/>
    <w:rsid w:val="00B34FD6"/>
    <w:rsid w:val="00B36597"/>
    <w:rsid w:val="00B36989"/>
    <w:rsid w:val="00B36D7C"/>
    <w:rsid w:val="00B435EF"/>
    <w:rsid w:val="00B51686"/>
    <w:rsid w:val="00B539EE"/>
    <w:rsid w:val="00B53BDB"/>
    <w:rsid w:val="00B60AC3"/>
    <w:rsid w:val="00B6113B"/>
    <w:rsid w:val="00B629DF"/>
    <w:rsid w:val="00B6463F"/>
    <w:rsid w:val="00B649FE"/>
    <w:rsid w:val="00B673DD"/>
    <w:rsid w:val="00B71F10"/>
    <w:rsid w:val="00B74707"/>
    <w:rsid w:val="00B778DE"/>
    <w:rsid w:val="00B779D3"/>
    <w:rsid w:val="00B77E96"/>
    <w:rsid w:val="00B812C8"/>
    <w:rsid w:val="00B8225A"/>
    <w:rsid w:val="00B84672"/>
    <w:rsid w:val="00B86544"/>
    <w:rsid w:val="00B876E3"/>
    <w:rsid w:val="00B9016C"/>
    <w:rsid w:val="00B9408B"/>
    <w:rsid w:val="00B96941"/>
    <w:rsid w:val="00BA27AF"/>
    <w:rsid w:val="00BA55B7"/>
    <w:rsid w:val="00BA6047"/>
    <w:rsid w:val="00BB43C6"/>
    <w:rsid w:val="00BB5D1C"/>
    <w:rsid w:val="00BC3322"/>
    <w:rsid w:val="00BC43DE"/>
    <w:rsid w:val="00BD039F"/>
    <w:rsid w:val="00BD1268"/>
    <w:rsid w:val="00BD55DA"/>
    <w:rsid w:val="00BD587D"/>
    <w:rsid w:val="00BD6BC7"/>
    <w:rsid w:val="00BE21E1"/>
    <w:rsid w:val="00BE3E42"/>
    <w:rsid w:val="00BF0ADF"/>
    <w:rsid w:val="00BF1608"/>
    <w:rsid w:val="00BF7A74"/>
    <w:rsid w:val="00C11B14"/>
    <w:rsid w:val="00C127A4"/>
    <w:rsid w:val="00C16971"/>
    <w:rsid w:val="00C25C70"/>
    <w:rsid w:val="00C350CD"/>
    <w:rsid w:val="00C404F7"/>
    <w:rsid w:val="00C5268F"/>
    <w:rsid w:val="00C52B29"/>
    <w:rsid w:val="00C53F93"/>
    <w:rsid w:val="00C635D4"/>
    <w:rsid w:val="00C63E51"/>
    <w:rsid w:val="00C71991"/>
    <w:rsid w:val="00C73F74"/>
    <w:rsid w:val="00C775F4"/>
    <w:rsid w:val="00C803D7"/>
    <w:rsid w:val="00C8374D"/>
    <w:rsid w:val="00C8703E"/>
    <w:rsid w:val="00C90423"/>
    <w:rsid w:val="00C9208D"/>
    <w:rsid w:val="00C92E3C"/>
    <w:rsid w:val="00C94389"/>
    <w:rsid w:val="00CA0C04"/>
    <w:rsid w:val="00CB0192"/>
    <w:rsid w:val="00CB2ED9"/>
    <w:rsid w:val="00CC4D9B"/>
    <w:rsid w:val="00CD6844"/>
    <w:rsid w:val="00CD75A2"/>
    <w:rsid w:val="00CF130A"/>
    <w:rsid w:val="00CF1611"/>
    <w:rsid w:val="00CF7D07"/>
    <w:rsid w:val="00D00251"/>
    <w:rsid w:val="00D1676A"/>
    <w:rsid w:val="00D25BFB"/>
    <w:rsid w:val="00D318C1"/>
    <w:rsid w:val="00D33B26"/>
    <w:rsid w:val="00D33B2F"/>
    <w:rsid w:val="00D37EB8"/>
    <w:rsid w:val="00D421CF"/>
    <w:rsid w:val="00D440B4"/>
    <w:rsid w:val="00D52A81"/>
    <w:rsid w:val="00D53A68"/>
    <w:rsid w:val="00D54800"/>
    <w:rsid w:val="00D561E3"/>
    <w:rsid w:val="00D64C37"/>
    <w:rsid w:val="00D64DFE"/>
    <w:rsid w:val="00D654BA"/>
    <w:rsid w:val="00D65C0B"/>
    <w:rsid w:val="00D71CD5"/>
    <w:rsid w:val="00D74460"/>
    <w:rsid w:val="00D83EAA"/>
    <w:rsid w:val="00D86008"/>
    <w:rsid w:val="00D87A49"/>
    <w:rsid w:val="00D92AF5"/>
    <w:rsid w:val="00D92D69"/>
    <w:rsid w:val="00D94781"/>
    <w:rsid w:val="00D976A5"/>
    <w:rsid w:val="00DA0314"/>
    <w:rsid w:val="00DA05A2"/>
    <w:rsid w:val="00DA0D37"/>
    <w:rsid w:val="00DA356F"/>
    <w:rsid w:val="00DA48BB"/>
    <w:rsid w:val="00DB1C9C"/>
    <w:rsid w:val="00DB37BB"/>
    <w:rsid w:val="00DB66E7"/>
    <w:rsid w:val="00DC6F91"/>
    <w:rsid w:val="00DD4E54"/>
    <w:rsid w:val="00DD6CE1"/>
    <w:rsid w:val="00DE0E6F"/>
    <w:rsid w:val="00DE4342"/>
    <w:rsid w:val="00DE6168"/>
    <w:rsid w:val="00DE6C24"/>
    <w:rsid w:val="00DF2E52"/>
    <w:rsid w:val="00DF3A43"/>
    <w:rsid w:val="00DF68BF"/>
    <w:rsid w:val="00E0437B"/>
    <w:rsid w:val="00E05376"/>
    <w:rsid w:val="00E05C5F"/>
    <w:rsid w:val="00E05F79"/>
    <w:rsid w:val="00E10C87"/>
    <w:rsid w:val="00E13241"/>
    <w:rsid w:val="00E32530"/>
    <w:rsid w:val="00E41DE3"/>
    <w:rsid w:val="00E507FF"/>
    <w:rsid w:val="00E538B1"/>
    <w:rsid w:val="00E54677"/>
    <w:rsid w:val="00E616E5"/>
    <w:rsid w:val="00E62B59"/>
    <w:rsid w:val="00E649F9"/>
    <w:rsid w:val="00E66576"/>
    <w:rsid w:val="00E77B6A"/>
    <w:rsid w:val="00E87FD2"/>
    <w:rsid w:val="00E937EB"/>
    <w:rsid w:val="00EA159F"/>
    <w:rsid w:val="00EA2E84"/>
    <w:rsid w:val="00EA3141"/>
    <w:rsid w:val="00EA6276"/>
    <w:rsid w:val="00EA773B"/>
    <w:rsid w:val="00EB1DAA"/>
    <w:rsid w:val="00EB4102"/>
    <w:rsid w:val="00EB6F74"/>
    <w:rsid w:val="00EB7669"/>
    <w:rsid w:val="00EB7A87"/>
    <w:rsid w:val="00EC1FA8"/>
    <w:rsid w:val="00EC2B4D"/>
    <w:rsid w:val="00EC2E22"/>
    <w:rsid w:val="00EC3791"/>
    <w:rsid w:val="00EC5CDF"/>
    <w:rsid w:val="00ED022E"/>
    <w:rsid w:val="00ED5708"/>
    <w:rsid w:val="00ED6F51"/>
    <w:rsid w:val="00EE2BE5"/>
    <w:rsid w:val="00EE79BA"/>
    <w:rsid w:val="00EF5CF7"/>
    <w:rsid w:val="00F06B6A"/>
    <w:rsid w:val="00F078D6"/>
    <w:rsid w:val="00F137FF"/>
    <w:rsid w:val="00F14CCF"/>
    <w:rsid w:val="00F1564C"/>
    <w:rsid w:val="00F1565E"/>
    <w:rsid w:val="00F2367B"/>
    <w:rsid w:val="00F24EA9"/>
    <w:rsid w:val="00F31816"/>
    <w:rsid w:val="00F326EC"/>
    <w:rsid w:val="00F35888"/>
    <w:rsid w:val="00F365A0"/>
    <w:rsid w:val="00F422C5"/>
    <w:rsid w:val="00F44A5D"/>
    <w:rsid w:val="00F46567"/>
    <w:rsid w:val="00F5410E"/>
    <w:rsid w:val="00F57A45"/>
    <w:rsid w:val="00F61D4D"/>
    <w:rsid w:val="00F73870"/>
    <w:rsid w:val="00F74812"/>
    <w:rsid w:val="00F754A0"/>
    <w:rsid w:val="00F838E9"/>
    <w:rsid w:val="00F856B9"/>
    <w:rsid w:val="00F85C9E"/>
    <w:rsid w:val="00F86473"/>
    <w:rsid w:val="00F8744B"/>
    <w:rsid w:val="00F87D05"/>
    <w:rsid w:val="00F9278B"/>
    <w:rsid w:val="00F94D1D"/>
    <w:rsid w:val="00F95D93"/>
    <w:rsid w:val="00FA198E"/>
    <w:rsid w:val="00FA1D61"/>
    <w:rsid w:val="00FB2B2E"/>
    <w:rsid w:val="00FB32B5"/>
    <w:rsid w:val="00FB379E"/>
    <w:rsid w:val="00FB54E5"/>
    <w:rsid w:val="00FB7702"/>
    <w:rsid w:val="00FC47DF"/>
    <w:rsid w:val="00FC5166"/>
    <w:rsid w:val="00FC54E9"/>
    <w:rsid w:val="00FC71A4"/>
    <w:rsid w:val="00FC7518"/>
    <w:rsid w:val="00FD049E"/>
    <w:rsid w:val="00FD05C9"/>
    <w:rsid w:val="00FD3720"/>
    <w:rsid w:val="00FF1337"/>
    <w:rsid w:val="00FF238E"/>
    <w:rsid w:val="00FF4309"/>
    <w:rsid w:val="00FF6DF9"/>
    <w:rsid w:val="01B465A5"/>
    <w:rsid w:val="057F13E1"/>
    <w:rsid w:val="16427D13"/>
    <w:rsid w:val="1FFF4EAE"/>
    <w:rsid w:val="218F3B97"/>
    <w:rsid w:val="23AD5156"/>
    <w:rsid w:val="24BC32DA"/>
    <w:rsid w:val="2C3A210E"/>
    <w:rsid w:val="32232BB7"/>
    <w:rsid w:val="3A830B88"/>
    <w:rsid w:val="3ADF0C7B"/>
    <w:rsid w:val="3DDF6287"/>
    <w:rsid w:val="444F7D1F"/>
    <w:rsid w:val="4B7F0E3D"/>
    <w:rsid w:val="516F7A6C"/>
    <w:rsid w:val="53852FA4"/>
    <w:rsid w:val="549030F5"/>
    <w:rsid w:val="54FA013D"/>
    <w:rsid w:val="5E7A630E"/>
    <w:rsid w:val="5FFACE52"/>
    <w:rsid w:val="6BFFEF6C"/>
    <w:rsid w:val="6F3DBB91"/>
    <w:rsid w:val="75C116C2"/>
    <w:rsid w:val="78F77D2E"/>
    <w:rsid w:val="7BCD2F26"/>
    <w:rsid w:val="7F5BF1D7"/>
    <w:rsid w:val="7FEB286E"/>
    <w:rsid w:val="C77955CF"/>
    <w:rsid w:val="CFFE6352"/>
    <w:rsid w:val="DFECCA50"/>
    <w:rsid w:val="FF755601"/>
    <w:rsid w:val="FFB18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4"/>
      <w:lang w:val="en-US" w:eastAsia="zh-CN" w:bidi="ar-SA"/>
    </w:rPr>
  </w:style>
  <w:style w:type="paragraph" w:styleId="2">
    <w:name w:val="heading 1"/>
    <w:basedOn w:val="1"/>
    <w:next w:val="1"/>
    <w:link w:val="65"/>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32"/>
    <w:qFormat/>
    <w:uiPriority w:val="0"/>
    <w:pPr>
      <w:keepNext/>
      <w:keepLines/>
      <w:spacing w:before="260" w:after="260" w:line="416" w:lineRule="auto"/>
      <w:outlineLvl w:val="1"/>
    </w:pPr>
    <w:rPr>
      <w:rFonts w:ascii="Arial" w:hAnsi="Arial" w:eastAsia="黑体"/>
      <w:b/>
      <w:sz w:val="32"/>
      <w:szCs w:val="20"/>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c 7"/>
    <w:basedOn w:val="1"/>
    <w:next w:val="1"/>
    <w:semiHidden/>
    <w:qFormat/>
    <w:uiPriority w:val="0"/>
    <w:pPr>
      <w:ind w:left="2520" w:leftChars="1200"/>
    </w:pPr>
  </w:style>
  <w:style w:type="paragraph" w:styleId="6">
    <w:name w:val="annotation text"/>
    <w:basedOn w:val="1"/>
    <w:link w:val="33"/>
    <w:qFormat/>
    <w:uiPriority w:val="0"/>
    <w:pPr>
      <w:jc w:val="left"/>
    </w:pPr>
  </w:style>
  <w:style w:type="paragraph" w:styleId="7">
    <w:name w:val="Body Text"/>
    <w:basedOn w:val="1"/>
    <w:link w:val="34"/>
    <w:qFormat/>
    <w:uiPriority w:val="0"/>
    <w:pPr>
      <w:spacing w:line="360" w:lineRule="auto"/>
    </w:pPr>
    <w:rPr>
      <w:rFonts w:ascii="仿宋_GB2312" w:eastAsia="仿宋_GB2312"/>
      <w:color w:val="000000"/>
      <w:kern w:val="0"/>
      <w:sz w:val="24"/>
      <w:szCs w:val="28"/>
    </w:rPr>
  </w:style>
  <w:style w:type="paragraph" w:styleId="8">
    <w:name w:val="Body Text Indent"/>
    <w:basedOn w:val="1"/>
    <w:link w:val="35"/>
    <w:qFormat/>
    <w:uiPriority w:val="0"/>
    <w:pPr>
      <w:adjustRightInd w:val="0"/>
      <w:snapToGrid w:val="0"/>
      <w:spacing w:line="560" w:lineRule="exact"/>
      <w:ind w:firstLine="480" w:firstLineChars="200"/>
    </w:pPr>
    <w:rPr>
      <w:rFonts w:eastAsia="方正仿宋简体"/>
      <w:sz w:val="24"/>
      <w:szCs w:val="30"/>
    </w:rPr>
  </w:style>
  <w:style w:type="paragraph" w:styleId="9">
    <w:name w:val="toc 5"/>
    <w:basedOn w:val="1"/>
    <w:next w:val="1"/>
    <w:semiHidden/>
    <w:qFormat/>
    <w:uiPriority w:val="0"/>
    <w:pPr>
      <w:ind w:left="1680" w:leftChars="800"/>
    </w:pPr>
  </w:style>
  <w:style w:type="paragraph" w:styleId="10">
    <w:name w:val="toc 3"/>
    <w:basedOn w:val="1"/>
    <w:next w:val="1"/>
    <w:semiHidden/>
    <w:qFormat/>
    <w:uiPriority w:val="0"/>
    <w:pPr>
      <w:ind w:left="840" w:leftChars="400"/>
    </w:pPr>
  </w:style>
  <w:style w:type="paragraph" w:styleId="11">
    <w:name w:val="toc 8"/>
    <w:basedOn w:val="1"/>
    <w:next w:val="1"/>
    <w:semiHidden/>
    <w:qFormat/>
    <w:uiPriority w:val="0"/>
    <w:pPr>
      <w:ind w:left="2940" w:leftChars="1400"/>
    </w:pPr>
  </w:style>
  <w:style w:type="paragraph" w:styleId="12">
    <w:name w:val="Body Text Indent 2"/>
    <w:basedOn w:val="1"/>
    <w:link w:val="36"/>
    <w:qFormat/>
    <w:uiPriority w:val="0"/>
    <w:pPr>
      <w:spacing w:line="360" w:lineRule="auto"/>
      <w:ind w:firstLine="525"/>
    </w:pPr>
    <w:rPr>
      <w:rFonts w:ascii="宋体" w:hAnsi="宋体"/>
      <w:sz w:val="28"/>
      <w:szCs w:val="20"/>
    </w:rPr>
  </w:style>
  <w:style w:type="paragraph" w:styleId="13">
    <w:name w:val="Balloon Text"/>
    <w:basedOn w:val="1"/>
    <w:link w:val="37"/>
    <w:semiHidden/>
    <w:qFormat/>
    <w:uiPriority w:val="0"/>
    <w:rPr>
      <w:sz w:val="18"/>
      <w:szCs w:val="18"/>
    </w:rPr>
  </w:style>
  <w:style w:type="paragraph" w:styleId="14">
    <w:name w:val="footer"/>
    <w:basedOn w:val="1"/>
    <w:link w:val="38"/>
    <w:unhideWhenUsed/>
    <w:qFormat/>
    <w:uiPriority w:val="0"/>
    <w:pPr>
      <w:tabs>
        <w:tab w:val="center" w:pos="4153"/>
        <w:tab w:val="right" w:pos="8306"/>
      </w:tabs>
      <w:snapToGrid w:val="0"/>
      <w:jc w:val="left"/>
    </w:pPr>
    <w:rPr>
      <w:sz w:val="18"/>
      <w:szCs w:val="18"/>
    </w:rPr>
  </w:style>
  <w:style w:type="paragraph" w:styleId="15">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style>
  <w:style w:type="paragraph" w:styleId="17">
    <w:name w:val="toc 4"/>
    <w:basedOn w:val="1"/>
    <w:next w:val="1"/>
    <w:semiHidden/>
    <w:qFormat/>
    <w:uiPriority w:val="0"/>
    <w:pPr>
      <w:ind w:left="1260" w:leftChars="600"/>
    </w:pPr>
  </w:style>
  <w:style w:type="paragraph" w:styleId="18">
    <w:name w:val="toc 6"/>
    <w:basedOn w:val="1"/>
    <w:next w:val="1"/>
    <w:semiHidden/>
    <w:qFormat/>
    <w:uiPriority w:val="0"/>
    <w:pPr>
      <w:ind w:left="2100" w:leftChars="1000"/>
    </w:pPr>
  </w:style>
  <w:style w:type="paragraph" w:styleId="19">
    <w:name w:val="Body Text Indent 3"/>
    <w:basedOn w:val="1"/>
    <w:link w:val="40"/>
    <w:qFormat/>
    <w:uiPriority w:val="0"/>
    <w:pPr>
      <w:adjustRightInd w:val="0"/>
      <w:snapToGrid w:val="0"/>
      <w:ind w:firstLine="480" w:firstLineChars="200"/>
    </w:pPr>
    <w:rPr>
      <w:rFonts w:ascii="仿宋_GB2312" w:hAnsi="宋体" w:eastAsia="仿宋_GB2312" w:cs="Arial"/>
      <w:color w:val="000000"/>
      <w:sz w:val="24"/>
    </w:rPr>
  </w:style>
  <w:style w:type="paragraph" w:styleId="20">
    <w:name w:val="toc 2"/>
    <w:basedOn w:val="1"/>
    <w:next w:val="1"/>
    <w:qFormat/>
    <w:uiPriority w:val="39"/>
    <w:pPr>
      <w:ind w:left="420" w:leftChars="200"/>
    </w:pPr>
  </w:style>
  <w:style w:type="paragraph" w:styleId="21">
    <w:name w:val="toc 9"/>
    <w:basedOn w:val="1"/>
    <w:next w:val="1"/>
    <w:semiHidden/>
    <w:qFormat/>
    <w:uiPriority w:val="0"/>
    <w:pPr>
      <w:ind w:left="3360" w:leftChars="1600"/>
    </w:pPr>
  </w:style>
  <w:style w:type="paragraph" w:styleId="22">
    <w:name w:val="HTML Preformatted"/>
    <w:basedOn w:val="1"/>
    <w:link w:val="4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annotation subject"/>
    <w:basedOn w:val="6"/>
    <w:next w:val="6"/>
    <w:link w:val="42"/>
    <w:qFormat/>
    <w:uiPriority w:val="0"/>
    <w:rPr>
      <w:b/>
      <w:bCs/>
    </w:rPr>
  </w:style>
  <w:style w:type="character" w:styleId="27">
    <w:name w:val="Strong"/>
    <w:qFormat/>
    <w:uiPriority w:val="0"/>
    <w:rPr>
      <w:b/>
      <w:bCs/>
    </w:rPr>
  </w:style>
  <w:style w:type="character" w:styleId="28">
    <w:name w:val="page number"/>
    <w:qFormat/>
    <w:uiPriority w:val="0"/>
  </w:style>
  <w:style w:type="character" w:styleId="29">
    <w:name w:val="FollowedHyperlink"/>
    <w:unhideWhenUsed/>
    <w:qFormat/>
    <w:uiPriority w:val="99"/>
    <w:rPr>
      <w:color w:val="800080"/>
      <w:u w:val="single"/>
    </w:rPr>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customStyle="1" w:styleId="32">
    <w:name w:val="标题 2 字符1"/>
    <w:link w:val="3"/>
    <w:qFormat/>
    <w:uiPriority w:val="0"/>
    <w:rPr>
      <w:rFonts w:ascii="Arial" w:hAnsi="Arial" w:eastAsia="黑体" w:cs="Times New Roman"/>
      <w:b/>
      <w:sz w:val="32"/>
      <w:szCs w:val="20"/>
    </w:rPr>
  </w:style>
  <w:style w:type="character" w:customStyle="1" w:styleId="33">
    <w:name w:val="批注文字 字符2"/>
    <w:link w:val="6"/>
    <w:qFormat/>
    <w:uiPriority w:val="0"/>
    <w:rPr>
      <w:rFonts w:ascii="Times New Roman" w:hAnsi="Times New Roman" w:eastAsia="宋体" w:cs="Times New Roman"/>
      <w:szCs w:val="24"/>
    </w:rPr>
  </w:style>
  <w:style w:type="character" w:customStyle="1" w:styleId="34">
    <w:name w:val="正文文本 字符1"/>
    <w:link w:val="7"/>
    <w:qFormat/>
    <w:uiPriority w:val="0"/>
    <w:rPr>
      <w:rFonts w:ascii="仿宋_GB2312" w:hAnsi="Times New Roman" w:eastAsia="仿宋_GB2312"/>
      <w:color w:val="000000"/>
      <w:sz w:val="24"/>
      <w:szCs w:val="28"/>
    </w:rPr>
  </w:style>
  <w:style w:type="character" w:customStyle="1" w:styleId="35">
    <w:name w:val="正文文本缩进 字符1"/>
    <w:link w:val="8"/>
    <w:qFormat/>
    <w:uiPriority w:val="0"/>
    <w:rPr>
      <w:rFonts w:ascii="Times New Roman" w:hAnsi="Times New Roman" w:eastAsia="方正仿宋简体"/>
      <w:kern w:val="2"/>
      <w:sz w:val="24"/>
      <w:szCs w:val="30"/>
    </w:rPr>
  </w:style>
  <w:style w:type="character" w:customStyle="1" w:styleId="36">
    <w:name w:val="正文文本缩进 2 字符1"/>
    <w:link w:val="12"/>
    <w:qFormat/>
    <w:uiPriority w:val="0"/>
    <w:rPr>
      <w:rFonts w:ascii="宋体" w:hAnsi="宋体"/>
      <w:kern w:val="2"/>
      <w:sz w:val="28"/>
    </w:rPr>
  </w:style>
  <w:style w:type="character" w:customStyle="1" w:styleId="37">
    <w:name w:val="批注框文本 字符1"/>
    <w:link w:val="13"/>
    <w:semiHidden/>
    <w:qFormat/>
    <w:uiPriority w:val="0"/>
    <w:rPr>
      <w:rFonts w:ascii="Times New Roman" w:hAnsi="Times New Roman"/>
      <w:kern w:val="2"/>
      <w:sz w:val="18"/>
      <w:szCs w:val="18"/>
    </w:rPr>
  </w:style>
  <w:style w:type="character" w:customStyle="1" w:styleId="38">
    <w:name w:val="页脚 字符"/>
    <w:link w:val="14"/>
    <w:qFormat/>
    <w:uiPriority w:val="0"/>
    <w:rPr>
      <w:rFonts w:ascii="Times New Roman" w:hAnsi="Times New Roman"/>
      <w:kern w:val="2"/>
      <w:sz w:val="18"/>
      <w:szCs w:val="18"/>
    </w:rPr>
  </w:style>
  <w:style w:type="character" w:customStyle="1" w:styleId="39">
    <w:name w:val="页眉 字符"/>
    <w:link w:val="15"/>
    <w:qFormat/>
    <w:uiPriority w:val="99"/>
    <w:rPr>
      <w:rFonts w:ascii="Times New Roman" w:hAnsi="Times New Roman"/>
      <w:kern w:val="2"/>
      <w:sz w:val="18"/>
      <w:szCs w:val="18"/>
    </w:rPr>
  </w:style>
  <w:style w:type="character" w:customStyle="1" w:styleId="40">
    <w:name w:val="正文文本缩进 3 字符1"/>
    <w:link w:val="19"/>
    <w:qFormat/>
    <w:uiPriority w:val="0"/>
    <w:rPr>
      <w:rFonts w:ascii="仿宋_GB2312" w:hAnsi="宋体" w:eastAsia="仿宋_GB2312" w:cs="Arial"/>
      <w:color w:val="000000"/>
      <w:kern w:val="2"/>
      <w:sz w:val="24"/>
      <w:szCs w:val="24"/>
    </w:rPr>
  </w:style>
  <w:style w:type="character" w:customStyle="1" w:styleId="41">
    <w:name w:val="HTML 预设格式 字符1"/>
    <w:link w:val="22"/>
    <w:qFormat/>
    <w:uiPriority w:val="99"/>
    <w:rPr>
      <w:rFonts w:ascii="宋体" w:hAnsi="宋体" w:cs="宋体"/>
      <w:sz w:val="24"/>
      <w:szCs w:val="24"/>
    </w:rPr>
  </w:style>
  <w:style w:type="character" w:customStyle="1" w:styleId="42">
    <w:name w:val="批注主题 字符1"/>
    <w:link w:val="24"/>
    <w:qFormat/>
    <w:uiPriority w:val="0"/>
    <w:rPr>
      <w:rFonts w:ascii="Times New Roman" w:hAnsi="Times New Roman"/>
      <w:b/>
      <w:bCs/>
      <w:kern w:val="2"/>
      <w:sz w:val="21"/>
      <w:szCs w:val="24"/>
    </w:rPr>
  </w:style>
  <w:style w:type="character" w:customStyle="1" w:styleId="43">
    <w:name w:val="批注文字 字符1"/>
    <w:qFormat/>
    <w:uiPriority w:val="0"/>
    <w:rPr>
      <w:rFonts w:ascii="Times New Roman" w:hAnsi="Times New Roman" w:eastAsia="宋体" w:cs="Times New Roman"/>
      <w:szCs w:val="24"/>
    </w:rPr>
  </w:style>
  <w:style w:type="character" w:customStyle="1" w:styleId="44">
    <w:name w:val="标题 2 字符"/>
    <w:semiHidden/>
    <w:qFormat/>
    <w:uiPriority w:val="9"/>
    <w:rPr>
      <w:rFonts w:ascii="等线 Light" w:hAnsi="等线 Light" w:eastAsia="等线 Light" w:cs="Times New Roman"/>
      <w:b/>
      <w:bCs/>
      <w:sz w:val="32"/>
      <w:szCs w:val="32"/>
    </w:rPr>
  </w:style>
  <w:style w:type="character" w:customStyle="1" w:styleId="45">
    <w:name w:val="正文文本缩进 3 字符"/>
    <w:semiHidden/>
    <w:qFormat/>
    <w:uiPriority w:val="99"/>
    <w:rPr>
      <w:rFonts w:ascii="Times New Roman" w:hAnsi="Times New Roman" w:eastAsia="宋体" w:cs="Times New Roman"/>
      <w:sz w:val="16"/>
      <w:szCs w:val="16"/>
    </w:rPr>
  </w:style>
  <w:style w:type="character" w:customStyle="1" w:styleId="46">
    <w:name w:val="正文文本缩进 字符"/>
    <w:semiHidden/>
    <w:qFormat/>
    <w:uiPriority w:val="99"/>
    <w:rPr>
      <w:rFonts w:ascii="Times New Roman" w:hAnsi="Times New Roman" w:eastAsia="宋体" w:cs="Times New Roman"/>
      <w:szCs w:val="24"/>
    </w:rPr>
  </w:style>
  <w:style w:type="character" w:customStyle="1" w:styleId="47">
    <w:name w:val="批注主题 字符"/>
    <w:semiHidden/>
    <w:qFormat/>
    <w:uiPriority w:val="99"/>
    <w:rPr>
      <w:rFonts w:ascii="Times New Roman" w:hAnsi="Times New Roman" w:eastAsia="宋体" w:cs="Times New Roman"/>
      <w:b/>
      <w:bCs/>
      <w:szCs w:val="24"/>
    </w:rPr>
  </w:style>
  <w:style w:type="character" w:customStyle="1" w:styleId="48">
    <w:name w:val="批注框文本 字符"/>
    <w:semiHidden/>
    <w:qFormat/>
    <w:uiPriority w:val="99"/>
    <w:rPr>
      <w:rFonts w:ascii="Times New Roman" w:hAnsi="Times New Roman" w:eastAsia="宋体" w:cs="Times New Roman"/>
      <w:sz w:val="18"/>
      <w:szCs w:val="18"/>
    </w:rPr>
  </w:style>
  <w:style w:type="character" w:customStyle="1" w:styleId="49">
    <w:name w:val="批注文字 Char1"/>
    <w:qFormat/>
    <w:uiPriority w:val="0"/>
    <w:rPr>
      <w:rFonts w:ascii="Times New Roman" w:hAnsi="Times New Roman" w:eastAsia="宋体" w:cs="Times New Roman"/>
      <w:szCs w:val="24"/>
    </w:rPr>
  </w:style>
  <w:style w:type="character" w:customStyle="1" w:styleId="50">
    <w:name w:val="批注文字 字符"/>
    <w:qFormat/>
    <w:uiPriority w:val="0"/>
    <w:rPr>
      <w:rFonts w:ascii="Times New Roman" w:hAnsi="Times New Roman" w:eastAsia="宋体" w:cs="Times New Roman"/>
      <w:szCs w:val="24"/>
    </w:rPr>
  </w:style>
  <w:style w:type="character" w:customStyle="1" w:styleId="51">
    <w:name w:val="read"/>
    <w:qFormat/>
    <w:uiPriority w:val="0"/>
  </w:style>
  <w:style w:type="character" w:customStyle="1" w:styleId="52">
    <w:name w:val="HTML 预设格式 字符"/>
    <w:semiHidden/>
    <w:qFormat/>
    <w:uiPriority w:val="99"/>
    <w:rPr>
      <w:rFonts w:ascii="Courier New" w:hAnsi="Courier New" w:eastAsia="宋体" w:cs="Courier New"/>
      <w:sz w:val="20"/>
      <w:szCs w:val="20"/>
    </w:rPr>
  </w:style>
  <w:style w:type="character" w:customStyle="1" w:styleId="53">
    <w:name w:val="正文文本缩进 2 字符"/>
    <w:semiHidden/>
    <w:qFormat/>
    <w:uiPriority w:val="99"/>
    <w:rPr>
      <w:rFonts w:ascii="Times New Roman" w:hAnsi="Times New Roman" w:eastAsia="宋体" w:cs="Times New Roman"/>
      <w:szCs w:val="24"/>
    </w:rPr>
  </w:style>
  <w:style w:type="character" w:customStyle="1" w:styleId="54">
    <w:name w:val="页脚 Char"/>
    <w:qFormat/>
    <w:uiPriority w:val="99"/>
    <w:rPr>
      <w:sz w:val="18"/>
      <w:szCs w:val="18"/>
    </w:rPr>
  </w:style>
  <w:style w:type="character" w:customStyle="1" w:styleId="55">
    <w:name w:val="页眉 Char"/>
    <w:qFormat/>
    <w:uiPriority w:val="99"/>
    <w:rPr>
      <w:sz w:val="18"/>
      <w:szCs w:val="18"/>
    </w:rPr>
  </w:style>
  <w:style w:type="character" w:customStyle="1" w:styleId="56">
    <w:name w:val="正文文本 字符"/>
    <w:semiHidden/>
    <w:qFormat/>
    <w:uiPriority w:val="99"/>
    <w:rPr>
      <w:rFonts w:ascii="Times New Roman" w:hAnsi="Times New Roman" w:eastAsia="宋体" w:cs="Times New Roman"/>
      <w:szCs w:val="24"/>
    </w:rPr>
  </w:style>
  <w:style w:type="paragraph" w:customStyle="1" w:styleId="57">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paragraph" w:customStyle="1" w:styleId="58">
    <w:name w:val="Char Char Char"/>
    <w:basedOn w:val="1"/>
    <w:qFormat/>
    <w:uiPriority w:val="0"/>
  </w:style>
  <w:style w:type="paragraph" w:customStyle="1" w:styleId="59">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60">
    <w:name w:val="Char Char"/>
    <w:basedOn w:val="1"/>
    <w:qFormat/>
    <w:uiPriority w:val="0"/>
    <w:rPr>
      <w:szCs w:val="20"/>
    </w:rPr>
  </w:style>
  <w:style w:type="paragraph" w:customStyle="1" w:styleId="61">
    <w:name w:val="Char"/>
    <w:basedOn w:val="1"/>
    <w:qFormat/>
    <w:uiPriority w:val="0"/>
  </w:style>
  <w:style w:type="paragraph" w:customStyle="1" w:styleId="62">
    <w:name w:val="修订1"/>
    <w:semiHidden/>
    <w:qFormat/>
    <w:uiPriority w:val="99"/>
    <w:rPr>
      <w:rFonts w:ascii="Times New Roman" w:hAnsi="Times New Roman" w:eastAsia="宋体" w:cs="Calibri"/>
      <w:kern w:val="2"/>
      <w:sz w:val="21"/>
      <w:szCs w:val="24"/>
      <w:lang w:val="en-US" w:eastAsia="zh-CN" w:bidi="ar-SA"/>
    </w:rPr>
  </w:style>
  <w:style w:type="paragraph" w:customStyle="1" w:styleId="63">
    <w:name w:val="Char Char Char Char Char Char Char1 Char Char Char Char Char Char"/>
    <w:basedOn w:val="1"/>
    <w:qFormat/>
    <w:uiPriority w:val="0"/>
  </w:style>
  <w:style w:type="paragraph" w:customStyle="1" w:styleId="64">
    <w:name w:val="Revision"/>
    <w:hidden/>
    <w:unhideWhenUsed/>
    <w:qFormat/>
    <w:uiPriority w:val="99"/>
    <w:rPr>
      <w:rFonts w:ascii="Times New Roman" w:hAnsi="Times New Roman" w:eastAsia="宋体" w:cs="Calibri"/>
      <w:kern w:val="2"/>
      <w:sz w:val="21"/>
      <w:szCs w:val="24"/>
      <w:lang w:val="en-US" w:eastAsia="zh-CN" w:bidi="ar-SA"/>
    </w:rPr>
  </w:style>
  <w:style w:type="character" w:customStyle="1" w:styleId="65">
    <w:name w:val="标题 1 字符"/>
    <w:basedOn w:val="26"/>
    <w:link w:val="2"/>
    <w:qFormat/>
    <w:uiPriority w:val="9"/>
    <w:rPr>
      <w:rFonts w:ascii="Times New Roman" w:hAnsi="Times New Roman"/>
      <w:b/>
      <w:bCs/>
      <w:kern w:val="44"/>
      <w:sz w:val="44"/>
      <w:szCs w:val="44"/>
    </w:rPr>
  </w:style>
  <w:style w:type="paragraph" w:customStyle="1" w:styleId="6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D0D9D396-F3E8-4723-81BA-2F4421B9B123}">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36</Pages>
  <Words>16864</Words>
  <Characters>17033</Characters>
  <Lines>681</Lines>
  <Paragraphs>564</Paragraphs>
  <TotalTime>62</TotalTime>
  <ScaleCrop>false</ScaleCrop>
  <LinksUpToDate>false</LinksUpToDate>
  <CharactersWithSpaces>33333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2024-09-19T23:46:00Z</dcterms:created>
  <dc:creator>ccb</dc:creator>
  <cp:lastModifiedBy>徐桥</cp:lastModifiedBy>
  <dcterms:modified xsi:type="dcterms:W3CDTF">2026-07-02T14:35:02Z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C4277B100E0040DE8773D4735B8B25F6_13</vt:lpwstr>
  </property>
  <property fmtid="{D5CDD505-2E9C-101B-9397-08002B2CF9AE}" pid="3" name="KSOProductBuildVer">
    <vt:lpwstr>2052-12.8.2.15290</vt:lpwstr>
  </property>
  <property fmtid="{D5CDD505-2E9C-101B-9397-08002B2CF9AE}" pid="4" name="KSOTemplateDocerSaveRecord">
    <vt:lpwstr>eyJoZGlkIjoiODhjYzVlNWM1MmM3MDdjZGVhNTBiNzI2MjYwYTQ3MDUiLCJ1c2VySWQiOiIzMDIwMTM0MjgifQ==</vt:lpwstr>
  </property>
</Properties>
</file>