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9C60F" w14:textId="77777777" w:rsidR="007764FF" w:rsidRDefault="007764FF">
      <w:pPr>
        <w:adjustRightInd w:val="0"/>
        <w:snapToGrid w:val="0"/>
        <w:jc w:val="center"/>
        <w:rPr>
          <w:rFonts w:asciiTheme="minorEastAsia" w:eastAsiaTheme="minorEastAsia" w:hAnsiTheme="minorEastAsia" w:cs="Arial"/>
          <w:sz w:val="24"/>
        </w:rPr>
      </w:pPr>
    </w:p>
    <w:p w14:paraId="5230093C" w14:textId="77777777" w:rsidR="007764FF" w:rsidRDefault="007764FF">
      <w:pPr>
        <w:adjustRightInd w:val="0"/>
        <w:snapToGrid w:val="0"/>
        <w:jc w:val="center"/>
        <w:rPr>
          <w:rFonts w:asciiTheme="minorEastAsia" w:eastAsiaTheme="minorEastAsia" w:hAnsiTheme="minorEastAsia" w:cs="Arial"/>
          <w:sz w:val="24"/>
        </w:rPr>
      </w:pPr>
    </w:p>
    <w:p w14:paraId="17DF3032" w14:textId="77777777" w:rsidR="007764FF" w:rsidRDefault="007764FF">
      <w:pPr>
        <w:adjustRightInd w:val="0"/>
        <w:snapToGrid w:val="0"/>
        <w:jc w:val="center"/>
        <w:rPr>
          <w:rFonts w:asciiTheme="minorEastAsia" w:eastAsiaTheme="minorEastAsia" w:hAnsiTheme="minorEastAsia" w:cs="Arial"/>
          <w:sz w:val="24"/>
        </w:rPr>
      </w:pPr>
    </w:p>
    <w:p w14:paraId="6848A921" w14:textId="77777777" w:rsidR="007764FF" w:rsidRDefault="007764FF">
      <w:pPr>
        <w:adjustRightInd w:val="0"/>
        <w:snapToGrid w:val="0"/>
        <w:jc w:val="center"/>
        <w:rPr>
          <w:rFonts w:asciiTheme="minorEastAsia" w:eastAsiaTheme="minorEastAsia" w:hAnsiTheme="minorEastAsia" w:cs="Arial"/>
          <w:sz w:val="24"/>
        </w:rPr>
      </w:pPr>
    </w:p>
    <w:p w14:paraId="468D5551" w14:textId="77777777" w:rsidR="007764FF" w:rsidRDefault="007764FF">
      <w:pPr>
        <w:adjustRightInd w:val="0"/>
        <w:snapToGrid w:val="0"/>
        <w:jc w:val="center"/>
        <w:rPr>
          <w:rFonts w:asciiTheme="minorEastAsia" w:eastAsiaTheme="minorEastAsia" w:hAnsiTheme="minorEastAsia" w:cs="Arial"/>
          <w:sz w:val="24"/>
        </w:rPr>
      </w:pPr>
    </w:p>
    <w:p w14:paraId="370EE7B5" w14:textId="77777777" w:rsidR="007764FF" w:rsidRDefault="007764FF">
      <w:pPr>
        <w:adjustRightInd w:val="0"/>
        <w:snapToGrid w:val="0"/>
        <w:jc w:val="center"/>
        <w:rPr>
          <w:rFonts w:asciiTheme="minorEastAsia" w:eastAsiaTheme="minorEastAsia" w:hAnsiTheme="minorEastAsia" w:cs="Arial"/>
          <w:sz w:val="24"/>
        </w:rPr>
      </w:pPr>
    </w:p>
    <w:p w14:paraId="51DBD814" w14:textId="77777777" w:rsidR="007764FF" w:rsidRDefault="007764FF">
      <w:pPr>
        <w:adjustRightInd w:val="0"/>
        <w:snapToGrid w:val="0"/>
        <w:jc w:val="center"/>
        <w:rPr>
          <w:rFonts w:asciiTheme="minorEastAsia" w:eastAsiaTheme="minorEastAsia" w:hAnsiTheme="minorEastAsia" w:cs="Arial"/>
          <w:sz w:val="24"/>
        </w:rPr>
      </w:pPr>
    </w:p>
    <w:p w14:paraId="79FD627C" w14:textId="77777777" w:rsidR="007764FF" w:rsidRDefault="007764FF">
      <w:pPr>
        <w:adjustRightInd w:val="0"/>
        <w:snapToGrid w:val="0"/>
        <w:jc w:val="center"/>
        <w:rPr>
          <w:rFonts w:asciiTheme="minorEastAsia" w:eastAsiaTheme="minorEastAsia" w:hAnsiTheme="minorEastAsia" w:cs="Arial"/>
          <w:sz w:val="24"/>
        </w:rPr>
      </w:pPr>
    </w:p>
    <w:p w14:paraId="08B82C7B" w14:textId="2DF961C1" w:rsidR="007764FF" w:rsidRDefault="008F7605">
      <w:pPr>
        <w:adjustRightInd w:val="0"/>
        <w:snapToGrid w:val="0"/>
        <w:jc w:val="center"/>
        <w:rPr>
          <w:rFonts w:asciiTheme="minorEastAsia" w:eastAsiaTheme="minorEastAsia" w:hAnsiTheme="minorEastAsia" w:cs="Arial"/>
          <w:b/>
          <w:sz w:val="44"/>
        </w:rPr>
      </w:pPr>
      <w:r>
        <w:rPr>
          <w:rFonts w:asciiTheme="minorEastAsia" w:eastAsiaTheme="minorEastAsia" w:hAnsiTheme="minorEastAsia" w:cs="Arial" w:hint="eastAsia"/>
          <w:b/>
          <w:sz w:val="44"/>
        </w:rPr>
        <w:t>银华多策略稳进三个月持有期混合型基金中基金（ETF-FOF）托管协议</w:t>
      </w:r>
    </w:p>
    <w:p w14:paraId="1C8F20DC" w14:textId="77777777" w:rsidR="007764FF" w:rsidRDefault="007764FF">
      <w:pPr>
        <w:adjustRightInd w:val="0"/>
        <w:snapToGrid w:val="0"/>
        <w:jc w:val="center"/>
        <w:rPr>
          <w:rFonts w:asciiTheme="minorEastAsia" w:eastAsiaTheme="minorEastAsia" w:hAnsiTheme="minorEastAsia" w:cs="Arial"/>
          <w:sz w:val="24"/>
        </w:rPr>
      </w:pPr>
    </w:p>
    <w:p w14:paraId="39EC57E9" w14:textId="77777777" w:rsidR="007764FF" w:rsidRDefault="007764FF">
      <w:pPr>
        <w:adjustRightInd w:val="0"/>
        <w:snapToGrid w:val="0"/>
        <w:jc w:val="center"/>
        <w:rPr>
          <w:rFonts w:asciiTheme="minorEastAsia" w:eastAsiaTheme="minorEastAsia" w:hAnsiTheme="minorEastAsia" w:cs="Arial"/>
          <w:sz w:val="24"/>
        </w:rPr>
      </w:pPr>
    </w:p>
    <w:p w14:paraId="3AF56421" w14:textId="77777777" w:rsidR="007764FF" w:rsidRDefault="007764FF">
      <w:pPr>
        <w:adjustRightInd w:val="0"/>
        <w:snapToGrid w:val="0"/>
        <w:jc w:val="center"/>
        <w:rPr>
          <w:rFonts w:asciiTheme="minorEastAsia" w:eastAsiaTheme="minorEastAsia" w:hAnsiTheme="minorEastAsia" w:cs="Arial"/>
          <w:sz w:val="24"/>
        </w:rPr>
      </w:pPr>
    </w:p>
    <w:p w14:paraId="730F21B3" w14:textId="77777777" w:rsidR="007764FF" w:rsidRDefault="007764FF">
      <w:pPr>
        <w:adjustRightInd w:val="0"/>
        <w:snapToGrid w:val="0"/>
        <w:jc w:val="center"/>
        <w:rPr>
          <w:rFonts w:asciiTheme="minorEastAsia" w:eastAsiaTheme="minorEastAsia" w:hAnsiTheme="minorEastAsia" w:cs="Arial"/>
          <w:sz w:val="24"/>
        </w:rPr>
      </w:pPr>
    </w:p>
    <w:p w14:paraId="268CB675" w14:textId="77777777" w:rsidR="007764FF" w:rsidRDefault="007764FF">
      <w:pPr>
        <w:adjustRightInd w:val="0"/>
        <w:snapToGrid w:val="0"/>
        <w:jc w:val="center"/>
        <w:rPr>
          <w:rFonts w:asciiTheme="minorEastAsia" w:eastAsiaTheme="minorEastAsia" w:hAnsiTheme="minorEastAsia" w:cs="Arial"/>
          <w:sz w:val="24"/>
        </w:rPr>
      </w:pPr>
    </w:p>
    <w:p w14:paraId="7F4065AA" w14:textId="77777777" w:rsidR="007764FF" w:rsidRDefault="007764FF">
      <w:pPr>
        <w:adjustRightInd w:val="0"/>
        <w:snapToGrid w:val="0"/>
        <w:jc w:val="center"/>
        <w:rPr>
          <w:rFonts w:asciiTheme="minorEastAsia" w:eastAsiaTheme="minorEastAsia" w:hAnsiTheme="minorEastAsia" w:cs="Arial"/>
          <w:sz w:val="24"/>
        </w:rPr>
      </w:pPr>
    </w:p>
    <w:p w14:paraId="64892FAE" w14:textId="77777777" w:rsidR="007764FF" w:rsidRDefault="007764FF">
      <w:pPr>
        <w:adjustRightInd w:val="0"/>
        <w:snapToGrid w:val="0"/>
        <w:jc w:val="center"/>
        <w:rPr>
          <w:rFonts w:asciiTheme="minorEastAsia" w:eastAsiaTheme="minorEastAsia" w:hAnsiTheme="minorEastAsia" w:cs="Arial"/>
          <w:sz w:val="24"/>
        </w:rPr>
      </w:pPr>
    </w:p>
    <w:p w14:paraId="7DF7090A" w14:textId="77777777" w:rsidR="007764FF" w:rsidRDefault="007764FF">
      <w:pPr>
        <w:adjustRightInd w:val="0"/>
        <w:snapToGrid w:val="0"/>
        <w:jc w:val="center"/>
        <w:rPr>
          <w:rFonts w:asciiTheme="minorEastAsia" w:eastAsiaTheme="minorEastAsia" w:hAnsiTheme="minorEastAsia" w:cs="Arial"/>
          <w:sz w:val="24"/>
        </w:rPr>
      </w:pPr>
    </w:p>
    <w:p w14:paraId="0922B4E1" w14:textId="77777777" w:rsidR="007764FF" w:rsidRDefault="007764FF">
      <w:pPr>
        <w:adjustRightInd w:val="0"/>
        <w:snapToGrid w:val="0"/>
        <w:jc w:val="center"/>
        <w:rPr>
          <w:rFonts w:asciiTheme="minorEastAsia" w:eastAsiaTheme="minorEastAsia" w:hAnsiTheme="minorEastAsia" w:cs="Arial"/>
          <w:sz w:val="24"/>
        </w:rPr>
      </w:pPr>
    </w:p>
    <w:p w14:paraId="1381D31D" w14:textId="77777777" w:rsidR="007764FF" w:rsidRDefault="007764FF">
      <w:pPr>
        <w:adjustRightInd w:val="0"/>
        <w:snapToGrid w:val="0"/>
        <w:jc w:val="center"/>
        <w:rPr>
          <w:rFonts w:asciiTheme="minorEastAsia" w:eastAsiaTheme="minorEastAsia" w:hAnsiTheme="minorEastAsia" w:cs="Arial"/>
          <w:sz w:val="24"/>
        </w:rPr>
      </w:pPr>
    </w:p>
    <w:p w14:paraId="768CBBED" w14:textId="77777777" w:rsidR="007764FF" w:rsidRDefault="007764FF">
      <w:pPr>
        <w:adjustRightInd w:val="0"/>
        <w:snapToGrid w:val="0"/>
        <w:jc w:val="center"/>
        <w:rPr>
          <w:rFonts w:asciiTheme="minorEastAsia" w:eastAsiaTheme="minorEastAsia" w:hAnsiTheme="minorEastAsia" w:cs="Arial"/>
          <w:sz w:val="24"/>
        </w:rPr>
      </w:pPr>
    </w:p>
    <w:p w14:paraId="10125C60" w14:textId="77777777" w:rsidR="007764FF" w:rsidRDefault="007764FF">
      <w:pPr>
        <w:adjustRightInd w:val="0"/>
        <w:snapToGrid w:val="0"/>
        <w:jc w:val="center"/>
        <w:rPr>
          <w:rFonts w:asciiTheme="minorEastAsia" w:eastAsiaTheme="minorEastAsia" w:hAnsiTheme="minorEastAsia" w:cs="Arial"/>
          <w:sz w:val="24"/>
        </w:rPr>
      </w:pPr>
    </w:p>
    <w:p w14:paraId="2B6E8A4B" w14:textId="77777777" w:rsidR="007764FF" w:rsidRDefault="007764FF">
      <w:pPr>
        <w:adjustRightInd w:val="0"/>
        <w:snapToGrid w:val="0"/>
        <w:jc w:val="center"/>
        <w:rPr>
          <w:rFonts w:asciiTheme="minorEastAsia" w:eastAsiaTheme="minorEastAsia" w:hAnsiTheme="minorEastAsia" w:cs="Arial"/>
          <w:sz w:val="24"/>
        </w:rPr>
      </w:pPr>
    </w:p>
    <w:p w14:paraId="4ABC3AA9" w14:textId="77777777" w:rsidR="007764FF" w:rsidRDefault="007764FF">
      <w:pPr>
        <w:adjustRightInd w:val="0"/>
        <w:snapToGrid w:val="0"/>
        <w:jc w:val="center"/>
        <w:rPr>
          <w:rFonts w:asciiTheme="minorEastAsia" w:eastAsiaTheme="minorEastAsia" w:hAnsiTheme="minorEastAsia" w:cs="Arial"/>
          <w:sz w:val="24"/>
        </w:rPr>
      </w:pPr>
    </w:p>
    <w:p w14:paraId="32232FF3" w14:textId="77777777" w:rsidR="007764FF" w:rsidRDefault="007764FF">
      <w:pPr>
        <w:adjustRightInd w:val="0"/>
        <w:snapToGrid w:val="0"/>
        <w:jc w:val="center"/>
        <w:rPr>
          <w:rFonts w:asciiTheme="minorEastAsia" w:eastAsiaTheme="minorEastAsia" w:hAnsiTheme="minorEastAsia" w:cs="Arial"/>
          <w:sz w:val="24"/>
        </w:rPr>
      </w:pPr>
    </w:p>
    <w:p w14:paraId="0AF34CDB" w14:textId="77777777" w:rsidR="007764FF" w:rsidRDefault="007764FF">
      <w:pPr>
        <w:adjustRightInd w:val="0"/>
        <w:snapToGrid w:val="0"/>
        <w:jc w:val="center"/>
        <w:rPr>
          <w:rFonts w:asciiTheme="minorEastAsia" w:eastAsiaTheme="minorEastAsia" w:hAnsiTheme="minorEastAsia" w:cs="Arial"/>
          <w:sz w:val="24"/>
        </w:rPr>
      </w:pPr>
    </w:p>
    <w:p w14:paraId="32D81D4A" w14:textId="77777777" w:rsidR="007764FF" w:rsidRDefault="007764FF">
      <w:pPr>
        <w:adjustRightInd w:val="0"/>
        <w:snapToGrid w:val="0"/>
        <w:jc w:val="center"/>
        <w:rPr>
          <w:rFonts w:asciiTheme="minorEastAsia" w:eastAsiaTheme="minorEastAsia" w:hAnsiTheme="minorEastAsia" w:cs="Arial"/>
          <w:sz w:val="24"/>
        </w:rPr>
      </w:pPr>
    </w:p>
    <w:p w14:paraId="27E86E69" w14:textId="77777777" w:rsidR="007764FF" w:rsidRDefault="007764FF">
      <w:pPr>
        <w:adjustRightInd w:val="0"/>
        <w:snapToGrid w:val="0"/>
        <w:jc w:val="center"/>
        <w:rPr>
          <w:rFonts w:asciiTheme="minorEastAsia" w:eastAsiaTheme="minorEastAsia" w:hAnsiTheme="minorEastAsia" w:cs="Arial"/>
          <w:sz w:val="24"/>
        </w:rPr>
      </w:pPr>
    </w:p>
    <w:p w14:paraId="1AE07369" w14:textId="77777777" w:rsidR="007764FF" w:rsidRDefault="007764FF">
      <w:pPr>
        <w:adjustRightInd w:val="0"/>
        <w:snapToGrid w:val="0"/>
        <w:jc w:val="center"/>
        <w:rPr>
          <w:rFonts w:asciiTheme="minorEastAsia" w:eastAsiaTheme="minorEastAsia" w:hAnsiTheme="minorEastAsia" w:cs="Arial"/>
          <w:sz w:val="24"/>
        </w:rPr>
      </w:pPr>
    </w:p>
    <w:p w14:paraId="2FB83EA4" w14:textId="77777777" w:rsidR="007764FF" w:rsidRDefault="007764FF">
      <w:pPr>
        <w:adjustRightInd w:val="0"/>
        <w:snapToGrid w:val="0"/>
        <w:jc w:val="center"/>
        <w:rPr>
          <w:rFonts w:asciiTheme="minorEastAsia" w:eastAsiaTheme="minorEastAsia" w:hAnsiTheme="minorEastAsia" w:cs="Arial"/>
          <w:sz w:val="24"/>
        </w:rPr>
      </w:pPr>
    </w:p>
    <w:p w14:paraId="4A47D598" w14:textId="77777777" w:rsidR="007764FF" w:rsidRDefault="007764FF">
      <w:pPr>
        <w:adjustRightInd w:val="0"/>
        <w:snapToGrid w:val="0"/>
        <w:jc w:val="center"/>
        <w:rPr>
          <w:rFonts w:asciiTheme="minorEastAsia" w:eastAsiaTheme="minorEastAsia" w:hAnsiTheme="minorEastAsia" w:cs="Arial"/>
          <w:sz w:val="24"/>
        </w:rPr>
      </w:pPr>
    </w:p>
    <w:p w14:paraId="40DA1504" w14:textId="77777777" w:rsidR="007764FF" w:rsidRDefault="008F7605">
      <w:pPr>
        <w:adjustRightInd w:val="0"/>
        <w:snapToGrid w:val="0"/>
        <w:jc w:val="center"/>
        <w:rPr>
          <w:rFonts w:asciiTheme="minorEastAsia" w:eastAsiaTheme="minorEastAsia" w:hAnsiTheme="minorEastAsia" w:cs="Arial"/>
          <w:b/>
          <w:sz w:val="28"/>
        </w:rPr>
      </w:pPr>
      <w:r>
        <w:rPr>
          <w:rFonts w:asciiTheme="minorEastAsia" w:eastAsiaTheme="minorEastAsia" w:hAnsiTheme="minorEastAsia" w:cs="Arial" w:hint="eastAsia"/>
          <w:b/>
          <w:sz w:val="28"/>
        </w:rPr>
        <w:t>基金管理人：银华基金管理股份有限公司</w:t>
      </w:r>
    </w:p>
    <w:p w14:paraId="09650A68" w14:textId="77777777" w:rsidR="007764FF" w:rsidRDefault="008F7605">
      <w:pPr>
        <w:adjustRightInd w:val="0"/>
        <w:snapToGrid w:val="0"/>
        <w:jc w:val="center"/>
        <w:rPr>
          <w:rFonts w:asciiTheme="minorEastAsia" w:eastAsiaTheme="minorEastAsia" w:hAnsiTheme="minorEastAsia" w:cs="Arial"/>
          <w:b/>
          <w:sz w:val="28"/>
        </w:rPr>
      </w:pPr>
      <w:r>
        <w:rPr>
          <w:rFonts w:asciiTheme="minorEastAsia" w:eastAsiaTheme="minorEastAsia" w:hAnsiTheme="minorEastAsia" w:cs="Arial" w:hint="eastAsia"/>
          <w:b/>
          <w:sz w:val="28"/>
        </w:rPr>
        <w:t>基金托管人：中国建设银行股份有限公司</w:t>
      </w:r>
    </w:p>
    <w:p w14:paraId="044CE3FE" w14:textId="77777777" w:rsidR="007764FF" w:rsidRDefault="007764FF">
      <w:pPr>
        <w:adjustRightInd w:val="0"/>
        <w:snapToGrid w:val="0"/>
        <w:jc w:val="center"/>
        <w:rPr>
          <w:rFonts w:asciiTheme="minorEastAsia" w:eastAsiaTheme="minorEastAsia" w:hAnsiTheme="minorEastAsia" w:cs="Arial"/>
          <w:sz w:val="24"/>
        </w:rPr>
      </w:pPr>
    </w:p>
    <w:p w14:paraId="14D34132" w14:textId="77777777" w:rsidR="007764FF" w:rsidRDefault="008F7605">
      <w:pPr>
        <w:adjustRightInd w:val="0"/>
        <w:snapToGrid w:val="0"/>
        <w:jc w:val="center"/>
        <w:rPr>
          <w:rFonts w:asciiTheme="minorEastAsia" w:eastAsiaTheme="minorEastAsia" w:hAnsiTheme="minorEastAsia" w:cs="Arial"/>
          <w:sz w:val="24"/>
        </w:rPr>
      </w:pPr>
      <w:r>
        <w:rPr>
          <w:rFonts w:asciiTheme="minorEastAsia" w:eastAsiaTheme="minorEastAsia" w:hAnsiTheme="minorEastAsia" w:cs="Arial" w:hint="eastAsia"/>
          <w:sz w:val="24"/>
        </w:rPr>
        <w:t xml:space="preserve">                            </w:t>
      </w:r>
    </w:p>
    <w:p w14:paraId="0778DE4E" w14:textId="77777777" w:rsidR="007764FF" w:rsidRDefault="007764FF">
      <w:pPr>
        <w:adjustRightInd w:val="0"/>
        <w:snapToGrid w:val="0"/>
        <w:jc w:val="center"/>
        <w:rPr>
          <w:rFonts w:asciiTheme="minorEastAsia" w:eastAsiaTheme="minorEastAsia" w:hAnsiTheme="minorEastAsia" w:cs="Arial"/>
          <w:sz w:val="24"/>
        </w:rPr>
      </w:pPr>
    </w:p>
    <w:p w14:paraId="348BCBDD" w14:textId="77777777" w:rsidR="007764FF" w:rsidRDefault="007764FF">
      <w:pPr>
        <w:adjustRightInd w:val="0"/>
        <w:snapToGrid w:val="0"/>
        <w:jc w:val="center"/>
        <w:rPr>
          <w:rFonts w:asciiTheme="minorEastAsia" w:eastAsiaTheme="minorEastAsia" w:hAnsiTheme="minorEastAsia" w:cs="Arial"/>
          <w:sz w:val="24"/>
        </w:rPr>
        <w:sectPr w:rsidR="007764FF">
          <w:headerReference w:type="default" r:id="rId7"/>
          <w:footerReference w:type="even" r:id="rId8"/>
          <w:pgSz w:w="11906" w:h="16838"/>
          <w:pgMar w:top="1418" w:right="1701" w:bottom="1418" w:left="1701" w:header="851" w:footer="992" w:gutter="0"/>
          <w:cols w:space="425"/>
          <w:docGrid w:type="lines" w:linePitch="312"/>
        </w:sectPr>
      </w:pPr>
    </w:p>
    <w:p w14:paraId="7218BBFE" w14:textId="77777777" w:rsidR="007764FF" w:rsidRDefault="008F7605">
      <w:pPr>
        <w:jc w:val="center"/>
        <w:rPr>
          <w:rFonts w:asciiTheme="minorEastAsia" w:eastAsiaTheme="minorEastAsia" w:hAnsiTheme="minorEastAsia"/>
          <w:b/>
          <w:bCs/>
          <w:sz w:val="30"/>
        </w:rPr>
      </w:pPr>
      <w:r>
        <w:rPr>
          <w:rFonts w:asciiTheme="minorEastAsia" w:eastAsiaTheme="minorEastAsia" w:hAnsiTheme="minorEastAsia" w:hint="eastAsia"/>
          <w:b/>
          <w:bCs/>
          <w:sz w:val="30"/>
        </w:rPr>
        <w:lastRenderedPageBreak/>
        <w:t>目    录</w:t>
      </w:r>
    </w:p>
    <w:p w14:paraId="39F0EFE4" w14:textId="77777777" w:rsidR="007764FF" w:rsidRDefault="008F7605">
      <w:pPr>
        <w:pStyle w:val="21"/>
        <w:spacing w:line="360" w:lineRule="auto"/>
        <w:rPr>
          <w:rStyle w:val="af"/>
          <w:rFonts w:asciiTheme="minorEastAsia" w:eastAsiaTheme="minorEastAsia" w:hAnsiTheme="minorEastAsia"/>
          <w:noProof/>
          <w:sz w:val="24"/>
        </w:rPr>
      </w:pPr>
      <w:r>
        <w:rPr>
          <w:rStyle w:val="af"/>
          <w:rFonts w:asciiTheme="minorEastAsia" w:eastAsiaTheme="minorEastAsia" w:hAnsiTheme="minorEastAsia" w:hint="eastAsia"/>
          <w:sz w:val="28"/>
          <w:szCs w:val="32"/>
        </w:rPr>
        <w:fldChar w:fldCharType="begin"/>
      </w:r>
      <w:r>
        <w:rPr>
          <w:rStyle w:val="af"/>
          <w:rFonts w:asciiTheme="minorEastAsia" w:eastAsiaTheme="minorEastAsia" w:hAnsiTheme="minorEastAsia"/>
          <w:sz w:val="28"/>
          <w:szCs w:val="32"/>
        </w:rPr>
        <w:instrText xml:space="preserve"> TOC \o "1-2" \h \z </w:instrText>
      </w:r>
      <w:r>
        <w:rPr>
          <w:rStyle w:val="af"/>
          <w:rFonts w:asciiTheme="minorEastAsia" w:eastAsiaTheme="minorEastAsia" w:hAnsiTheme="minorEastAsia" w:hint="eastAsia"/>
          <w:sz w:val="28"/>
          <w:szCs w:val="32"/>
        </w:rPr>
        <w:fldChar w:fldCharType="separate"/>
      </w:r>
      <w:hyperlink w:anchor="_Toc124325885" w:history="1">
        <w:r>
          <w:rPr>
            <w:rStyle w:val="af"/>
            <w:rFonts w:asciiTheme="minorEastAsia" w:eastAsiaTheme="minorEastAsia" w:hAnsiTheme="minorEastAsia" w:hint="eastAsia"/>
            <w:noProof/>
            <w:sz w:val="24"/>
          </w:rPr>
          <w:t>一、基金托管协议当事人</w:t>
        </w:r>
        <w:r>
          <w:rPr>
            <w:rStyle w:val="af"/>
            <w:rFonts w:asciiTheme="minorEastAsia" w:eastAsiaTheme="minorEastAsia" w:hAnsiTheme="minorEastAsia"/>
            <w:noProof/>
            <w:sz w:val="24"/>
          </w:rPr>
          <w:tab/>
        </w:r>
        <w:r>
          <w:rPr>
            <w:rStyle w:val="af"/>
            <w:rFonts w:asciiTheme="minorEastAsia" w:eastAsiaTheme="minorEastAsia" w:hAnsiTheme="minorEastAsia" w:hint="eastAsia"/>
            <w:noProof/>
            <w:sz w:val="24"/>
          </w:rPr>
          <w:fldChar w:fldCharType="begin"/>
        </w:r>
        <w:r>
          <w:rPr>
            <w:rStyle w:val="af"/>
            <w:rFonts w:asciiTheme="minorEastAsia" w:eastAsiaTheme="minorEastAsia" w:hAnsiTheme="minorEastAsia"/>
            <w:noProof/>
            <w:sz w:val="24"/>
          </w:rPr>
          <w:instrText xml:space="preserve"> PAGEREF _Toc124325885 \h </w:instrText>
        </w:r>
        <w:r>
          <w:rPr>
            <w:rStyle w:val="af"/>
            <w:rFonts w:asciiTheme="minorEastAsia" w:eastAsiaTheme="minorEastAsia" w:hAnsiTheme="minorEastAsia" w:hint="eastAsia"/>
            <w:noProof/>
            <w:sz w:val="24"/>
          </w:rPr>
        </w:r>
        <w:r>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w:t>
        </w:r>
        <w:r>
          <w:rPr>
            <w:rStyle w:val="af"/>
            <w:rFonts w:asciiTheme="minorEastAsia" w:eastAsiaTheme="minorEastAsia" w:hAnsiTheme="minorEastAsia" w:hint="eastAsia"/>
            <w:noProof/>
            <w:sz w:val="24"/>
          </w:rPr>
          <w:fldChar w:fldCharType="end"/>
        </w:r>
      </w:hyperlink>
    </w:p>
    <w:p w14:paraId="6B2FD7F7" w14:textId="77777777" w:rsidR="007764FF" w:rsidRDefault="002A7E42">
      <w:pPr>
        <w:pStyle w:val="21"/>
        <w:spacing w:line="360" w:lineRule="auto"/>
        <w:rPr>
          <w:rStyle w:val="af"/>
          <w:rFonts w:asciiTheme="minorEastAsia" w:eastAsiaTheme="minorEastAsia" w:hAnsiTheme="minorEastAsia"/>
          <w:noProof/>
          <w:sz w:val="24"/>
        </w:rPr>
      </w:pPr>
      <w:hyperlink w:anchor="_Toc124325886" w:history="1">
        <w:r w:rsidR="008F7605">
          <w:rPr>
            <w:rStyle w:val="af"/>
            <w:rFonts w:asciiTheme="minorEastAsia" w:eastAsiaTheme="minorEastAsia" w:hAnsiTheme="minorEastAsia" w:hint="eastAsia"/>
            <w:noProof/>
            <w:sz w:val="24"/>
          </w:rPr>
          <w:t>二、基金托管协议的依据、目的和原则</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_Toc124325886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w:t>
        </w:r>
        <w:r w:rsidR="008F7605">
          <w:rPr>
            <w:rStyle w:val="af"/>
            <w:rFonts w:asciiTheme="minorEastAsia" w:eastAsiaTheme="minorEastAsia" w:hAnsiTheme="minorEastAsia" w:hint="eastAsia"/>
            <w:noProof/>
            <w:sz w:val="24"/>
          </w:rPr>
          <w:fldChar w:fldCharType="end"/>
        </w:r>
      </w:hyperlink>
    </w:p>
    <w:p w14:paraId="257D0C47" w14:textId="77777777" w:rsidR="007764FF" w:rsidRDefault="002A7E42">
      <w:pPr>
        <w:pStyle w:val="21"/>
        <w:spacing w:line="360" w:lineRule="auto"/>
        <w:rPr>
          <w:rStyle w:val="af"/>
          <w:rFonts w:asciiTheme="minorEastAsia" w:eastAsiaTheme="minorEastAsia" w:hAnsiTheme="minorEastAsia"/>
          <w:noProof/>
          <w:sz w:val="24"/>
        </w:rPr>
      </w:pPr>
      <w:hyperlink w:anchor="_Toc124325887" w:history="1">
        <w:r w:rsidR="008F7605">
          <w:rPr>
            <w:rStyle w:val="af"/>
            <w:rFonts w:asciiTheme="minorEastAsia" w:eastAsiaTheme="minorEastAsia" w:hAnsiTheme="minorEastAsia" w:hint="eastAsia"/>
            <w:noProof/>
            <w:sz w:val="24"/>
          </w:rPr>
          <w:t>三、基金托管人对基金管理人的业务监督和核查</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_Toc124325887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w:t>
        </w:r>
        <w:r w:rsidR="008F7605">
          <w:rPr>
            <w:rStyle w:val="af"/>
            <w:rFonts w:asciiTheme="minorEastAsia" w:eastAsiaTheme="minorEastAsia" w:hAnsiTheme="minorEastAsia" w:hint="eastAsia"/>
            <w:noProof/>
            <w:sz w:val="24"/>
          </w:rPr>
          <w:fldChar w:fldCharType="end"/>
        </w:r>
      </w:hyperlink>
    </w:p>
    <w:p w14:paraId="494CC8D9" w14:textId="77777777" w:rsidR="007764FF" w:rsidRDefault="002A7E42">
      <w:pPr>
        <w:pStyle w:val="21"/>
        <w:spacing w:line="360" w:lineRule="auto"/>
        <w:rPr>
          <w:rStyle w:val="af"/>
          <w:rFonts w:asciiTheme="minorEastAsia" w:eastAsiaTheme="minorEastAsia" w:hAnsiTheme="minorEastAsia"/>
          <w:noProof/>
          <w:sz w:val="24"/>
        </w:rPr>
      </w:pPr>
      <w:hyperlink w:anchor="_Toc124325888" w:history="1">
        <w:r w:rsidR="008F7605">
          <w:rPr>
            <w:rStyle w:val="af"/>
            <w:rFonts w:asciiTheme="minorEastAsia" w:eastAsiaTheme="minorEastAsia" w:hAnsiTheme="minorEastAsia" w:hint="eastAsia"/>
            <w:noProof/>
            <w:sz w:val="24"/>
          </w:rPr>
          <w:t>四、基金管理人对基金托管人的业务核查</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_Toc124325888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8</w:t>
        </w:r>
        <w:r w:rsidR="008F7605">
          <w:rPr>
            <w:rStyle w:val="af"/>
            <w:rFonts w:asciiTheme="minorEastAsia" w:eastAsiaTheme="minorEastAsia" w:hAnsiTheme="minorEastAsia" w:hint="eastAsia"/>
            <w:noProof/>
            <w:sz w:val="24"/>
          </w:rPr>
          <w:fldChar w:fldCharType="end"/>
        </w:r>
      </w:hyperlink>
    </w:p>
    <w:p w14:paraId="21C20A7F" w14:textId="77777777" w:rsidR="007764FF" w:rsidRDefault="002A7E42">
      <w:pPr>
        <w:pStyle w:val="21"/>
        <w:spacing w:line="360" w:lineRule="auto"/>
        <w:rPr>
          <w:rStyle w:val="af"/>
          <w:rFonts w:asciiTheme="minorEastAsia" w:eastAsiaTheme="minorEastAsia" w:hAnsiTheme="minorEastAsia"/>
          <w:noProof/>
          <w:sz w:val="24"/>
        </w:rPr>
      </w:pPr>
      <w:hyperlink w:anchor="_Toc124325889" w:history="1">
        <w:r w:rsidR="008F7605">
          <w:rPr>
            <w:rStyle w:val="af"/>
            <w:rFonts w:asciiTheme="minorEastAsia" w:eastAsiaTheme="minorEastAsia" w:hAnsiTheme="minorEastAsia" w:hint="eastAsia"/>
            <w:noProof/>
            <w:sz w:val="24"/>
          </w:rPr>
          <w:t>五、基金财产的保管</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_Toc124325889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8</w:t>
        </w:r>
        <w:r w:rsidR="008F7605">
          <w:rPr>
            <w:rStyle w:val="af"/>
            <w:rFonts w:asciiTheme="minorEastAsia" w:eastAsiaTheme="minorEastAsia" w:hAnsiTheme="minorEastAsia" w:hint="eastAsia"/>
            <w:noProof/>
            <w:sz w:val="24"/>
          </w:rPr>
          <w:fldChar w:fldCharType="end"/>
        </w:r>
      </w:hyperlink>
    </w:p>
    <w:p w14:paraId="2C195F90" w14:textId="77777777" w:rsidR="007764FF" w:rsidRDefault="002A7E42">
      <w:pPr>
        <w:pStyle w:val="21"/>
        <w:spacing w:line="360" w:lineRule="auto"/>
        <w:rPr>
          <w:rStyle w:val="af"/>
          <w:rFonts w:asciiTheme="minorEastAsia" w:eastAsiaTheme="minorEastAsia" w:hAnsiTheme="minorEastAsia"/>
          <w:noProof/>
          <w:sz w:val="24"/>
        </w:rPr>
      </w:pPr>
      <w:hyperlink w:anchor="_Toc124325890" w:history="1">
        <w:r w:rsidR="008F7605">
          <w:rPr>
            <w:rStyle w:val="af"/>
            <w:rFonts w:asciiTheme="minorEastAsia" w:eastAsiaTheme="minorEastAsia" w:hAnsiTheme="minorEastAsia" w:hint="eastAsia"/>
            <w:noProof/>
            <w:sz w:val="24"/>
          </w:rPr>
          <w:t>六、指令的发送、确认及执行</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_Toc124325890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11</w:t>
        </w:r>
        <w:r w:rsidR="008F7605">
          <w:rPr>
            <w:rStyle w:val="af"/>
            <w:rFonts w:asciiTheme="minorEastAsia" w:eastAsiaTheme="minorEastAsia" w:hAnsiTheme="minorEastAsia" w:hint="eastAsia"/>
            <w:noProof/>
            <w:sz w:val="24"/>
          </w:rPr>
          <w:fldChar w:fldCharType="end"/>
        </w:r>
      </w:hyperlink>
    </w:p>
    <w:p w14:paraId="6473DE58" w14:textId="77777777" w:rsidR="007764FF" w:rsidRDefault="002A7E42">
      <w:pPr>
        <w:pStyle w:val="21"/>
        <w:spacing w:line="360" w:lineRule="auto"/>
        <w:rPr>
          <w:rStyle w:val="af"/>
          <w:rFonts w:asciiTheme="minorEastAsia" w:eastAsiaTheme="minorEastAsia" w:hAnsiTheme="minorEastAsia"/>
          <w:noProof/>
          <w:sz w:val="24"/>
        </w:rPr>
      </w:pPr>
      <w:hyperlink w:anchor="_Toc124325891" w:history="1">
        <w:r w:rsidR="008F7605">
          <w:rPr>
            <w:rStyle w:val="af"/>
            <w:rFonts w:asciiTheme="minorEastAsia" w:eastAsiaTheme="minorEastAsia" w:hAnsiTheme="minorEastAsia" w:hint="eastAsia"/>
            <w:noProof/>
            <w:sz w:val="24"/>
          </w:rPr>
          <w:t>七、交易及清算交收安排</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_Toc124325891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13</w:t>
        </w:r>
        <w:r w:rsidR="008F7605">
          <w:rPr>
            <w:rStyle w:val="af"/>
            <w:rFonts w:asciiTheme="minorEastAsia" w:eastAsiaTheme="minorEastAsia" w:hAnsiTheme="minorEastAsia" w:hint="eastAsia"/>
            <w:noProof/>
            <w:sz w:val="24"/>
          </w:rPr>
          <w:fldChar w:fldCharType="end"/>
        </w:r>
      </w:hyperlink>
    </w:p>
    <w:p w14:paraId="4C25B74D" w14:textId="77777777" w:rsidR="007764FF" w:rsidRDefault="002A7E42">
      <w:pPr>
        <w:pStyle w:val="21"/>
        <w:spacing w:line="360" w:lineRule="auto"/>
        <w:rPr>
          <w:rStyle w:val="af"/>
          <w:rFonts w:asciiTheme="minorEastAsia" w:eastAsiaTheme="minorEastAsia" w:hAnsiTheme="minorEastAsia"/>
          <w:noProof/>
          <w:sz w:val="24"/>
        </w:rPr>
      </w:pPr>
      <w:hyperlink w:anchor="_Toc124325892" w:history="1">
        <w:r w:rsidR="008F7605">
          <w:rPr>
            <w:rStyle w:val="af"/>
            <w:rFonts w:asciiTheme="minorEastAsia" w:eastAsiaTheme="minorEastAsia" w:hAnsiTheme="minorEastAsia" w:hint="eastAsia"/>
            <w:noProof/>
            <w:sz w:val="24"/>
          </w:rPr>
          <w:t>八、基金资产净值计算和会计核算</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_Toc124325892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16</w:t>
        </w:r>
        <w:r w:rsidR="008F7605">
          <w:rPr>
            <w:rStyle w:val="af"/>
            <w:rFonts w:asciiTheme="minorEastAsia" w:eastAsiaTheme="minorEastAsia" w:hAnsiTheme="minorEastAsia" w:hint="eastAsia"/>
            <w:noProof/>
            <w:sz w:val="24"/>
          </w:rPr>
          <w:fldChar w:fldCharType="end"/>
        </w:r>
      </w:hyperlink>
    </w:p>
    <w:p w14:paraId="5DF5DCF0" w14:textId="77777777" w:rsidR="007764FF" w:rsidRDefault="002A7E42">
      <w:pPr>
        <w:pStyle w:val="21"/>
        <w:spacing w:line="360" w:lineRule="auto"/>
        <w:rPr>
          <w:rStyle w:val="af"/>
          <w:rFonts w:asciiTheme="minorEastAsia" w:eastAsiaTheme="minorEastAsia" w:hAnsiTheme="minorEastAsia"/>
          <w:noProof/>
          <w:sz w:val="24"/>
        </w:rPr>
      </w:pPr>
      <w:hyperlink w:anchor="_Toc124325893" w:history="1">
        <w:r w:rsidR="008F7605">
          <w:rPr>
            <w:rStyle w:val="af"/>
            <w:rFonts w:asciiTheme="minorEastAsia" w:eastAsiaTheme="minorEastAsia" w:hAnsiTheme="minorEastAsia" w:hint="eastAsia"/>
            <w:noProof/>
            <w:sz w:val="24"/>
          </w:rPr>
          <w:t>九、基金收益分配</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_Toc124325893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22</w:t>
        </w:r>
        <w:r w:rsidR="008F7605">
          <w:rPr>
            <w:rStyle w:val="af"/>
            <w:rFonts w:asciiTheme="minorEastAsia" w:eastAsiaTheme="minorEastAsia" w:hAnsiTheme="minorEastAsia" w:hint="eastAsia"/>
            <w:noProof/>
            <w:sz w:val="24"/>
          </w:rPr>
          <w:fldChar w:fldCharType="end"/>
        </w:r>
      </w:hyperlink>
    </w:p>
    <w:p w14:paraId="3C29C678" w14:textId="77777777" w:rsidR="007764FF" w:rsidRDefault="002A7E42">
      <w:pPr>
        <w:pStyle w:val="21"/>
        <w:spacing w:line="360" w:lineRule="auto"/>
        <w:rPr>
          <w:rStyle w:val="af"/>
          <w:rFonts w:asciiTheme="minorEastAsia" w:eastAsiaTheme="minorEastAsia" w:hAnsiTheme="minorEastAsia"/>
          <w:noProof/>
          <w:sz w:val="24"/>
        </w:rPr>
      </w:pPr>
      <w:hyperlink w:anchor="_Toc124325894" w:history="1">
        <w:r w:rsidR="008F7605">
          <w:rPr>
            <w:rStyle w:val="af"/>
            <w:rFonts w:asciiTheme="minorEastAsia" w:eastAsiaTheme="minorEastAsia" w:hAnsiTheme="minorEastAsia" w:hint="eastAsia"/>
            <w:noProof/>
            <w:sz w:val="24"/>
          </w:rPr>
          <w:t>十、基金</w:t>
        </w:r>
        <w:bookmarkStart w:id="0" w:name="_GoBack"/>
        <w:bookmarkEnd w:id="0"/>
        <w:r w:rsidR="008F7605">
          <w:rPr>
            <w:rStyle w:val="af"/>
            <w:rFonts w:asciiTheme="minorEastAsia" w:eastAsiaTheme="minorEastAsia" w:hAnsiTheme="minorEastAsia" w:hint="eastAsia"/>
            <w:noProof/>
            <w:sz w:val="24"/>
          </w:rPr>
          <w:t>信息披露</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_Toc124325894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23</w:t>
        </w:r>
        <w:r w:rsidR="008F7605">
          <w:rPr>
            <w:rStyle w:val="af"/>
            <w:rFonts w:asciiTheme="minorEastAsia" w:eastAsiaTheme="minorEastAsia" w:hAnsiTheme="minorEastAsia" w:hint="eastAsia"/>
            <w:noProof/>
            <w:sz w:val="24"/>
          </w:rPr>
          <w:fldChar w:fldCharType="end"/>
        </w:r>
      </w:hyperlink>
    </w:p>
    <w:p w14:paraId="29AFB6EC" w14:textId="77777777" w:rsidR="007764FF" w:rsidRDefault="002A7E42">
      <w:pPr>
        <w:pStyle w:val="21"/>
        <w:spacing w:line="360" w:lineRule="auto"/>
        <w:rPr>
          <w:rStyle w:val="af"/>
          <w:rFonts w:asciiTheme="minorEastAsia" w:eastAsiaTheme="minorEastAsia" w:hAnsiTheme="minorEastAsia"/>
          <w:noProof/>
          <w:sz w:val="24"/>
        </w:rPr>
      </w:pPr>
      <w:hyperlink w:anchor="_Toc124325895" w:history="1">
        <w:r w:rsidR="008F7605">
          <w:rPr>
            <w:rStyle w:val="af"/>
            <w:rFonts w:asciiTheme="minorEastAsia" w:eastAsiaTheme="minorEastAsia" w:hAnsiTheme="minorEastAsia" w:hint="eastAsia"/>
            <w:noProof/>
            <w:sz w:val="24"/>
          </w:rPr>
          <w:t>十一、基金费用</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_Toc124325895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24</w:t>
        </w:r>
        <w:r w:rsidR="008F7605">
          <w:rPr>
            <w:rStyle w:val="af"/>
            <w:rFonts w:asciiTheme="minorEastAsia" w:eastAsiaTheme="minorEastAsia" w:hAnsiTheme="minorEastAsia" w:hint="eastAsia"/>
            <w:noProof/>
            <w:sz w:val="24"/>
          </w:rPr>
          <w:fldChar w:fldCharType="end"/>
        </w:r>
      </w:hyperlink>
    </w:p>
    <w:p w14:paraId="55094098" w14:textId="77777777" w:rsidR="007764FF" w:rsidRDefault="002A7E42">
      <w:pPr>
        <w:pStyle w:val="21"/>
        <w:spacing w:line="360" w:lineRule="auto"/>
        <w:rPr>
          <w:rStyle w:val="af"/>
          <w:rFonts w:asciiTheme="minorEastAsia" w:eastAsiaTheme="minorEastAsia" w:hAnsiTheme="minorEastAsia"/>
          <w:noProof/>
          <w:sz w:val="24"/>
        </w:rPr>
      </w:pPr>
      <w:hyperlink w:anchor="_Toc124325896" w:history="1">
        <w:r w:rsidR="008F7605">
          <w:rPr>
            <w:rStyle w:val="af"/>
            <w:rFonts w:asciiTheme="minorEastAsia" w:eastAsiaTheme="minorEastAsia" w:hAnsiTheme="minorEastAsia" w:hint="eastAsia"/>
            <w:noProof/>
            <w:sz w:val="24"/>
          </w:rPr>
          <w:t>十二、基金份额持有人名册的保管</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_Toc124325896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26</w:t>
        </w:r>
        <w:r w:rsidR="008F7605">
          <w:rPr>
            <w:rStyle w:val="af"/>
            <w:rFonts w:asciiTheme="minorEastAsia" w:eastAsiaTheme="minorEastAsia" w:hAnsiTheme="minorEastAsia" w:hint="eastAsia"/>
            <w:noProof/>
            <w:sz w:val="24"/>
          </w:rPr>
          <w:fldChar w:fldCharType="end"/>
        </w:r>
      </w:hyperlink>
    </w:p>
    <w:p w14:paraId="5EFFDE49" w14:textId="77777777" w:rsidR="007764FF" w:rsidRDefault="002A7E42">
      <w:pPr>
        <w:pStyle w:val="21"/>
        <w:spacing w:line="360" w:lineRule="auto"/>
        <w:rPr>
          <w:rStyle w:val="af"/>
          <w:rFonts w:asciiTheme="minorEastAsia" w:eastAsiaTheme="minorEastAsia" w:hAnsiTheme="minorEastAsia"/>
          <w:noProof/>
          <w:sz w:val="24"/>
        </w:rPr>
      </w:pPr>
      <w:hyperlink w:anchor="_Toc124325897" w:history="1">
        <w:r w:rsidR="008F7605">
          <w:rPr>
            <w:rStyle w:val="af"/>
            <w:rFonts w:asciiTheme="minorEastAsia" w:eastAsiaTheme="minorEastAsia" w:hAnsiTheme="minorEastAsia" w:hint="eastAsia"/>
            <w:noProof/>
            <w:sz w:val="24"/>
          </w:rPr>
          <w:t>十三、基金有关文件档案的保存</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_Toc124325897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26</w:t>
        </w:r>
        <w:r w:rsidR="008F7605">
          <w:rPr>
            <w:rStyle w:val="af"/>
            <w:rFonts w:asciiTheme="minorEastAsia" w:eastAsiaTheme="minorEastAsia" w:hAnsiTheme="minorEastAsia" w:hint="eastAsia"/>
            <w:noProof/>
            <w:sz w:val="24"/>
          </w:rPr>
          <w:fldChar w:fldCharType="end"/>
        </w:r>
      </w:hyperlink>
    </w:p>
    <w:p w14:paraId="18FF72E9" w14:textId="77777777" w:rsidR="007764FF" w:rsidRDefault="002A7E42">
      <w:pPr>
        <w:pStyle w:val="21"/>
        <w:spacing w:line="360" w:lineRule="auto"/>
        <w:rPr>
          <w:rStyle w:val="af"/>
          <w:rFonts w:asciiTheme="minorEastAsia" w:eastAsiaTheme="minorEastAsia" w:hAnsiTheme="minorEastAsia"/>
          <w:noProof/>
          <w:sz w:val="24"/>
        </w:rPr>
      </w:pPr>
      <w:hyperlink w:anchor="_Toc124325898" w:history="1">
        <w:r w:rsidR="008F7605">
          <w:rPr>
            <w:rStyle w:val="af"/>
            <w:rFonts w:asciiTheme="minorEastAsia" w:eastAsiaTheme="minorEastAsia" w:hAnsiTheme="minorEastAsia" w:hint="eastAsia"/>
            <w:noProof/>
            <w:sz w:val="24"/>
          </w:rPr>
          <w:t>十四、基金管理人和基金托管人的更换</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_Toc124325898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27</w:t>
        </w:r>
        <w:r w:rsidR="008F7605">
          <w:rPr>
            <w:rStyle w:val="af"/>
            <w:rFonts w:asciiTheme="minorEastAsia" w:eastAsiaTheme="minorEastAsia" w:hAnsiTheme="minorEastAsia" w:hint="eastAsia"/>
            <w:noProof/>
            <w:sz w:val="24"/>
          </w:rPr>
          <w:fldChar w:fldCharType="end"/>
        </w:r>
      </w:hyperlink>
    </w:p>
    <w:p w14:paraId="1AE806B3" w14:textId="77777777" w:rsidR="007764FF" w:rsidRDefault="002A7E42">
      <w:pPr>
        <w:pStyle w:val="21"/>
        <w:spacing w:line="360" w:lineRule="auto"/>
        <w:rPr>
          <w:rStyle w:val="af"/>
          <w:rFonts w:asciiTheme="minorEastAsia" w:eastAsiaTheme="minorEastAsia" w:hAnsiTheme="minorEastAsia"/>
          <w:noProof/>
          <w:sz w:val="24"/>
        </w:rPr>
      </w:pPr>
      <w:hyperlink w:anchor="_Toc124325899" w:history="1">
        <w:r w:rsidR="008F7605">
          <w:rPr>
            <w:rStyle w:val="af"/>
            <w:rFonts w:asciiTheme="minorEastAsia" w:eastAsiaTheme="minorEastAsia" w:hAnsiTheme="minorEastAsia" w:hint="eastAsia"/>
            <w:noProof/>
            <w:sz w:val="24"/>
          </w:rPr>
          <w:t>十五、禁止行为</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_Toc124325899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28</w:t>
        </w:r>
        <w:r w:rsidR="008F7605">
          <w:rPr>
            <w:rStyle w:val="af"/>
            <w:rFonts w:asciiTheme="minorEastAsia" w:eastAsiaTheme="minorEastAsia" w:hAnsiTheme="minorEastAsia" w:hint="eastAsia"/>
            <w:noProof/>
            <w:sz w:val="24"/>
          </w:rPr>
          <w:fldChar w:fldCharType="end"/>
        </w:r>
      </w:hyperlink>
    </w:p>
    <w:p w14:paraId="5255C164" w14:textId="77777777" w:rsidR="007764FF" w:rsidRDefault="002A7E42">
      <w:pPr>
        <w:pStyle w:val="21"/>
        <w:spacing w:line="360" w:lineRule="auto"/>
        <w:rPr>
          <w:rStyle w:val="af"/>
          <w:rFonts w:asciiTheme="minorEastAsia" w:eastAsiaTheme="minorEastAsia" w:hAnsiTheme="minorEastAsia"/>
          <w:noProof/>
          <w:sz w:val="24"/>
        </w:rPr>
      </w:pPr>
      <w:hyperlink w:anchor="_Toc124325900" w:history="1">
        <w:r w:rsidR="008F7605">
          <w:rPr>
            <w:rStyle w:val="af"/>
            <w:rFonts w:asciiTheme="minorEastAsia" w:eastAsiaTheme="minorEastAsia" w:hAnsiTheme="minorEastAsia" w:hint="eastAsia"/>
            <w:noProof/>
            <w:sz w:val="24"/>
          </w:rPr>
          <w:t>十六、托管协议的变更、终止与基金财产的清算</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_Toc124325900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29</w:t>
        </w:r>
        <w:r w:rsidR="008F7605">
          <w:rPr>
            <w:rStyle w:val="af"/>
            <w:rFonts w:asciiTheme="minorEastAsia" w:eastAsiaTheme="minorEastAsia" w:hAnsiTheme="minorEastAsia" w:hint="eastAsia"/>
            <w:noProof/>
            <w:sz w:val="24"/>
          </w:rPr>
          <w:fldChar w:fldCharType="end"/>
        </w:r>
      </w:hyperlink>
    </w:p>
    <w:p w14:paraId="3EE8F44B" w14:textId="77777777" w:rsidR="007764FF" w:rsidRDefault="002A7E42">
      <w:pPr>
        <w:pStyle w:val="21"/>
        <w:spacing w:line="360" w:lineRule="auto"/>
        <w:rPr>
          <w:rStyle w:val="af"/>
          <w:rFonts w:asciiTheme="minorEastAsia" w:eastAsiaTheme="minorEastAsia" w:hAnsiTheme="minorEastAsia"/>
          <w:noProof/>
          <w:sz w:val="24"/>
        </w:rPr>
      </w:pPr>
      <w:hyperlink w:anchor="_Toc124325901" w:history="1">
        <w:r w:rsidR="008F7605">
          <w:rPr>
            <w:rStyle w:val="af"/>
            <w:rFonts w:asciiTheme="minorEastAsia" w:eastAsiaTheme="minorEastAsia" w:hAnsiTheme="minorEastAsia" w:hint="eastAsia"/>
            <w:noProof/>
            <w:sz w:val="24"/>
          </w:rPr>
          <w:t>十七、违约责任</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_Toc124325901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30</w:t>
        </w:r>
        <w:r w:rsidR="008F7605">
          <w:rPr>
            <w:rStyle w:val="af"/>
            <w:rFonts w:asciiTheme="minorEastAsia" w:eastAsiaTheme="minorEastAsia" w:hAnsiTheme="minorEastAsia" w:hint="eastAsia"/>
            <w:noProof/>
            <w:sz w:val="24"/>
          </w:rPr>
          <w:fldChar w:fldCharType="end"/>
        </w:r>
      </w:hyperlink>
    </w:p>
    <w:p w14:paraId="09F0A85B" w14:textId="77777777" w:rsidR="007764FF" w:rsidRDefault="002A7E42">
      <w:pPr>
        <w:pStyle w:val="21"/>
        <w:spacing w:line="360" w:lineRule="auto"/>
        <w:rPr>
          <w:rStyle w:val="af"/>
          <w:rFonts w:asciiTheme="minorEastAsia" w:eastAsiaTheme="minorEastAsia" w:hAnsiTheme="minorEastAsia"/>
          <w:noProof/>
          <w:sz w:val="24"/>
        </w:rPr>
      </w:pPr>
      <w:hyperlink w:anchor="_Toc124325902" w:history="1">
        <w:r w:rsidR="008F7605">
          <w:rPr>
            <w:rStyle w:val="af"/>
            <w:rFonts w:asciiTheme="minorEastAsia" w:eastAsiaTheme="minorEastAsia" w:hAnsiTheme="minorEastAsia" w:hint="eastAsia"/>
            <w:noProof/>
            <w:sz w:val="24"/>
          </w:rPr>
          <w:t>十八、争议解决方式</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_Toc124325902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31</w:t>
        </w:r>
        <w:r w:rsidR="008F7605">
          <w:rPr>
            <w:rStyle w:val="af"/>
            <w:rFonts w:asciiTheme="minorEastAsia" w:eastAsiaTheme="minorEastAsia" w:hAnsiTheme="minorEastAsia" w:hint="eastAsia"/>
            <w:noProof/>
            <w:sz w:val="24"/>
          </w:rPr>
          <w:fldChar w:fldCharType="end"/>
        </w:r>
      </w:hyperlink>
    </w:p>
    <w:p w14:paraId="70776CFE" w14:textId="77777777" w:rsidR="007764FF" w:rsidRDefault="002A7E42">
      <w:pPr>
        <w:pStyle w:val="21"/>
        <w:spacing w:line="360" w:lineRule="auto"/>
        <w:rPr>
          <w:rStyle w:val="af"/>
          <w:rFonts w:asciiTheme="minorEastAsia" w:eastAsiaTheme="minorEastAsia" w:hAnsiTheme="minorEastAsia"/>
          <w:noProof/>
          <w:sz w:val="24"/>
        </w:rPr>
      </w:pPr>
      <w:hyperlink w:anchor="_Toc124325903" w:history="1">
        <w:r w:rsidR="008F7605">
          <w:rPr>
            <w:rStyle w:val="af"/>
            <w:rFonts w:asciiTheme="minorEastAsia" w:eastAsiaTheme="minorEastAsia" w:hAnsiTheme="minorEastAsia" w:hint="eastAsia"/>
            <w:noProof/>
            <w:sz w:val="24"/>
          </w:rPr>
          <w:t>十九、托管协议的效力</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_Toc124325903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31</w:t>
        </w:r>
        <w:r w:rsidR="008F7605">
          <w:rPr>
            <w:rStyle w:val="af"/>
            <w:rFonts w:asciiTheme="minorEastAsia" w:eastAsiaTheme="minorEastAsia" w:hAnsiTheme="minorEastAsia" w:hint="eastAsia"/>
            <w:noProof/>
            <w:sz w:val="24"/>
          </w:rPr>
          <w:fldChar w:fldCharType="end"/>
        </w:r>
      </w:hyperlink>
    </w:p>
    <w:p w14:paraId="309D467C" w14:textId="77777777" w:rsidR="007764FF" w:rsidRDefault="002A7E42">
      <w:pPr>
        <w:pStyle w:val="21"/>
        <w:spacing w:line="360" w:lineRule="auto"/>
        <w:rPr>
          <w:rStyle w:val="af"/>
          <w:rFonts w:asciiTheme="minorEastAsia" w:eastAsiaTheme="minorEastAsia" w:hAnsiTheme="minorEastAsia"/>
          <w:noProof/>
          <w:sz w:val="24"/>
        </w:rPr>
      </w:pPr>
      <w:hyperlink w:anchor="_Toc124325904" w:history="1">
        <w:r w:rsidR="008F7605">
          <w:rPr>
            <w:rStyle w:val="af"/>
            <w:rFonts w:asciiTheme="minorEastAsia" w:eastAsiaTheme="minorEastAsia" w:hAnsiTheme="minorEastAsia" w:hint="eastAsia"/>
            <w:noProof/>
            <w:sz w:val="24"/>
          </w:rPr>
          <w:t>二十、其他事项</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_Toc124325904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31</w:t>
        </w:r>
        <w:r w:rsidR="008F7605">
          <w:rPr>
            <w:rStyle w:val="af"/>
            <w:rFonts w:asciiTheme="minorEastAsia" w:eastAsiaTheme="minorEastAsia" w:hAnsiTheme="minorEastAsia" w:hint="eastAsia"/>
            <w:noProof/>
            <w:sz w:val="24"/>
          </w:rPr>
          <w:fldChar w:fldCharType="end"/>
        </w:r>
      </w:hyperlink>
    </w:p>
    <w:p w14:paraId="1CA5C06A" w14:textId="77777777" w:rsidR="007764FF" w:rsidRDefault="002A7E42">
      <w:pPr>
        <w:pStyle w:val="21"/>
        <w:spacing w:line="360" w:lineRule="auto"/>
        <w:rPr>
          <w:rStyle w:val="af"/>
          <w:rFonts w:asciiTheme="minorEastAsia" w:eastAsiaTheme="minorEastAsia" w:hAnsiTheme="minorEastAsia"/>
          <w:noProof/>
          <w:sz w:val="28"/>
          <w:szCs w:val="32"/>
        </w:rPr>
      </w:pPr>
      <w:hyperlink w:anchor="_Toc124325905" w:history="1">
        <w:r w:rsidR="008F7605">
          <w:rPr>
            <w:rStyle w:val="af"/>
            <w:rFonts w:asciiTheme="minorEastAsia" w:eastAsiaTheme="minorEastAsia" w:hAnsiTheme="minorEastAsia" w:hint="eastAsia"/>
            <w:noProof/>
            <w:sz w:val="24"/>
          </w:rPr>
          <w:t>二十一、托管协议的签订</w:t>
        </w:r>
        <w:r w:rsidR="008F7605">
          <w:rPr>
            <w:rStyle w:val="af"/>
            <w:rFonts w:asciiTheme="minorEastAsia" w:eastAsiaTheme="minorEastAsia" w:hAnsiTheme="minorEastAsia"/>
            <w:noProof/>
            <w:sz w:val="24"/>
          </w:rPr>
          <w:tab/>
        </w:r>
        <w:r w:rsidR="008F7605">
          <w:rPr>
            <w:rStyle w:val="af"/>
            <w:rFonts w:asciiTheme="minorEastAsia" w:eastAsiaTheme="minorEastAsia" w:hAnsiTheme="minorEastAsia" w:hint="eastAsia"/>
            <w:noProof/>
            <w:sz w:val="24"/>
          </w:rPr>
          <w:fldChar w:fldCharType="begin"/>
        </w:r>
        <w:r w:rsidR="008F7605">
          <w:rPr>
            <w:rStyle w:val="af"/>
            <w:rFonts w:asciiTheme="minorEastAsia" w:eastAsiaTheme="minorEastAsia" w:hAnsiTheme="minorEastAsia"/>
            <w:noProof/>
            <w:sz w:val="24"/>
          </w:rPr>
          <w:instrText xml:space="preserve"> PAGEREF _Toc124325905 \h </w:instrText>
        </w:r>
        <w:r w:rsidR="008F7605">
          <w:rPr>
            <w:rStyle w:val="af"/>
            <w:rFonts w:asciiTheme="minorEastAsia" w:eastAsiaTheme="minorEastAsia" w:hAnsiTheme="minorEastAsia" w:hint="eastAsia"/>
            <w:noProof/>
            <w:sz w:val="24"/>
          </w:rPr>
        </w:r>
        <w:r w:rsidR="008F7605">
          <w:rPr>
            <w:rStyle w:val="af"/>
            <w:rFonts w:asciiTheme="minorEastAsia" w:eastAsiaTheme="minorEastAsia" w:hAnsiTheme="minorEastAsia" w:hint="eastAsia"/>
            <w:noProof/>
            <w:sz w:val="24"/>
          </w:rPr>
          <w:fldChar w:fldCharType="separate"/>
        </w:r>
        <w:r w:rsidR="004B4644">
          <w:rPr>
            <w:rStyle w:val="af"/>
            <w:rFonts w:asciiTheme="minorEastAsia" w:eastAsiaTheme="minorEastAsia" w:hAnsiTheme="minorEastAsia"/>
            <w:noProof/>
            <w:sz w:val="24"/>
          </w:rPr>
          <w:t>32</w:t>
        </w:r>
        <w:r w:rsidR="008F7605">
          <w:rPr>
            <w:rStyle w:val="af"/>
            <w:rFonts w:asciiTheme="minorEastAsia" w:eastAsiaTheme="minorEastAsia" w:hAnsiTheme="minorEastAsia" w:hint="eastAsia"/>
            <w:noProof/>
            <w:sz w:val="24"/>
          </w:rPr>
          <w:fldChar w:fldCharType="end"/>
        </w:r>
      </w:hyperlink>
    </w:p>
    <w:p w14:paraId="1DD37348" w14:textId="77777777" w:rsidR="007764FF" w:rsidRDefault="008F7605">
      <w:pPr>
        <w:rPr>
          <w:rStyle w:val="af"/>
          <w:rFonts w:asciiTheme="minorEastAsia" w:eastAsiaTheme="minorEastAsia" w:hAnsiTheme="minorEastAsia"/>
          <w:szCs w:val="32"/>
        </w:rPr>
      </w:pPr>
      <w:r>
        <w:rPr>
          <w:rStyle w:val="af"/>
          <w:rFonts w:asciiTheme="minorEastAsia" w:eastAsiaTheme="minorEastAsia" w:hAnsiTheme="minorEastAsia" w:hint="eastAsia"/>
          <w:szCs w:val="32"/>
        </w:rPr>
        <w:fldChar w:fldCharType="end"/>
      </w:r>
    </w:p>
    <w:p w14:paraId="53FA63A7" w14:textId="77777777" w:rsidR="007764FF" w:rsidRDefault="008F7605">
      <w:pPr>
        <w:widowControl/>
        <w:jc w:val="left"/>
        <w:rPr>
          <w:rStyle w:val="af"/>
          <w:rFonts w:asciiTheme="minorEastAsia" w:eastAsiaTheme="minorEastAsia" w:hAnsiTheme="minorEastAsia"/>
          <w:szCs w:val="32"/>
        </w:rPr>
      </w:pPr>
      <w:r>
        <w:rPr>
          <w:rStyle w:val="af"/>
          <w:rFonts w:asciiTheme="minorEastAsia" w:eastAsiaTheme="minorEastAsia" w:hAnsiTheme="minorEastAsia"/>
          <w:szCs w:val="32"/>
        </w:rPr>
        <w:br w:type="page"/>
      </w:r>
    </w:p>
    <w:p w14:paraId="47CDD6FB" w14:textId="77777777" w:rsidR="007764FF" w:rsidRDefault="007764FF">
      <w:pPr>
        <w:rPr>
          <w:rFonts w:asciiTheme="minorEastAsia" w:eastAsiaTheme="minorEastAsia" w:hAnsiTheme="minorEastAsia"/>
          <w:sz w:val="24"/>
        </w:rPr>
      </w:pPr>
    </w:p>
    <w:p w14:paraId="3EBD48CE" w14:textId="478B9E5C"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银华基金管理股份有限公司系一家依照中国法律合法成立并有效存续的股份有限公司，按照相关法律法规的规定具备担任基金管理人的资格和能力，拟募集发行银华多策略稳进三个月持有期混合型基金中基金（ETF-FOF）；</w:t>
      </w:r>
    </w:p>
    <w:p w14:paraId="7E9ED6B5" w14:textId="77777777"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2E9FCFB9" w14:textId="08F9016B"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鉴于银华基金管理股份有限公司拟担任银华多策略稳进三个月持有期混合型基金中基金（ETF-FOF）（以下简称“本基金”或“基金”）的基金管理人，中国建设银行股份有限公司拟担任银华多策略稳进三个月持有期混合型基金中基金（ETF-FOF）的基金托管人；</w:t>
      </w:r>
    </w:p>
    <w:p w14:paraId="43F0AA53" w14:textId="6A4ABBCF"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为</w:t>
      </w:r>
      <w:proofErr w:type="gramStart"/>
      <w:r>
        <w:rPr>
          <w:rFonts w:asciiTheme="minorEastAsia" w:eastAsiaTheme="minorEastAsia" w:hAnsiTheme="minorEastAsia" w:cs="Arial" w:hint="eastAsia"/>
          <w:kern w:val="0"/>
          <w:sz w:val="24"/>
        </w:rPr>
        <w:t>明确银</w:t>
      </w:r>
      <w:proofErr w:type="gramEnd"/>
      <w:r>
        <w:rPr>
          <w:rFonts w:asciiTheme="minorEastAsia" w:eastAsiaTheme="minorEastAsia" w:hAnsiTheme="minorEastAsia" w:cs="Arial" w:hint="eastAsia"/>
          <w:kern w:val="0"/>
          <w:sz w:val="24"/>
        </w:rPr>
        <w:t>华多策略稳进三个月持有期混合型基金中基金（ETF-FOF）的基金管理人和基金托管人之间的权利义务关系，特制订本托管协议；</w:t>
      </w:r>
    </w:p>
    <w:p w14:paraId="02C2FBE3" w14:textId="3FBA6151"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lang w:val="en-GB"/>
        </w:rPr>
        <w:t>除非另有约定，《银华多策略稳进三个月持有期混合型基金中基金（ETF-FOF）基金合同》（以下简称“基金合同”或“《基金合同》”）中定义的术语在用于本托管协议时应具有相同的含义；若有抵触应以《基金合同》为</w:t>
      </w:r>
      <w:r>
        <w:rPr>
          <w:rFonts w:asciiTheme="minorEastAsia" w:eastAsiaTheme="minorEastAsia" w:hAnsiTheme="minorEastAsia" w:cs="Arial" w:hint="eastAsia"/>
          <w:kern w:val="0"/>
          <w:sz w:val="24"/>
        </w:rPr>
        <w:t>准，并依其条款解释。</w:t>
      </w:r>
    </w:p>
    <w:p w14:paraId="0D45DCC1" w14:textId="77777777" w:rsidR="007764FF" w:rsidRDefault="008F7605">
      <w:pPr>
        <w:widowControl/>
        <w:adjustRightInd w:val="0"/>
        <w:snapToGrid w:val="0"/>
        <w:ind w:firstLineChars="200" w:firstLine="48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若本基金实施</w:t>
      </w:r>
      <w:proofErr w:type="gramStart"/>
      <w:r>
        <w:rPr>
          <w:rFonts w:asciiTheme="minorEastAsia" w:eastAsiaTheme="minorEastAsia" w:hAnsiTheme="minorEastAsia" w:cs="Arial" w:hint="eastAsia"/>
          <w:kern w:val="0"/>
          <w:sz w:val="24"/>
        </w:rPr>
        <w:t>侧袋机制</w:t>
      </w:r>
      <w:proofErr w:type="gramEnd"/>
      <w:r>
        <w:rPr>
          <w:rFonts w:asciiTheme="minorEastAsia" w:eastAsiaTheme="minorEastAsia" w:hAnsiTheme="minorEastAsia" w:cs="Arial" w:hint="eastAsia"/>
          <w:kern w:val="0"/>
          <w:sz w:val="24"/>
        </w:rPr>
        <w:t>的，</w:t>
      </w:r>
      <w:proofErr w:type="gramStart"/>
      <w:r>
        <w:rPr>
          <w:rFonts w:asciiTheme="minorEastAsia" w:eastAsiaTheme="minorEastAsia" w:hAnsiTheme="minorEastAsia" w:cs="Arial" w:hint="eastAsia"/>
          <w:kern w:val="0"/>
          <w:sz w:val="24"/>
        </w:rPr>
        <w:t>侧袋机制</w:t>
      </w:r>
      <w:proofErr w:type="gramEnd"/>
      <w:r>
        <w:rPr>
          <w:rFonts w:asciiTheme="minorEastAsia" w:eastAsiaTheme="minorEastAsia" w:hAnsiTheme="minorEastAsia" w:cs="Arial" w:hint="eastAsia"/>
          <w:kern w:val="0"/>
          <w:sz w:val="24"/>
        </w:rPr>
        <w:t>实施期间的相关安排</w:t>
      </w:r>
      <w:proofErr w:type="gramStart"/>
      <w:r>
        <w:rPr>
          <w:rFonts w:asciiTheme="minorEastAsia" w:eastAsiaTheme="minorEastAsia" w:hAnsiTheme="minorEastAsia" w:cs="Arial" w:hint="eastAsia"/>
          <w:kern w:val="0"/>
          <w:sz w:val="24"/>
        </w:rPr>
        <w:t>见基金</w:t>
      </w:r>
      <w:proofErr w:type="gramEnd"/>
      <w:r>
        <w:rPr>
          <w:rFonts w:asciiTheme="minorEastAsia" w:eastAsiaTheme="minorEastAsia" w:hAnsiTheme="minorEastAsia" w:cs="Arial" w:hint="eastAsia"/>
          <w:kern w:val="0"/>
          <w:sz w:val="24"/>
        </w:rPr>
        <w:t>合同和招募说明书的规定。</w:t>
      </w:r>
    </w:p>
    <w:p w14:paraId="4C328ED0" w14:textId="77777777" w:rsidR="007764FF" w:rsidRDefault="008F7605">
      <w:pPr>
        <w:pStyle w:val="2"/>
        <w:jc w:val="center"/>
        <w:rPr>
          <w:rFonts w:asciiTheme="minorEastAsia" w:eastAsiaTheme="minorEastAsia" w:hAnsiTheme="minorEastAsia"/>
        </w:rPr>
      </w:pPr>
      <w:bookmarkStart w:id="1" w:name="_Toc124325885"/>
      <w:r>
        <w:rPr>
          <w:rFonts w:asciiTheme="minorEastAsia" w:eastAsiaTheme="minorEastAsia" w:hAnsiTheme="minorEastAsia" w:hint="eastAsia"/>
        </w:rPr>
        <w:t>一、基金托管协议当事人</w:t>
      </w:r>
      <w:bookmarkEnd w:id="1"/>
    </w:p>
    <w:p w14:paraId="4A9DA2F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（一）基金管理人（或“管理人”）</w:t>
      </w:r>
    </w:p>
    <w:p w14:paraId="1C81870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名称：银华基金管理股份有限公司</w:t>
      </w:r>
    </w:p>
    <w:p w14:paraId="3025818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住所：深圳市福田区深南大道6008号特区报业大厦19层</w:t>
      </w:r>
    </w:p>
    <w:p w14:paraId="29E66F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办公地址：北京市东城区东长安街1号东方</w:t>
      </w:r>
      <w:proofErr w:type="gramStart"/>
      <w:r>
        <w:rPr>
          <w:rFonts w:asciiTheme="minorEastAsia" w:eastAsiaTheme="minorEastAsia" w:hAnsiTheme="minorEastAsia" w:cs="Arial" w:hint="eastAsia"/>
          <w:sz w:val="24"/>
        </w:rPr>
        <w:t>广场东方</w:t>
      </w:r>
      <w:proofErr w:type="gramEnd"/>
      <w:r>
        <w:rPr>
          <w:rFonts w:asciiTheme="minorEastAsia" w:eastAsiaTheme="minorEastAsia" w:hAnsiTheme="minorEastAsia" w:cs="Arial" w:hint="eastAsia"/>
          <w:sz w:val="24"/>
        </w:rPr>
        <w:t>经贸城C2办公楼15层</w:t>
      </w:r>
    </w:p>
    <w:p w14:paraId="084ADE1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邮政编码：100738</w:t>
      </w:r>
    </w:p>
    <w:p w14:paraId="3B35C3C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法定代表人：王珠林</w:t>
      </w:r>
    </w:p>
    <w:p w14:paraId="18A4C3C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成立日期：2001年5月28日</w:t>
      </w:r>
    </w:p>
    <w:p w14:paraId="03F8316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批准设立机关及批准设立文号：中国证监会证</w:t>
      </w:r>
      <w:proofErr w:type="gramStart"/>
      <w:r>
        <w:rPr>
          <w:rFonts w:asciiTheme="minorEastAsia" w:eastAsiaTheme="minorEastAsia" w:hAnsiTheme="minorEastAsia" w:cs="Arial" w:hint="eastAsia"/>
          <w:sz w:val="24"/>
        </w:rPr>
        <w:t>监基金字</w:t>
      </w:r>
      <w:proofErr w:type="gramEnd"/>
      <w:r>
        <w:rPr>
          <w:rFonts w:asciiTheme="minorEastAsia" w:eastAsiaTheme="minorEastAsia" w:hAnsiTheme="minorEastAsia" w:cs="Arial" w:hint="eastAsia"/>
          <w:sz w:val="24"/>
        </w:rPr>
        <w:t>[2001]7号</w:t>
      </w:r>
    </w:p>
    <w:p w14:paraId="638C943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组织形式：股份有限公司</w:t>
      </w:r>
    </w:p>
    <w:p w14:paraId="231EBA4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注册资本：贰亿贰仟贰佰贰拾万元人民币</w:t>
      </w:r>
    </w:p>
    <w:p w14:paraId="6CDC12E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存续期间：持续经营</w:t>
      </w:r>
    </w:p>
    <w:p w14:paraId="51CDDFB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经营范围：基金募集、基金销售、资产管理、中国证监会许可的其他业务。</w:t>
      </w:r>
    </w:p>
    <w:p w14:paraId="620D3BE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（二）基金托管人（或“托管人”）</w:t>
      </w:r>
    </w:p>
    <w:p w14:paraId="30C13DB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名称：中国建设银行股份有限公司</w:t>
      </w:r>
    </w:p>
    <w:p w14:paraId="0069023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住所：北京市西城区金融大街25号</w:t>
      </w:r>
    </w:p>
    <w:p w14:paraId="57872AC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办公地址：北京市西城区闹市口大街1号院1号楼</w:t>
      </w:r>
    </w:p>
    <w:p w14:paraId="77803D7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邮政编码：100033</w:t>
      </w:r>
    </w:p>
    <w:p w14:paraId="0DC25F5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法定代表人：张金良</w:t>
      </w:r>
    </w:p>
    <w:p w14:paraId="74D12C8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成立日期：2004年09月17日</w:t>
      </w:r>
    </w:p>
    <w:p w14:paraId="17A71F2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基金托管业务批准文号：中国证监会</w:t>
      </w:r>
      <w:proofErr w:type="gramStart"/>
      <w:r>
        <w:rPr>
          <w:rFonts w:asciiTheme="minorEastAsia" w:eastAsiaTheme="minorEastAsia" w:hAnsiTheme="minorEastAsia" w:cs="Arial" w:hint="eastAsia"/>
          <w:sz w:val="24"/>
        </w:rPr>
        <w:t>证监基字</w:t>
      </w:r>
      <w:proofErr w:type="gramEnd"/>
      <w:r>
        <w:rPr>
          <w:rFonts w:asciiTheme="minorEastAsia" w:eastAsiaTheme="minorEastAsia" w:hAnsiTheme="minorEastAsia" w:cs="Arial" w:hint="eastAsia"/>
          <w:sz w:val="24"/>
        </w:rPr>
        <w:t>[1998</w:t>
      </w:r>
      <w:bookmarkStart w:id="2" w:name="OLE_LINK3"/>
      <w:r>
        <w:rPr>
          <w:rFonts w:asciiTheme="minorEastAsia" w:eastAsiaTheme="minorEastAsia" w:hAnsiTheme="minorEastAsia" w:cs="Arial" w:hint="eastAsia"/>
          <w:sz w:val="24"/>
        </w:rPr>
        <w:t>]</w:t>
      </w:r>
      <w:bookmarkEnd w:id="2"/>
      <w:r>
        <w:rPr>
          <w:rFonts w:asciiTheme="minorEastAsia" w:eastAsiaTheme="minorEastAsia" w:hAnsiTheme="minorEastAsia" w:cs="Arial" w:hint="eastAsia"/>
          <w:sz w:val="24"/>
        </w:rPr>
        <w:t>12号</w:t>
      </w:r>
    </w:p>
    <w:p w14:paraId="0162CD7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组织形式：股份有限公司</w:t>
      </w:r>
    </w:p>
    <w:p w14:paraId="467063AF" w14:textId="6C343FCF"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注册资本：人民币</w:t>
      </w:r>
      <w:proofErr w:type="gramStart"/>
      <w:r>
        <w:rPr>
          <w:rFonts w:hint="eastAsia"/>
          <w:bCs/>
          <w:color w:val="000000" w:themeColor="text1"/>
          <w:sz w:val="24"/>
        </w:rPr>
        <w:t>贰仟陆佰壹拾陆亿零叁拾捌万壹仟肆佰伍拾玖</w:t>
      </w:r>
      <w:proofErr w:type="gramEnd"/>
      <w:r>
        <w:rPr>
          <w:rFonts w:hint="eastAsia"/>
          <w:bCs/>
          <w:color w:val="000000" w:themeColor="text1"/>
          <w:sz w:val="24"/>
        </w:rPr>
        <w:t>元整</w:t>
      </w:r>
    </w:p>
    <w:p w14:paraId="60ACFF2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存续期间：持续经营</w:t>
      </w:r>
    </w:p>
    <w:p w14:paraId="67C6350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9EDBCB7" w14:textId="77777777" w:rsidR="007764FF" w:rsidRDefault="007764FF">
      <w:pPr>
        <w:rPr>
          <w:rFonts w:asciiTheme="minorEastAsia" w:eastAsiaTheme="minorEastAsia" w:hAnsiTheme="minorEastAsia"/>
          <w:sz w:val="24"/>
        </w:rPr>
      </w:pPr>
    </w:p>
    <w:p w14:paraId="706D8A86" w14:textId="77777777" w:rsidR="007764FF" w:rsidRDefault="008F7605">
      <w:pPr>
        <w:pStyle w:val="2"/>
        <w:jc w:val="center"/>
        <w:rPr>
          <w:rFonts w:asciiTheme="minorEastAsia" w:eastAsiaTheme="minorEastAsia" w:hAnsiTheme="minorEastAsia"/>
          <w:sz w:val="30"/>
        </w:rPr>
      </w:pPr>
      <w:bookmarkStart w:id="3" w:name="_Toc124325886"/>
      <w:r>
        <w:rPr>
          <w:rFonts w:asciiTheme="minorEastAsia" w:eastAsiaTheme="minorEastAsia" w:hAnsiTheme="minorEastAsia" w:hint="eastAsia"/>
          <w:sz w:val="30"/>
        </w:rPr>
        <w:t>二、基金托管协议的依据、目的和原则</w:t>
      </w:r>
      <w:bookmarkEnd w:id="3"/>
    </w:p>
    <w:p w14:paraId="356832E9" w14:textId="77777777" w:rsidR="007764FF" w:rsidRDefault="008F7605">
      <w:pPr>
        <w:adjustRightInd w:val="0"/>
        <w:snapToGrid w:val="0"/>
        <w:ind w:firstLineChars="200" w:firstLine="480"/>
        <w:rPr>
          <w:rFonts w:asciiTheme="minorEastAsia" w:eastAsiaTheme="minorEastAsia" w:hAnsiTheme="minorEastAsia"/>
          <w:sz w:val="24"/>
          <w:szCs w:val="30"/>
        </w:rPr>
      </w:pPr>
      <w:r>
        <w:rPr>
          <w:rFonts w:asciiTheme="minorEastAsia" w:eastAsiaTheme="minorEastAsia" w:hAnsiTheme="minorEastAsia" w:cs="Arial" w:hint="eastAsia"/>
          <w:sz w:val="24"/>
        </w:rPr>
        <w:t>（一）订立托管协议的依据</w:t>
      </w:r>
    </w:p>
    <w:p w14:paraId="7975F4C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侧袋机制指引（试行）》等有关法律法规、《基金合同》及其他有关规定制订。</w:t>
      </w:r>
    </w:p>
    <w:p w14:paraId="3D3C51D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（二）订立托管协议的目的</w:t>
      </w:r>
    </w:p>
    <w:p w14:paraId="4E1D1733" w14:textId="77777777" w:rsidR="007764FF" w:rsidRDefault="008F7605">
      <w:pPr>
        <w:adjustRightInd w:val="0"/>
        <w:snapToGrid w:val="0"/>
        <w:ind w:firstLineChars="200" w:firstLine="480"/>
        <w:rPr>
          <w:rFonts w:asciiTheme="minorEastAsia" w:eastAsiaTheme="minorEastAsia" w:hAnsiTheme="minorEastAsia"/>
          <w:sz w:val="24"/>
          <w:szCs w:val="30"/>
        </w:rPr>
      </w:pPr>
      <w:r>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D0FD4C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（三）订立托管协议的原则</w:t>
      </w:r>
    </w:p>
    <w:p w14:paraId="736364B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14:paraId="6020564E" w14:textId="35C8D781" w:rsidR="007764FF" w:rsidRDefault="007764FF">
      <w:pPr>
        <w:adjustRightInd w:val="0"/>
        <w:snapToGrid w:val="0"/>
        <w:ind w:firstLineChars="200" w:firstLine="480"/>
        <w:rPr>
          <w:rFonts w:asciiTheme="minorEastAsia" w:eastAsiaTheme="minorEastAsia" w:hAnsiTheme="minorEastAsia"/>
          <w:sz w:val="24"/>
        </w:rPr>
      </w:pPr>
    </w:p>
    <w:p w14:paraId="1DAB31DF" w14:textId="77777777" w:rsidR="007764FF" w:rsidRDefault="008F7605">
      <w:pPr>
        <w:pStyle w:val="2"/>
        <w:jc w:val="center"/>
        <w:rPr>
          <w:rFonts w:asciiTheme="minorEastAsia" w:eastAsiaTheme="minorEastAsia" w:hAnsiTheme="minorEastAsia"/>
          <w:sz w:val="30"/>
          <w:szCs w:val="24"/>
        </w:rPr>
      </w:pPr>
      <w:bookmarkStart w:id="4" w:name="_Toc124325887"/>
      <w:r>
        <w:rPr>
          <w:rFonts w:asciiTheme="minorEastAsia" w:eastAsiaTheme="minorEastAsia" w:hAnsiTheme="minorEastAsia" w:hint="eastAsia"/>
          <w:sz w:val="30"/>
        </w:rPr>
        <w:t>三、基金托管人对基金管理人的业务监督和核查</w:t>
      </w:r>
      <w:bookmarkEnd w:id="4"/>
    </w:p>
    <w:p w14:paraId="4BA4F6F3" w14:textId="23A2F7E6"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Theme="minorEastAsia" w:eastAsiaTheme="minorEastAsia" w:hAnsiTheme="minorEastAsia" w:cs="Arial" w:hint="eastAsia"/>
          <w:sz w:val="24"/>
        </w:rPr>
        <w:t>库提供</w:t>
      </w:r>
      <w:proofErr w:type="gramEnd"/>
      <w:r>
        <w:rPr>
          <w:rFonts w:asciiTheme="minorEastAsia" w:eastAsiaTheme="minorEastAsia" w:hAnsiTheme="minorEastAsia" w:cs="Arial" w:hint="eastAsia"/>
          <w:sz w:val="24"/>
        </w:rPr>
        <w:t>给基金托管人，基金管理人可以根据实际情况的变化，对标的证券</w:t>
      </w:r>
      <w:proofErr w:type="gramStart"/>
      <w:r>
        <w:rPr>
          <w:rFonts w:asciiTheme="minorEastAsia" w:eastAsiaTheme="minorEastAsia" w:hAnsiTheme="minorEastAsia" w:cs="Arial" w:hint="eastAsia"/>
          <w:sz w:val="24"/>
        </w:rPr>
        <w:t>库予以</w:t>
      </w:r>
      <w:proofErr w:type="gramEnd"/>
      <w:r>
        <w:rPr>
          <w:rFonts w:asciiTheme="minorEastAsia" w:eastAsiaTheme="minorEastAsia" w:hAnsiTheme="minorEastAsia" w:cs="Arial" w:hint="eastAsia"/>
          <w:sz w:val="24"/>
        </w:rPr>
        <w:t>更新和调整并及时通知基金托管人。基金托管人根据上述投资范围对基金实际投资是否符合《基金合同》关于证券选择标准的约定进行监督。</w:t>
      </w:r>
    </w:p>
    <w:p w14:paraId="12A2B84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投资范围包括：经中国证监会依法核准或注册的公开募集证券投资基金（包括封闭式基金、开放式基金、上市开放式基金（LOF）、交易型开放式基金（ETF）、QDII基金、公开募集不动产投资信托基金（公募REITs）、香港互认基金、商品期货基金、黄金ETF，不包括基金中基金）、境内依法发行或上市的股票（包含主板股票、创业板股票、</w:t>
      </w:r>
      <w:proofErr w:type="gramStart"/>
      <w:r>
        <w:rPr>
          <w:rFonts w:asciiTheme="minorEastAsia" w:eastAsiaTheme="minorEastAsia" w:hAnsiTheme="minorEastAsia" w:cs="Arial" w:hint="eastAsia"/>
          <w:sz w:val="24"/>
        </w:rPr>
        <w:t>科创板</w:t>
      </w:r>
      <w:proofErr w:type="gramEnd"/>
      <w:r>
        <w:rPr>
          <w:rFonts w:asciiTheme="minorEastAsia" w:eastAsiaTheme="minorEastAsia" w:hAnsiTheme="minorEastAsia" w:cs="Arial" w:hint="eastAsia"/>
          <w:sz w:val="24"/>
        </w:rPr>
        <w:t>股票、存托凭证及其他经中国证监会核准或注册上市的股票）、港股通标的证券（包括股票和ETF）、债券（包括国债、央行票据、金融债券、企业债券、公司债券、中期票据、短期融资</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、超短期融资</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、次级债券、地方政府债券、可转换公司债</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及分离交易可转债、可交换债券及其他经中国证监会允许投资的债券）、资产支持证券、债券回购、银行存款</w:t>
      </w:r>
      <w:r>
        <w:rPr>
          <w:rFonts w:asciiTheme="minorEastAsia" w:eastAsiaTheme="minorEastAsia" w:hAnsiTheme="minorEastAsia" w:cs="Arial" w:hint="eastAsia"/>
          <w:sz w:val="24"/>
        </w:rPr>
        <w:lastRenderedPageBreak/>
        <w:t>（包括协议存款、定期存款以及其他银行存款）、同业存单、现金以及法律法规或中国证监会允许基金投资的其他金融工具（但须符合中国证监会的相关规定）。</w:t>
      </w:r>
    </w:p>
    <w:p w14:paraId="0785044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如法律法规或中国证监会以后允许基金投资其他品种，基金管理人在履行适当程序后，可以将其纳入投资范围，其投资比例遵循届时有效的法律法规和相关规定。</w:t>
      </w:r>
    </w:p>
    <w:p w14:paraId="15026C11" w14:textId="3E0CE90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组合比例为：80%以上的基金资产投资于经中国证监会依法核准或注册的公开募集证券投资基金；投资于ETF的比例不低于非现金基金资产的80%；投资于股票、股票型基金、混合型基金（此处混合型基金是指根据定期报告，最近四个季度披露的股票资产占基金资产的比例均不低于60%的混合型基金）的资产占基金资产的比例为10%-50%（其中投资于境内股票资产（含投资A股的ETF）的比例不低于基金资产的10%）；本基金投资于QDII基金及香港互认基金合计占基金资产的比例不超过20%；本基金投资于港股通标的股票的比例占本基金股票资产的0%-50%；本基金投资于货币市场基金的比例不得超过基金资产的15%；本基金投资于封闭运作基金、定期开放基金等流通受限基金的资产占基金资产净值的比例不得超过10%；本基金应当保持现金或者到期日在一年以内的政府债券不低于基金资产净值的5%，其中，现金不包括结算备付金、存出保证金和应收申购款等。</w:t>
      </w:r>
    </w:p>
    <w:p w14:paraId="18F89235" w14:textId="078AF9FE"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将港股通标的证券投资的比例下限设为零，本基金可根据投资策略需要或不同配置地市场环境的变化，选择将部分基金资产投资于港股通标的证券或选择不将基金资产投资于港股通标的证券，基金资产并非必然投资港股通标的证券。</w:t>
      </w:r>
    </w:p>
    <w:p w14:paraId="130DC06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如果法律法规或中国证监会变更投资品种的投资比例限制，基金管理人在履行适当程序后，可以调整上述投资品种的投资比例。</w:t>
      </w:r>
    </w:p>
    <w:p w14:paraId="119B6F16" w14:textId="77777777" w:rsidR="007764FF" w:rsidRDefault="008F7605">
      <w:pPr>
        <w:adjustRightInd w:val="0"/>
        <w:snapToGrid w:val="0"/>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（二）基金托管人根据有关法律法规的规定及《基金合同》的约定，对投资比例进行监督。基金托管人按下述比例和调整期限进行监督：</w:t>
      </w:r>
    </w:p>
    <w:p w14:paraId="13016AE6" w14:textId="79A53EAA"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w:t>
      </w:r>
      <w:r>
        <w:rPr>
          <w:rFonts w:asciiTheme="minorEastAsia" w:eastAsiaTheme="minorEastAsia" w:hAnsiTheme="minorEastAsia" w:cs="Arial" w:hint="eastAsia"/>
          <w:sz w:val="24"/>
        </w:rPr>
        <w:t>本基金80%以上基金资产投资于经中国证监会依法核准或注册的公开募集证券投资基金；投资于ETF的比例不低于非现金基金资产的80%；投资于股票、股票型基金、混合型基金（此处混合型基金是指根据定期报告，最近四个季度披露的股票资产占基金资产的比例均不低于60%的混合型基金）的资产占基金资产的比例为10%-50%（其中投资于境内股票资产（含投资A股的ETF）的比例不低于基金资产的10%）；本基金投资于QDII基金及香港互认基金合计占基金资产的比例不超过20%；本基金投资于港股通标的股票的比例占本基金股票资产的0%-50%；</w:t>
      </w:r>
    </w:p>
    <w:p w14:paraId="386EAD1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2</w:t>
      </w:r>
      <w:r>
        <w:rPr>
          <w:rFonts w:asciiTheme="minorEastAsia" w:eastAsiaTheme="minorEastAsia" w:hAnsiTheme="minorEastAsia" w:cs="Arial"/>
          <w:sz w:val="24"/>
        </w:rPr>
        <w:t>）</w:t>
      </w:r>
      <w:r>
        <w:rPr>
          <w:rFonts w:asciiTheme="minorEastAsia" w:eastAsiaTheme="minorEastAsia" w:hAnsiTheme="minorEastAsia" w:cs="Arial" w:hint="eastAsia"/>
          <w:sz w:val="24"/>
        </w:rPr>
        <w:t>本基金持有单只基金的市值，不得高于本基金资产净值的20%，且不得持有其他基金中基金；</w:t>
      </w:r>
    </w:p>
    <w:p w14:paraId="08F3BD7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3</w:t>
      </w:r>
      <w:r>
        <w:rPr>
          <w:rFonts w:asciiTheme="minorEastAsia" w:eastAsiaTheme="minorEastAsia" w:hAnsiTheme="minorEastAsia" w:cs="Arial" w:hint="eastAsia"/>
          <w:sz w:val="24"/>
        </w:rPr>
        <w:t>）本基金投资其他基金，被投资基金的运作期限应当不少于</w:t>
      </w:r>
      <w:r>
        <w:rPr>
          <w:rFonts w:asciiTheme="minorEastAsia" w:eastAsiaTheme="minorEastAsia" w:hAnsiTheme="minorEastAsia" w:cs="Arial"/>
          <w:sz w:val="24"/>
        </w:rPr>
        <w:t>1</w:t>
      </w:r>
      <w:r>
        <w:rPr>
          <w:rFonts w:asciiTheme="minorEastAsia" w:eastAsiaTheme="minorEastAsia" w:hAnsiTheme="minorEastAsia" w:cs="Arial" w:hint="eastAsia"/>
          <w:sz w:val="24"/>
        </w:rPr>
        <w:t>年，最近定期报告披露的基金净资产应当不低于1亿元；</w:t>
      </w:r>
    </w:p>
    <w:p w14:paraId="09B7BA0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4</w:t>
      </w:r>
      <w:r>
        <w:rPr>
          <w:rFonts w:asciiTheme="minorEastAsia" w:eastAsiaTheme="minorEastAsia" w:hAnsiTheme="minorEastAsia" w:cs="Arial" w:hint="eastAsia"/>
          <w:sz w:val="24"/>
        </w:rPr>
        <w:t>）本基金</w:t>
      </w:r>
      <w:r>
        <w:rPr>
          <w:rFonts w:asciiTheme="minorEastAsia" w:eastAsiaTheme="minorEastAsia" w:hAnsiTheme="minorEastAsia" w:cs="Arial"/>
          <w:sz w:val="24"/>
        </w:rPr>
        <w:t>应</w:t>
      </w:r>
      <w:r>
        <w:rPr>
          <w:rFonts w:asciiTheme="minorEastAsia" w:eastAsiaTheme="minorEastAsia" w:hAnsiTheme="minorEastAsia" w:cs="Arial" w:hint="eastAsia"/>
          <w:sz w:val="24"/>
        </w:rPr>
        <w:t>当</w:t>
      </w:r>
      <w:r>
        <w:rPr>
          <w:rFonts w:asciiTheme="minorEastAsia" w:eastAsiaTheme="minorEastAsia" w:hAnsiTheme="minorEastAsia" w:cs="Arial"/>
          <w:sz w:val="24"/>
        </w:rPr>
        <w:t>保持</w:t>
      </w:r>
      <w:r>
        <w:rPr>
          <w:rFonts w:asciiTheme="minorEastAsia" w:eastAsiaTheme="minorEastAsia" w:hAnsiTheme="minorEastAsia" w:cs="Arial" w:hint="eastAsia"/>
          <w:sz w:val="24"/>
        </w:rPr>
        <w:t>现金或者到期日在一年以内的政府债券不低于基金资产净值的5%；其中，现金不包括结算备付金、存出保证金和应收申购款等；</w:t>
      </w:r>
    </w:p>
    <w:p w14:paraId="68692CF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5</w:t>
      </w:r>
      <w:r>
        <w:rPr>
          <w:rFonts w:asciiTheme="minorEastAsia" w:eastAsiaTheme="minorEastAsia" w:hAnsiTheme="minorEastAsia" w:cs="Arial" w:hint="eastAsia"/>
          <w:sz w:val="24"/>
        </w:rPr>
        <w:t>）本基金不得持有具有复杂、衍生品性质的基金份额，包括分级基金和中国证监会认定的其他基金份额，中国证监会认可或批准的特殊基金中基金除外；</w:t>
      </w:r>
    </w:p>
    <w:p w14:paraId="25EEA19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（6）本基金投资于股票、债券等金融工具的，投资品种和比例应当符合本基金的投资目标和投资策略；</w:t>
      </w:r>
    </w:p>
    <w:p w14:paraId="4EBA485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（7）本基金持有一家公司</w:t>
      </w:r>
      <w:r>
        <w:rPr>
          <w:rFonts w:asciiTheme="minorEastAsia" w:eastAsiaTheme="minorEastAsia" w:hAnsiTheme="minorEastAsia" w:cs="Arial" w:hint="eastAsia"/>
          <w:sz w:val="24"/>
        </w:rPr>
        <w:t>发行</w:t>
      </w:r>
      <w:r>
        <w:rPr>
          <w:rFonts w:asciiTheme="minorEastAsia" w:eastAsiaTheme="minorEastAsia" w:hAnsiTheme="minorEastAsia" w:cs="Arial"/>
          <w:sz w:val="24"/>
        </w:rPr>
        <w:t>的</w:t>
      </w:r>
      <w:r>
        <w:rPr>
          <w:rFonts w:asciiTheme="minorEastAsia" w:eastAsiaTheme="minorEastAsia" w:hAnsiTheme="minorEastAsia" w:cs="Arial" w:hint="eastAsia"/>
          <w:sz w:val="24"/>
        </w:rPr>
        <w:t>证券（同一家公司在内地和香港同时上市的A+H股合计计算，不含本基金所投资的基金份额）</w:t>
      </w:r>
      <w:r>
        <w:rPr>
          <w:rFonts w:asciiTheme="minorEastAsia" w:eastAsiaTheme="minorEastAsia" w:hAnsiTheme="minorEastAsia" w:cs="Arial"/>
          <w:sz w:val="24"/>
        </w:rPr>
        <w:t>，其市值不超过基金资产净值的10</w:t>
      </w:r>
      <w:r>
        <w:rPr>
          <w:rFonts w:asciiTheme="minorEastAsia" w:eastAsiaTheme="minorEastAsia" w:hAnsiTheme="minorEastAsia" w:cs="Arial" w:hint="eastAsia"/>
          <w:sz w:val="24"/>
        </w:rPr>
        <w:t>%</w:t>
      </w:r>
      <w:r>
        <w:rPr>
          <w:rFonts w:asciiTheme="minorEastAsia" w:eastAsiaTheme="minorEastAsia" w:hAnsiTheme="minorEastAsia" w:cs="Arial"/>
          <w:sz w:val="24"/>
        </w:rPr>
        <w:t>；</w:t>
      </w:r>
    </w:p>
    <w:p w14:paraId="5B752E2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lastRenderedPageBreak/>
        <w:t>（8）本基金管理人管理且由本基金托管人托管的全部基金持有一家公司发行的证券</w:t>
      </w:r>
      <w:r>
        <w:rPr>
          <w:rFonts w:asciiTheme="minorEastAsia" w:eastAsiaTheme="minorEastAsia" w:hAnsiTheme="minorEastAsia" w:cs="Arial" w:hint="eastAsia"/>
          <w:sz w:val="24"/>
        </w:rPr>
        <w:t>（同一家公司在内地和香港同时上市的A+H股合计计算，不含本基金所投资的基金份额）</w:t>
      </w:r>
      <w:r>
        <w:rPr>
          <w:rFonts w:asciiTheme="minorEastAsia" w:eastAsiaTheme="minorEastAsia" w:hAnsiTheme="minorEastAsia" w:cs="Arial"/>
          <w:sz w:val="24"/>
        </w:rPr>
        <w:t>，不超过该证券的10</w:t>
      </w:r>
      <w:r>
        <w:rPr>
          <w:rFonts w:asciiTheme="minorEastAsia" w:eastAsiaTheme="minorEastAsia" w:hAnsiTheme="minorEastAsia" w:cs="Arial" w:hint="eastAsia"/>
          <w:sz w:val="24"/>
        </w:rPr>
        <w:t>%，完全按照有关指数的构成比例进行证券投资的基金品种可以不受此条款规定的比例限制</w:t>
      </w:r>
      <w:r>
        <w:rPr>
          <w:rFonts w:asciiTheme="minorEastAsia" w:eastAsiaTheme="minorEastAsia" w:hAnsiTheme="minorEastAsia" w:cs="Arial"/>
          <w:sz w:val="24"/>
        </w:rPr>
        <w:t>；</w:t>
      </w:r>
    </w:p>
    <w:p w14:paraId="397983F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（9）本基金管理人管理且由本基金托管人托管的全部开放式基金（包括开放式基金以及处于开放期的定期开放基金）持有一家上市公司发行的可流通股票，不得超过该上市公司可流通股票的</w:t>
      </w:r>
      <w:r>
        <w:rPr>
          <w:rFonts w:asciiTheme="minorEastAsia" w:eastAsiaTheme="minorEastAsia" w:hAnsiTheme="minorEastAsia" w:cs="Arial"/>
          <w:sz w:val="24"/>
        </w:rPr>
        <w:t>15%</w:t>
      </w:r>
      <w:r>
        <w:rPr>
          <w:rFonts w:asciiTheme="minorEastAsia" w:eastAsiaTheme="minorEastAsia" w:hAnsiTheme="minorEastAsia" w:cs="Arial" w:hint="eastAsia"/>
          <w:sz w:val="24"/>
        </w:rPr>
        <w:t>；本基金管理人管理且由本基金托管人托管的全部投资组合持有一家上市公司发行的可流通股票，不得超过该上市公司可流通股票的</w:t>
      </w:r>
      <w:r>
        <w:rPr>
          <w:rFonts w:asciiTheme="minorEastAsia" w:eastAsiaTheme="minorEastAsia" w:hAnsiTheme="minorEastAsia" w:cs="Arial"/>
          <w:sz w:val="24"/>
        </w:rPr>
        <w:t>30%</w:t>
      </w:r>
      <w:r>
        <w:rPr>
          <w:rFonts w:asciiTheme="minorEastAsia" w:eastAsiaTheme="minorEastAsia" w:hAnsiTheme="minorEastAsia" w:cs="Arial" w:hint="eastAsia"/>
          <w:sz w:val="24"/>
        </w:rPr>
        <w:t>；完全按照有关指数的构成比例进行证券投资的开放式基金以及中国证监会认定的特殊投资组合可不受前述比例限制；</w:t>
      </w:r>
    </w:p>
    <w:p w14:paraId="05C93C4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sz w:val="24"/>
        </w:rPr>
        <w:t>0</w:t>
      </w:r>
      <w:r>
        <w:rPr>
          <w:rFonts w:asciiTheme="minorEastAsia" w:eastAsiaTheme="minorEastAsia" w:hAnsiTheme="minorEastAsia" w:cs="Arial" w:hint="eastAsia"/>
          <w:sz w:val="24"/>
        </w:rPr>
        <w:t>）</w:t>
      </w:r>
      <w:r>
        <w:rPr>
          <w:rFonts w:asciiTheme="minorEastAsia" w:eastAsiaTheme="minorEastAsia" w:hAnsiTheme="minorEastAsia" w:cs="Arial"/>
          <w:sz w:val="24"/>
        </w:rPr>
        <w:t>本基金主动投资于流动性受限资产的市值合计不得超过基金资产净值的15%</w:t>
      </w:r>
      <w:r>
        <w:rPr>
          <w:rFonts w:asciiTheme="minorEastAsia" w:eastAsiaTheme="minorEastAsia" w:hAnsiTheme="minorEastAsia" w:cs="Arial" w:hint="eastAsia"/>
          <w:sz w:val="24"/>
        </w:rPr>
        <w:t>；因证券市场波动、上市公司股票停牌、基金规模变动等基金管理人之外的因素致使基金不符合该比例限制的，基金管理人不得主动新增流动性受限资产的投资；</w:t>
      </w:r>
    </w:p>
    <w:p w14:paraId="14195E0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sz w:val="24"/>
        </w:rPr>
        <w:t>1）本基金投资于同一原始权益人的各类资产支持证券的比例，不得超过基金资产净值的10</w:t>
      </w:r>
      <w:r>
        <w:rPr>
          <w:rFonts w:asciiTheme="minorEastAsia" w:eastAsiaTheme="minorEastAsia" w:hAnsiTheme="minorEastAsia" w:cs="Arial" w:hint="eastAsia"/>
          <w:sz w:val="24"/>
        </w:rPr>
        <w:t>%</w:t>
      </w:r>
      <w:r>
        <w:rPr>
          <w:rFonts w:asciiTheme="minorEastAsia" w:eastAsiaTheme="minorEastAsia" w:hAnsiTheme="minorEastAsia" w:cs="Arial"/>
          <w:sz w:val="24"/>
        </w:rPr>
        <w:t>；</w:t>
      </w:r>
    </w:p>
    <w:p w14:paraId="2C3A342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sz w:val="24"/>
        </w:rPr>
        <w:t>2）本基金持有的全部资产支持证券，其市值不得超过基金资产净值的20</w:t>
      </w:r>
      <w:r>
        <w:rPr>
          <w:rFonts w:asciiTheme="minorEastAsia" w:eastAsiaTheme="minorEastAsia" w:hAnsiTheme="minorEastAsia" w:cs="Arial" w:hint="eastAsia"/>
          <w:sz w:val="24"/>
        </w:rPr>
        <w:t>%，中国证监会规定的特殊品种除外</w:t>
      </w:r>
      <w:r>
        <w:rPr>
          <w:rFonts w:asciiTheme="minorEastAsia" w:eastAsiaTheme="minorEastAsia" w:hAnsiTheme="minorEastAsia" w:cs="Arial"/>
          <w:sz w:val="24"/>
        </w:rPr>
        <w:t>；</w:t>
      </w:r>
    </w:p>
    <w:p w14:paraId="4FEE7ED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sz w:val="24"/>
        </w:rPr>
        <w:t>3）本基金持有的同一（指同一信用级别）资产支持证券的比例，不得超过该资产支持证券规模的10</w:t>
      </w:r>
      <w:r>
        <w:rPr>
          <w:rFonts w:asciiTheme="minorEastAsia" w:eastAsiaTheme="minorEastAsia" w:hAnsiTheme="minorEastAsia" w:cs="Arial" w:hint="eastAsia"/>
          <w:sz w:val="24"/>
        </w:rPr>
        <w:t>%</w:t>
      </w:r>
      <w:r>
        <w:rPr>
          <w:rFonts w:asciiTheme="minorEastAsia" w:eastAsiaTheme="minorEastAsia" w:hAnsiTheme="minorEastAsia" w:cs="Arial"/>
          <w:sz w:val="24"/>
        </w:rPr>
        <w:t>；</w:t>
      </w:r>
    </w:p>
    <w:p w14:paraId="0B843E4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sz w:val="24"/>
        </w:rPr>
        <w:t>4）本基金管理人管理且由本基金托管人托管的全部基金投资于同一原始权益人的各类资产支持证券，不得超过其各类资产支持证券合计规模的10</w:t>
      </w:r>
      <w:r>
        <w:rPr>
          <w:rFonts w:asciiTheme="minorEastAsia" w:eastAsiaTheme="minorEastAsia" w:hAnsiTheme="minorEastAsia" w:cs="Arial" w:hint="eastAsia"/>
          <w:sz w:val="24"/>
        </w:rPr>
        <w:t>%</w:t>
      </w:r>
      <w:r>
        <w:rPr>
          <w:rFonts w:asciiTheme="minorEastAsia" w:eastAsiaTheme="minorEastAsia" w:hAnsiTheme="minorEastAsia" w:cs="Arial"/>
          <w:sz w:val="24"/>
        </w:rPr>
        <w:t>；</w:t>
      </w:r>
    </w:p>
    <w:p w14:paraId="6B5599D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（15）本基金应投资于信用级别评级为BBB以上（含BBB）的资产支持证券。基金持有资产支持证券期间，如果其信用等级下降、不再符合投资标准，应在评级报告发布之日起3个月内予以全部卖出；</w:t>
      </w:r>
    </w:p>
    <w:p w14:paraId="4DFB662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w:t>
      </w:r>
      <w:r>
        <w:rPr>
          <w:rFonts w:asciiTheme="minorEastAsia" w:eastAsiaTheme="minorEastAsia" w:hAnsiTheme="minorEastAsia" w:cs="Arial" w:hint="eastAsia"/>
          <w:sz w:val="24"/>
        </w:rPr>
        <w:t>1</w:t>
      </w:r>
      <w:r>
        <w:rPr>
          <w:rFonts w:asciiTheme="minorEastAsia" w:eastAsiaTheme="minorEastAsia" w:hAnsiTheme="minorEastAsia" w:cs="Arial"/>
          <w:sz w:val="24"/>
        </w:rPr>
        <w:t>6）基金财产参与股票发行申购，本基金所申报的金额不超过本基金的总资产，本基金所申报的股票数量不超过拟发行股票公司本次发行股票的总量；</w:t>
      </w:r>
    </w:p>
    <w:p w14:paraId="4089F39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sz w:val="24"/>
        </w:rPr>
        <w:t>7）</w:t>
      </w:r>
      <w:r>
        <w:rPr>
          <w:rFonts w:asciiTheme="minorEastAsia" w:eastAsiaTheme="minorEastAsia" w:hAnsiTheme="minorEastAsia" w:cs="Arial" w:hint="eastAsia"/>
          <w:sz w:val="24"/>
        </w:rPr>
        <w:t>本基金的基金资产总值不超过基金资产净值的140%</w:t>
      </w:r>
      <w:r>
        <w:rPr>
          <w:rFonts w:asciiTheme="minorEastAsia" w:eastAsiaTheme="minorEastAsia" w:hAnsiTheme="minorEastAsia" w:cs="Arial"/>
          <w:sz w:val="24"/>
        </w:rPr>
        <w:t>；</w:t>
      </w:r>
    </w:p>
    <w:p w14:paraId="07533F3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18</w:t>
      </w:r>
      <w:r>
        <w:rPr>
          <w:rFonts w:asciiTheme="minorEastAsia" w:eastAsiaTheme="minorEastAsia" w:hAnsiTheme="minorEastAsia" w:cs="Arial" w:hint="eastAsia"/>
          <w:sz w:val="24"/>
        </w:rPr>
        <w:t>）投资</w:t>
      </w:r>
      <w:r>
        <w:rPr>
          <w:rFonts w:asciiTheme="minorEastAsia" w:eastAsiaTheme="minorEastAsia" w:hAnsiTheme="minorEastAsia" w:cs="Arial"/>
          <w:sz w:val="24"/>
        </w:rPr>
        <w:t>于货币市场基金的比例不</w:t>
      </w:r>
      <w:r>
        <w:rPr>
          <w:rFonts w:asciiTheme="minorEastAsia" w:eastAsiaTheme="minorEastAsia" w:hAnsiTheme="minorEastAsia" w:cs="Arial" w:hint="eastAsia"/>
          <w:sz w:val="24"/>
        </w:rPr>
        <w:t>得超过</w:t>
      </w:r>
      <w:r>
        <w:rPr>
          <w:rFonts w:asciiTheme="minorEastAsia" w:eastAsiaTheme="minorEastAsia" w:hAnsiTheme="minorEastAsia" w:cs="Arial"/>
          <w:sz w:val="24"/>
        </w:rPr>
        <w:t>基金资产的</w:t>
      </w:r>
      <w:r>
        <w:rPr>
          <w:rFonts w:asciiTheme="minorEastAsia" w:eastAsiaTheme="minorEastAsia" w:hAnsiTheme="minorEastAsia" w:cs="Arial" w:hint="eastAsia"/>
          <w:sz w:val="24"/>
        </w:rPr>
        <w:t>15</w:t>
      </w:r>
      <w:r>
        <w:rPr>
          <w:rFonts w:asciiTheme="minorEastAsia" w:eastAsiaTheme="minorEastAsia" w:hAnsiTheme="minorEastAsia" w:cs="Arial"/>
          <w:sz w:val="24"/>
        </w:rPr>
        <w:t>%；</w:t>
      </w:r>
    </w:p>
    <w:p w14:paraId="3353E27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19</w:t>
      </w:r>
      <w:r>
        <w:rPr>
          <w:rFonts w:asciiTheme="minorEastAsia" w:eastAsiaTheme="minorEastAsia" w:hAnsiTheme="minorEastAsia" w:cs="Arial" w:hint="eastAsia"/>
          <w:sz w:val="24"/>
        </w:rPr>
        <w:t>）除</w:t>
      </w:r>
      <w:r>
        <w:rPr>
          <w:rFonts w:asciiTheme="minorEastAsia" w:eastAsiaTheme="minorEastAsia" w:hAnsiTheme="minorEastAsia" w:cs="Arial"/>
          <w:sz w:val="24"/>
        </w:rPr>
        <w:t>ETF</w:t>
      </w:r>
      <w:r>
        <w:rPr>
          <w:rFonts w:asciiTheme="minorEastAsia" w:eastAsiaTheme="minorEastAsia" w:hAnsiTheme="minorEastAsia" w:cs="Arial" w:hint="eastAsia"/>
          <w:sz w:val="24"/>
        </w:rPr>
        <w:t>联接基金外，本基金管理人管理且由本基金托管人托管的全部基金持有单只基金不得超过被投资基金净资产的</w:t>
      </w:r>
      <w:r>
        <w:rPr>
          <w:rFonts w:asciiTheme="minorEastAsia" w:eastAsiaTheme="minorEastAsia" w:hAnsiTheme="minorEastAsia" w:cs="Arial"/>
          <w:sz w:val="24"/>
        </w:rPr>
        <w:t>20%</w:t>
      </w:r>
      <w:r>
        <w:rPr>
          <w:rFonts w:asciiTheme="minorEastAsia" w:eastAsiaTheme="minorEastAsia" w:hAnsiTheme="minorEastAsia" w:cs="Arial" w:hint="eastAsia"/>
          <w:sz w:val="24"/>
        </w:rPr>
        <w:t>，被投资基金净资产规模以最近定期报告披露的规模为准；</w:t>
      </w:r>
    </w:p>
    <w:p w14:paraId="3424D7B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sz w:val="24"/>
        </w:rPr>
        <w:t>0</w:t>
      </w:r>
      <w:r>
        <w:rPr>
          <w:rFonts w:asciiTheme="minorEastAsia" w:eastAsiaTheme="minorEastAsia" w:hAnsiTheme="minorEastAsia" w:cs="Arial" w:hint="eastAsia"/>
          <w:sz w:val="24"/>
        </w:rPr>
        <w:t>）本基金投资于封闭运作基金、定期开放基金等流通受限基金的资产占基金资产净值的比例不得超过</w:t>
      </w:r>
      <w:r>
        <w:rPr>
          <w:rFonts w:asciiTheme="minorEastAsia" w:eastAsiaTheme="minorEastAsia" w:hAnsiTheme="minorEastAsia" w:cs="Arial"/>
          <w:sz w:val="24"/>
        </w:rPr>
        <w:t>10%</w:t>
      </w:r>
      <w:r>
        <w:rPr>
          <w:rFonts w:asciiTheme="minorEastAsia" w:eastAsiaTheme="minorEastAsia" w:hAnsiTheme="minorEastAsia" w:cs="Arial" w:hint="eastAsia"/>
          <w:sz w:val="24"/>
        </w:rPr>
        <w:t>；</w:t>
      </w:r>
    </w:p>
    <w:p w14:paraId="0474361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sz w:val="24"/>
        </w:rPr>
        <w:t>1</w:t>
      </w:r>
      <w:r>
        <w:rPr>
          <w:rFonts w:asciiTheme="minorEastAsia" w:eastAsiaTheme="minorEastAsia" w:hAnsiTheme="minorEastAsia" w:cs="Arial" w:hint="eastAsia"/>
          <w:sz w:val="24"/>
        </w:rPr>
        <w:t>）本基金投资存托凭证的比例限制依照境内上市交易的股票执行，与境内上市交易的股票合并计算；</w:t>
      </w:r>
    </w:p>
    <w:p w14:paraId="794BC31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22</w:t>
      </w:r>
      <w:r>
        <w:rPr>
          <w:rFonts w:asciiTheme="minorEastAsia" w:eastAsiaTheme="minorEastAsia" w:hAnsiTheme="minorEastAsia" w:cs="Arial" w:hint="eastAsia"/>
          <w:sz w:val="24"/>
        </w:rPr>
        <w:t>）法律法规及中国证监会规定的和《基金合同》约定的其他投资限制。</w:t>
      </w:r>
    </w:p>
    <w:p w14:paraId="6A87D55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因证券市场波动、基金规模变动等基金管理人之外的因素致使基金投资比例不符合上述第（2）、（</w:t>
      </w:r>
      <w:r>
        <w:rPr>
          <w:rFonts w:asciiTheme="minorEastAsia" w:eastAsiaTheme="minorEastAsia" w:hAnsiTheme="minorEastAsia" w:cs="Arial"/>
          <w:sz w:val="24"/>
        </w:rPr>
        <w:t>19</w:t>
      </w:r>
      <w:r>
        <w:rPr>
          <w:rFonts w:asciiTheme="minorEastAsia" w:eastAsiaTheme="minorEastAsia" w:hAnsiTheme="minorEastAsia" w:cs="Arial" w:hint="eastAsia"/>
          <w:sz w:val="24"/>
        </w:rPr>
        <w:t>）项规定投资比例的，基金管理人应当在20个交易日内进行调整，但中国证监会规定的特殊情形除外。除</w:t>
      </w:r>
      <w:r>
        <w:rPr>
          <w:rFonts w:asciiTheme="minorEastAsia" w:eastAsiaTheme="minorEastAsia" w:hAnsiTheme="minorEastAsia" w:cs="Arial"/>
          <w:sz w:val="24"/>
        </w:rPr>
        <w:t>上述</w:t>
      </w:r>
      <w:r>
        <w:rPr>
          <w:rFonts w:asciiTheme="minorEastAsia" w:eastAsiaTheme="minorEastAsia" w:hAnsiTheme="minorEastAsia" w:cs="Arial" w:hint="eastAsia"/>
          <w:sz w:val="24"/>
        </w:rPr>
        <w:t>（2）、（4）、（10）、（1</w:t>
      </w:r>
      <w:r>
        <w:rPr>
          <w:rFonts w:asciiTheme="minorEastAsia" w:eastAsiaTheme="minorEastAsia" w:hAnsiTheme="minorEastAsia" w:cs="Arial"/>
          <w:sz w:val="24"/>
        </w:rPr>
        <w:t>5</w:t>
      </w:r>
      <w:r>
        <w:rPr>
          <w:rFonts w:asciiTheme="minorEastAsia" w:eastAsiaTheme="minorEastAsia" w:hAnsiTheme="minorEastAsia" w:cs="Arial" w:hint="eastAsia"/>
          <w:sz w:val="24"/>
        </w:rPr>
        <w:t>）、（</w:t>
      </w:r>
      <w:r>
        <w:rPr>
          <w:rFonts w:asciiTheme="minorEastAsia" w:eastAsiaTheme="minorEastAsia" w:hAnsiTheme="minorEastAsia" w:cs="Arial"/>
          <w:sz w:val="24"/>
        </w:rPr>
        <w:t>19</w:t>
      </w:r>
      <w:r>
        <w:rPr>
          <w:rFonts w:asciiTheme="minorEastAsia" w:eastAsiaTheme="minorEastAsia" w:hAnsiTheme="minorEastAsia" w:cs="Arial" w:hint="eastAsia"/>
          <w:sz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8106D3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本基金投资流通受限证券，基金管理人应根据中国证监会相关规定进行投资。基金管理人应制</w:t>
      </w:r>
      <w:proofErr w:type="gramStart"/>
      <w:r>
        <w:rPr>
          <w:rFonts w:asciiTheme="minorEastAsia" w:eastAsiaTheme="minorEastAsia" w:hAnsiTheme="minorEastAsia" w:cs="Arial" w:hint="eastAsia"/>
          <w:sz w:val="24"/>
        </w:rPr>
        <w:t>订严格</w:t>
      </w:r>
      <w:proofErr w:type="gramEnd"/>
      <w:r>
        <w:rPr>
          <w:rFonts w:asciiTheme="minorEastAsia" w:eastAsiaTheme="minorEastAsia" w:hAnsiTheme="minorEastAsia" w:cs="Arial" w:hint="eastAsia"/>
          <w:sz w:val="24"/>
        </w:rPr>
        <w:t>的投资决策流程和风险控制制度，防范流动性风险、法律风险和操作风险等各种风险。</w:t>
      </w:r>
    </w:p>
    <w:p w14:paraId="293A54B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本基金持有证券期间，如发生证券处于流通受限状态等</w:t>
      </w:r>
      <w:proofErr w:type="gramStart"/>
      <w:r>
        <w:rPr>
          <w:rFonts w:asciiTheme="minorEastAsia" w:eastAsiaTheme="minorEastAsia" w:hAnsiTheme="minorEastAsia" w:cs="Arial" w:hint="eastAsia"/>
          <w:sz w:val="24"/>
        </w:rPr>
        <w:t>非基金管理人原因</w:t>
      </w:r>
      <w:proofErr w:type="gramEnd"/>
      <w:r>
        <w:rPr>
          <w:rFonts w:asciiTheme="minorEastAsia" w:eastAsiaTheme="minorEastAsia" w:hAnsiTheme="minorEastAsia" w:cs="Arial" w:hint="eastAsia"/>
          <w:sz w:val="24"/>
        </w:rPr>
        <w:t>导致基金投资比例不符合前述规定的，基金管理人应在上述情形消除后的10个交易日内调整完毕，但中国证监会规定的特殊情形除外。法律法规另有规定的，从其规定。</w:t>
      </w:r>
    </w:p>
    <w:p w14:paraId="3DD1790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81DCFE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14:paraId="1ABC8A4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（三）基金托管人</w:t>
      </w:r>
      <w:bookmarkStart w:id="5" w:name="OLE_LINK1"/>
      <w:r>
        <w:rPr>
          <w:rFonts w:asciiTheme="minorEastAsia" w:eastAsiaTheme="minorEastAsia" w:hAnsiTheme="minorEastAsia" w:cs="Arial" w:hint="eastAsia"/>
          <w:sz w:val="24"/>
        </w:rPr>
        <w:t>根据有关法律法规的规定及《基金合同》的约定，</w:t>
      </w:r>
      <w:bookmarkEnd w:id="5"/>
      <w:r>
        <w:rPr>
          <w:rFonts w:asciiTheme="minorEastAsia" w:eastAsiaTheme="minorEastAsia" w:hAnsiTheme="minorEastAsia" w:cs="Arial" w:hint="eastAsia"/>
          <w:sz w:val="24"/>
        </w:rPr>
        <w:t>对本托管协议第十五条第（九）</w:t>
      </w:r>
      <w:proofErr w:type="gramStart"/>
      <w:r>
        <w:rPr>
          <w:rFonts w:asciiTheme="minorEastAsia" w:eastAsiaTheme="minorEastAsia" w:hAnsiTheme="minorEastAsia" w:cs="Arial" w:hint="eastAsia"/>
          <w:sz w:val="24"/>
        </w:rPr>
        <w:t>款基金</w:t>
      </w:r>
      <w:proofErr w:type="gramEnd"/>
      <w:r>
        <w:rPr>
          <w:rFonts w:asciiTheme="minorEastAsia" w:eastAsiaTheme="minorEastAsia" w:hAnsiTheme="minorEastAsia" w:cs="Arial" w:hint="eastAsia"/>
          <w:sz w:val="24"/>
        </w:rPr>
        <w:t>投资禁止行为通过事后监督方式进行监督。</w:t>
      </w:r>
    </w:p>
    <w:p w14:paraId="4E11D80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9A5A2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法律、行政法规或监管部门取消或变更上述限制，如适用于本基金，基金管理人在履行适当程序后，则本基金投资不再受相关限制或以变更后的规则为准。</w:t>
      </w:r>
    </w:p>
    <w:p w14:paraId="4580F4B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（四）基金托管人根据有关法律法规的规定及《基金合同》的约定，对基金管理人投资流通受限证券进行监督。</w:t>
      </w:r>
    </w:p>
    <w:p w14:paraId="7F39D27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684B4CC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本基金投资的流通受限证券须为经中国证监会批准或注册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等流通受限证券。本基金不投资有</w:t>
      </w:r>
      <w:proofErr w:type="gramStart"/>
      <w:r>
        <w:rPr>
          <w:rFonts w:asciiTheme="minorEastAsia" w:eastAsiaTheme="minorEastAsia" w:hAnsiTheme="minorEastAsia" w:cs="Arial" w:hint="eastAsia"/>
          <w:sz w:val="24"/>
        </w:rPr>
        <w:t>锁定期但锁定</w:t>
      </w:r>
      <w:proofErr w:type="gramEnd"/>
      <w:r>
        <w:rPr>
          <w:rFonts w:asciiTheme="minorEastAsia" w:eastAsiaTheme="minorEastAsia" w:hAnsiTheme="minorEastAsia" w:cs="Arial" w:hint="eastAsia"/>
          <w:sz w:val="24"/>
        </w:rPr>
        <w:t>期不明确的证券。</w:t>
      </w:r>
    </w:p>
    <w:p w14:paraId="2BCE828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本基金投资的流通受限证券限于可由中国证券登记结算有限责任公司（或称“中国结算”）或中央国债登记结算有限责任公司负责登记和存管，并可在证券交易所或全国银行间债券市场交易的证券。</w:t>
      </w:r>
    </w:p>
    <w:p w14:paraId="3DC0E6C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本基金投资的流通受限证券应保证登记存管在本基金名下，基金管理人负责相关工作的落实和协调，并确保基金托管人能够正常查询。因基金管理</w:t>
      </w:r>
      <w:proofErr w:type="gramStart"/>
      <w:r>
        <w:rPr>
          <w:rFonts w:asciiTheme="minorEastAsia" w:eastAsiaTheme="minorEastAsia" w:hAnsiTheme="minorEastAsia" w:cs="Arial" w:hint="eastAsia"/>
          <w:sz w:val="24"/>
        </w:rPr>
        <w:t>人原因</w:t>
      </w:r>
      <w:proofErr w:type="gramEnd"/>
      <w:r>
        <w:rPr>
          <w:rFonts w:asciiTheme="minorEastAsia" w:eastAsiaTheme="minorEastAsia" w:hAnsiTheme="minorEastAsia" w:cs="Arial" w:hint="eastAsia"/>
          <w:sz w:val="24"/>
        </w:rPr>
        <w:t>产生的流通受限证券登记存管问题，造成基金托管人无法安全保管本基金资产的责任与损失，及因流通受限证券存管直接影响本基金安全的责任及损失，由基金管理人承担。</w:t>
      </w:r>
    </w:p>
    <w:p w14:paraId="2C62C71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本基金投资流通受限证券，不得预付任何形式的保证金。若有最新法律法规、监管政策变更规定的，根据最新法律法规、监管政策执行。</w:t>
      </w:r>
    </w:p>
    <w:p w14:paraId="647BE8C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09D57E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Theme="minorEastAsia" w:eastAsiaTheme="minorEastAsia" w:hAnsiTheme="minorEastAsia" w:cs="Arial" w:hint="eastAsia"/>
          <w:sz w:val="24"/>
        </w:rPr>
        <w:t>人原因</w:t>
      </w:r>
      <w:proofErr w:type="gramEnd"/>
      <w:r>
        <w:rPr>
          <w:rFonts w:asciiTheme="minorEastAsia" w:eastAsiaTheme="minorEastAsia" w:hAnsiTheme="minorEastAsia" w:cs="Arial" w:hint="eastAsia"/>
          <w:sz w:val="24"/>
        </w:rPr>
        <w:t>导致本基金出现损失致使基金托管人承担连带赔偿责任的，基金管理人应赔偿基金托管人由此遭受的损失。</w:t>
      </w:r>
    </w:p>
    <w:p w14:paraId="2F423BA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AF7E78A" w14:textId="53620534"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（1）中国证监会批准或注册发行非公开发行股票的文件。</w:t>
      </w:r>
    </w:p>
    <w:p w14:paraId="337A650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（2）非公开发行股票有关发行数量、发行价格、锁定期等发行资料。</w:t>
      </w:r>
    </w:p>
    <w:p w14:paraId="7981743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3</w:t>
      </w:r>
      <w:r>
        <w:rPr>
          <w:rFonts w:asciiTheme="minorEastAsia" w:eastAsiaTheme="minorEastAsia" w:hAnsiTheme="minorEastAsia" w:cs="Arial" w:hint="eastAsia"/>
          <w:sz w:val="24"/>
        </w:rPr>
        <w:t>）基金拟认购的数量、价格、总成本、账面价值。</w:t>
      </w:r>
    </w:p>
    <w:p w14:paraId="765582C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98694C2" w14:textId="726E890F"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本基金有关投资流通受限证券比例如违反有关限制规定，在合理期限内未能进行及时调整，基金管理人应在两日内编制临时报告书，予以公告。</w:t>
      </w:r>
    </w:p>
    <w:p w14:paraId="3752022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hint="eastAsia"/>
          <w:sz w:val="24"/>
        </w:rPr>
        <w:t>.相关法律法规对基金投资流通受限证券有新规定的，从其规定。</w:t>
      </w:r>
    </w:p>
    <w:p w14:paraId="602A77F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托管人根据有关法律法规的规定及《基金合同》的约定，对各类基金资产净值计算、各类基金份额净值及各类基金份额累计净值计算、应收资金到账、基金费用开支及收入确定、基金收益分配、相关信息披露、基金宣传推介材料中登载基金业绩表现数据等进行监督和核查。</w:t>
      </w:r>
    </w:p>
    <w:p w14:paraId="58488BEE" w14:textId="158CF73E"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3043CBB" w14:textId="7E597490"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36865CC8" w14:textId="48D9B691"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w:t>
      </w:r>
      <w:r>
        <w:rPr>
          <w:rFonts w:asciiTheme="minorEastAsia" w:eastAsiaTheme="minorEastAsia" w:hAnsiTheme="minorEastAsia" w:cs="Arial" w:hint="eastAsia"/>
          <w:sz w:val="24"/>
        </w:rPr>
        <w:lastRenderedPageBreak/>
        <w:t>管人按照法律法规、《基金合同》和本托管协议的要求需向中国证监会报送基金监督报告的事项，基金管理人应积极配合提供相关数据资料和制度等。</w:t>
      </w:r>
    </w:p>
    <w:p w14:paraId="5BA22C9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w:t>
      </w:r>
      <w:proofErr w:type="gramStart"/>
      <w:r>
        <w:rPr>
          <w:rFonts w:asciiTheme="minorEastAsia" w:eastAsiaTheme="minorEastAsia" w:hAnsiTheme="minorEastAsia" w:cs="Arial" w:hint="eastAsia"/>
          <w:sz w:val="24"/>
        </w:rPr>
        <w:t>若基金</w:t>
      </w:r>
      <w:proofErr w:type="gramEnd"/>
      <w:r>
        <w:rPr>
          <w:rFonts w:asciiTheme="minorEastAsia" w:eastAsiaTheme="minorEastAsia" w:hAnsiTheme="minorEastAsia"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77955EB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56DB71B8" w14:textId="03E00C08" w:rsidR="007764FF" w:rsidRDefault="007764FF">
      <w:pPr>
        <w:adjustRightInd w:val="0"/>
        <w:snapToGrid w:val="0"/>
        <w:ind w:firstLineChars="200" w:firstLine="480"/>
        <w:rPr>
          <w:rFonts w:asciiTheme="minorEastAsia" w:eastAsiaTheme="minorEastAsia" w:hAnsiTheme="minorEastAsia" w:cs="Arial"/>
          <w:sz w:val="24"/>
        </w:rPr>
      </w:pPr>
    </w:p>
    <w:p w14:paraId="3BA68E37" w14:textId="77777777" w:rsidR="007764FF" w:rsidRDefault="008F7605">
      <w:pPr>
        <w:pStyle w:val="2"/>
        <w:jc w:val="center"/>
        <w:rPr>
          <w:rFonts w:asciiTheme="minorEastAsia" w:eastAsiaTheme="minorEastAsia" w:hAnsiTheme="minorEastAsia"/>
          <w:sz w:val="30"/>
        </w:rPr>
      </w:pPr>
      <w:bookmarkStart w:id="6" w:name="_Toc108512358"/>
      <w:bookmarkStart w:id="7" w:name="_Toc110830492"/>
      <w:bookmarkStart w:id="8" w:name="_Toc86649722"/>
      <w:bookmarkStart w:id="9" w:name="_Toc86727355"/>
      <w:bookmarkStart w:id="10" w:name="_Toc86223242"/>
      <w:bookmarkStart w:id="11" w:name="_Toc86737929"/>
      <w:bookmarkStart w:id="12" w:name="_Toc124325888"/>
      <w:bookmarkStart w:id="13" w:name="_Toc110761796"/>
      <w:bookmarkStart w:id="14" w:name="_Toc118212950"/>
      <w:bookmarkStart w:id="15" w:name="_Toc119402710"/>
      <w:bookmarkStart w:id="16" w:name="_Toc120435783"/>
      <w:bookmarkStart w:id="17" w:name="_Toc89163368"/>
      <w:bookmarkStart w:id="18" w:name="_Toc86726439"/>
      <w:bookmarkStart w:id="19" w:name="_Toc86225291"/>
      <w:bookmarkStart w:id="20" w:name="_Toc110765660"/>
      <w:bookmarkStart w:id="21" w:name="_Toc118972648"/>
      <w:bookmarkStart w:id="22" w:name="_Toc118774803"/>
      <w:r>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FAA9CC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和证券账户等投资所需账户、复核基金管理人计算的各类基金资产净值、各类基金份额净值和各类基金份额累计净值、根据基金管理人指令办理清算交收、相关信息披露和监督基金投资运作等行为。</w:t>
      </w:r>
    </w:p>
    <w:p w14:paraId="4F4EA051"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Theme="minorEastAsia" w:eastAsiaTheme="minorEastAsia" w:hAnsiTheme="minorEastAsia" w:cs="Arial" w:hint="eastAsia"/>
          <w:sz w:val="24"/>
        </w:rPr>
        <w:t>供基金</w:t>
      </w:r>
      <w:proofErr w:type="gramEnd"/>
      <w:r>
        <w:rPr>
          <w:rFonts w:asciiTheme="minorEastAsia" w:eastAsiaTheme="minorEastAsia" w:hAnsiTheme="minorEastAsia" w:cs="Arial" w:hint="eastAsia"/>
          <w:sz w:val="24"/>
        </w:rPr>
        <w:t>管理人核查托管财产的完整性和真实性，在规定时间内答复基金管理人并改正。</w:t>
      </w:r>
    </w:p>
    <w:p w14:paraId="16692BA7"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BBC728B" w14:textId="77777777" w:rsidR="007764FF" w:rsidRDefault="007764FF">
      <w:pPr>
        <w:rPr>
          <w:rFonts w:asciiTheme="minorEastAsia" w:eastAsiaTheme="minorEastAsia" w:hAnsiTheme="minorEastAsia"/>
          <w:sz w:val="24"/>
        </w:rPr>
      </w:pPr>
    </w:p>
    <w:p w14:paraId="67832645" w14:textId="77777777" w:rsidR="007764FF" w:rsidRDefault="008F7605">
      <w:pPr>
        <w:pStyle w:val="2"/>
        <w:jc w:val="center"/>
        <w:rPr>
          <w:rFonts w:asciiTheme="minorEastAsia" w:eastAsiaTheme="minorEastAsia" w:hAnsiTheme="minorEastAsia"/>
          <w:sz w:val="30"/>
        </w:rPr>
      </w:pPr>
      <w:bookmarkStart w:id="23" w:name="_Toc84234388"/>
      <w:bookmarkStart w:id="24" w:name="_Toc86727356"/>
      <w:bookmarkStart w:id="25" w:name="_Toc84133786"/>
      <w:bookmarkStart w:id="26" w:name="_Toc86726440"/>
      <w:bookmarkStart w:id="27" w:name="_Toc86737930"/>
      <w:bookmarkStart w:id="28" w:name="_Toc119402711"/>
      <w:bookmarkStart w:id="29" w:name="_Toc110761797"/>
      <w:bookmarkStart w:id="30" w:name="_Toc86225292"/>
      <w:bookmarkStart w:id="31" w:name="_Toc108512359"/>
      <w:bookmarkStart w:id="32" w:name="_Toc86204789"/>
      <w:bookmarkStart w:id="33" w:name="_Toc110765661"/>
      <w:bookmarkStart w:id="34" w:name="_Toc118212951"/>
      <w:bookmarkStart w:id="35" w:name="_Toc118774804"/>
      <w:bookmarkStart w:id="36" w:name="_Toc86649723"/>
      <w:bookmarkStart w:id="37" w:name="_Toc118972649"/>
      <w:bookmarkStart w:id="38" w:name="_Toc120435784"/>
      <w:bookmarkStart w:id="39" w:name="_Toc110830493"/>
      <w:bookmarkStart w:id="40" w:name="_Toc124325889"/>
      <w:bookmarkStart w:id="41" w:name="_Toc84234435"/>
      <w:bookmarkStart w:id="42" w:name="_Toc89163369"/>
      <w:bookmarkStart w:id="43" w:name="_Toc86223243"/>
      <w:r>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D6014D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（一）基金财产保管的原则</w:t>
      </w:r>
    </w:p>
    <w:p w14:paraId="5A0D160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1.基金财产应独立于基金管理人、基金托管人的固有财产。</w:t>
      </w:r>
    </w:p>
    <w:p w14:paraId="43142AF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2.基金托管人应安全保管基金财产。</w:t>
      </w:r>
    </w:p>
    <w:p w14:paraId="77C2418A"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3.基金托管人按照规定开设基金财产的资金账户和证券账户等投资所需账户。</w:t>
      </w:r>
    </w:p>
    <w:p w14:paraId="72594138"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4.基金托管人对所托管的不同基金财产分别设置账户，确保基金财产的完整与独立。</w:t>
      </w:r>
    </w:p>
    <w:p w14:paraId="6527E55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5.基金托管人按照《基金合同》和本协议的约定保管基金财产，如有特殊情况双方可另行协商解决。基金</w:t>
      </w:r>
      <w:r>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Theme="minorEastAsia" w:eastAsiaTheme="minorEastAsia" w:hAnsiTheme="minorEastAsia" w:hint="eastAsia"/>
          <w:sz w:val="24"/>
        </w:rPr>
        <w:t>收交易</w:t>
      </w:r>
      <w:proofErr w:type="gramEnd"/>
      <w:r>
        <w:rPr>
          <w:rFonts w:asciiTheme="minorEastAsia" w:eastAsiaTheme="minorEastAsia" w:hAnsiTheme="minorEastAsia" w:hint="eastAsia"/>
          <w:sz w:val="24"/>
        </w:rPr>
        <w:t>费、结算费和账户维护费等费用）。</w:t>
      </w:r>
    </w:p>
    <w:p w14:paraId="46975A3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积极的配合和协助。</w:t>
      </w:r>
    </w:p>
    <w:p w14:paraId="376D78C7"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7.除依据法律法规和《基金合同》的规定外，基金托管人不得委托第三人托管基金财产。</w:t>
      </w:r>
    </w:p>
    <w:p w14:paraId="7DBF40FB"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（二）基金募集期间及募集资金的验资</w:t>
      </w:r>
    </w:p>
    <w:p w14:paraId="2D2CE37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1.基金募集期间募集的资金应存于基金管理人在有托管资格的商业银行开立的“基金募集专户”。该账户由基金管理人开立并管理。</w:t>
      </w:r>
    </w:p>
    <w:p w14:paraId="2E1EC62A"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6DA4F7B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w:t>
      </w:r>
      <w:proofErr w:type="gramStart"/>
      <w:r>
        <w:rPr>
          <w:rFonts w:asciiTheme="minorEastAsia" w:eastAsiaTheme="minorEastAsia" w:hAnsiTheme="minorEastAsia" w:cs="Arial" w:hint="eastAsia"/>
          <w:sz w:val="24"/>
        </w:rPr>
        <w:t>若基金</w:t>
      </w:r>
      <w:proofErr w:type="gramEnd"/>
      <w:r>
        <w:rPr>
          <w:rFonts w:asciiTheme="minorEastAsia" w:eastAsiaTheme="minorEastAsia" w:hAnsiTheme="minorEastAsia" w:cs="Arial" w:hint="eastAsia"/>
          <w:sz w:val="24"/>
        </w:rPr>
        <w:t>募集期限届满，未能达到《基金合同》生效的条件，由基金管理人按规定办理退款等事宜，基金托管人应予以必要的协助和配合。</w:t>
      </w:r>
    </w:p>
    <w:p w14:paraId="6CC146F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（三）基金托管资金账户的开立和管理</w:t>
      </w:r>
    </w:p>
    <w:p w14:paraId="4DCC067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1.基金托管人应以基金的名义在其营业机构开立基金的托管资金账户，并根据基金管理人合法合</w:t>
      </w:r>
      <w:proofErr w:type="gramStart"/>
      <w:r>
        <w:rPr>
          <w:rFonts w:asciiTheme="minorEastAsia" w:eastAsiaTheme="minorEastAsia" w:hAnsiTheme="minorEastAsia" w:cs="Arial" w:hint="eastAsia"/>
          <w:sz w:val="24"/>
        </w:rPr>
        <w:t>规</w:t>
      </w:r>
      <w:proofErr w:type="gramEnd"/>
      <w:r>
        <w:rPr>
          <w:rFonts w:asciiTheme="minorEastAsia" w:eastAsiaTheme="minorEastAsia" w:hAnsiTheme="minorEastAsia" w:cs="Arial" w:hint="eastAsia"/>
          <w:sz w:val="24"/>
        </w:rPr>
        <w:t>的指令办理资金收付。户名原则上应当包含开户主体和产品名称字样。如法律法规或监管部门另有规定的，从其规定。本基金的银行预留印鉴由基金托管人保管和使用。</w:t>
      </w:r>
    </w:p>
    <w:p w14:paraId="24F8546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14:paraId="65CA64E1"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3.基金托管资金账户的开立和管理应符合银行业监督管理机构的有关规定。</w:t>
      </w:r>
    </w:p>
    <w:p w14:paraId="208D02CD"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4.在符合法律法规规定的条件下，基金托管人可以通过基金托管人专用账户办理基金资产的支付。</w:t>
      </w:r>
    </w:p>
    <w:p w14:paraId="5CB13E00"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5.基金管理人应于基金清盘后及时完成收益兑付、费用结清及其他应收应付款项资金划转，在确保后续不再发生款项进出后的10个工作日内向托管人发出销户申请。</w:t>
      </w:r>
    </w:p>
    <w:p w14:paraId="16A46370"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（四）基金证券账户和结算备付金账户的开立和管理</w:t>
      </w:r>
    </w:p>
    <w:p w14:paraId="3B87869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1.基金托管人在中国证券登记结算有限责任公司为基金开立基金托管人与基金联名的证券账户。</w:t>
      </w:r>
    </w:p>
    <w:p w14:paraId="5942626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2C71C8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3.基金证券账户的开立和证券账户卡的保管由基金托管人负责，账户资产的</w:t>
      </w:r>
      <w:r>
        <w:rPr>
          <w:rFonts w:asciiTheme="minorEastAsia" w:eastAsiaTheme="minorEastAsia" w:hAnsiTheme="minorEastAsia" w:cs="Arial" w:hint="eastAsia"/>
          <w:sz w:val="24"/>
        </w:rPr>
        <w:lastRenderedPageBreak/>
        <w:t>管理和运用由基金管理人负责。</w:t>
      </w:r>
    </w:p>
    <w:p w14:paraId="0B9E6FF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证券账户开户费由基金管理人先行垫付，待基金启始运营后，基金管理人可向基金托管人发送划款指令，将代垫开户费从本基金托管资金账户中扣还基金管理人。</w:t>
      </w:r>
    </w:p>
    <w:p w14:paraId="58391E8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Theme="minorEastAsia" w:eastAsiaTheme="minorEastAsia" w:hAnsiTheme="minorEastAsia" w:cs="Arial" w:hint="eastAsia"/>
          <w:sz w:val="24"/>
        </w:rPr>
        <w:t>收资金</w:t>
      </w:r>
      <w:proofErr w:type="gramEnd"/>
      <w:r>
        <w:rPr>
          <w:rFonts w:asciiTheme="minorEastAsia" w:eastAsiaTheme="minorEastAsia" w:hAnsiTheme="minorEastAsia" w:cs="Arial" w:hint="eastAsia"/>
          <w:sz w:val="24"/>
        </w:rPr>
        <w:t>等的收取按照中国证券登记结算有限责任公司的规定以及基金管理人与基金托管人签署的《托管银行证券资金结算协议》执行。</w:t>
      </w:r>
    </w:p>
    <w:p w14:paraId="22561BA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5C6FCF5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6.若中国证监会或其他监管机构在本托管协议订立日之后允许基金从事其他投资品种的投资业务，涉及相关账户的开立、使用的，若无相关规定，</w:t>
      </w:r>
      <w:proofErr w:type="gramStart"/>
      <w:r>
        <w:rPr>
          <w:rFonts w:asciiTheme="minorEastAsia" w:eastAsiaTheme="minorEastAsia" w:hAnsiTheme="minorEastAsia" w:cs="Arial" w:hint="eastAsia"/>
          <w:sz w:val="24"/>
        </w:rPr>
        <w:t>则基金</w:t>
      </w:r>
      <w:proofErr w:type="gramEnd"/>
      <w:r>
        <w:rPr>
          <w:rFonts w:asciiTheme="minorEastAsia" w:eastAsiaTheme="minorEastAsia" w:hAnsiTheme="minorEastAsia" w:cs="Arial" w:hint="eastAsia"/>
          <w:sz w:val="24"/>
        </w:rPr>
        <w:t>托管人比照上述关于账户开立、使用的规定执行。</w:t>
      </w:r>
    </w:p>
    <w:p w14:paraId="487288E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（五）银行间账户的开设和管理</w:t>
      </w:r>
    </w:p>
    <w:p w14:paraId="6CFC1F7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99515A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（六）开放式基金账户的开设和管理</w:t>
      </w:r>
    </w:p>
    <w:p w14:paraId="7D8839D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场外开放式基金账户由管理人根据基金公司要求填写相关资料后开立。管理人应指定基金托管资金账户作为开放式基金交易及回款的唯一结算账户。管理人应及时将开放式基金账户的信息发送托管人。</w:t>
      </w:r>
    </w:p>
    <w:p w14:paraId="6E20EB0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管理人选择通过机构投资者</w:t>
      </w:r>
      <w:proofErr w:type="gramStart"/>
      <w:r>
        <w:rPr>
          <w:rFonts w:asciiTheme="minorEastAsia" w:eastAsiaTheme="minorEastAsia" w:hAnsiTheme="minorEastAsia" w:cs="Arial" w:hint="eastAsia"/>
          <w:sz w:val="24"/>
        </w:rPr>
        <w:t>场外投资</w:t>
      </w:r>
      <w:proofErr w:type="gramEnd"/>
      <w:r>
        <w:rPr>
          <w:rFonts w:asciiTheme="minorEastAsia" w:eastAsiaTheme="minorEastAsia" w:hAnsiTheme="minorEastAsia" w:cs="Arial" w:hint="eastAsia"/>
          <w:sz w:val="24"/>
        </w:rPr>
        <w:t>业务平台（简称"FISP"）参与开放式基金投资的，应由管理人在FISP系统登记产品信息（包含托管人信息），由托管人对基金托管资金账户信息进行验证。产品登记成功后，由管理人在线向基金销售机构提交开户申请，账户开立信息通过FISP反馈管理人和托管人。</w:t>
      </w:r>
    </w:p>
    <w:p w14:paraId="7FE4CB8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（七）其他账户的开立和管理</w:t>
      </w:r>
    </w:p>
    <w:p w14:paraId="0761A4A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7F5AE8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2.法律法规等有关规定对相关账户的开立和管理另有规定的，从其规定办理。</w:t>
      </w:r>
    </w:p>
    <w:p w14:paraId="37360694"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（八）基金财产投资的有关有价凭证等的保管</w:t>
      </w:r>
    </w:p>
    <w:p w14:paraId="2EA72DD0" w14:textId="77777777" w:rsidR="007764FF" w:rsidRDefault="008F7605">
      <w:pPr>
        <w:adjustRightInd w:val="0"/>
        <w:snapToGrid w:val="0"/>
        <w:ind w:firstLineChars="200" w:firstLine="480"/>
        <w:rPr>
          <w:rFonts w:asciiTheme="minorEastAsia" w:eastAsiaTheme="minorEastAsia" w:hAnsiTheme="minorEastAsia" w:cs="Arial"/>
        </w:rPr>
      </w:pPr>
      <w:r>
        <w:rPr>
          <w:rFonts w:asciiTheme="minorEastAsia" w:eastAsiaTheme="minorEastAsia" w:hAnsiTheme="minorEastAsia" w:cs="Arial" w:hint="eastAsia"/>
          <w:sz w:val="24"/>
        </w:rPr>
        <w:t>基金财产投资的有关实物证券、银行</w:t>
      </w:r>
      <w:r>
        <w:rPr>
          <w:rFonts w:asciiTheme="minorEastAsia" w:eastAsiaTheme="minorEastAsia" w:hAnsiTheme="minorEastAsia" w:hint="eastAsia"/>
          <w:sz w:val="24"/>
        </w:rPr>
        <w:t>存款开户证实书</w:t>
      </w:r>
      <w:r>
        <w:rPr>
          <w:rFonts w:asciiTheme="minorEastAsia" w:eastAsiaTheme="minorEastAsia" w:hAnsiTheme="minorEastAsia" w:cs="Arial" w:hint="eastAsia"/>
          <w:sz w:val="24"/>
        </w:rPr>
        <w:t>等有价凭证由基金托管人存放于基金托管人的保管库，也可存入法律法规有关规定允许的</w:t>
      </w:r>
      <w:proofErr w:type="gramStart"/>
      <w:r>
        <w:rPr>
          <w:rFonts w:asciiTheme="minorEastAsia" w:eastAsiaTheme="minorEastAsia" w:hAnsiTheme="minorEastAsia" w:cs="Arial" w:hint="eastAsia"/>
          <w:sz w:val="24"/>
        </w:rPr>
        <w:t>各类代保管</w:t>
      </w:r>
      <w:proofErr w:type="gramEnd"/>
      <w:r>
        <w:rPr>
          <w:rFonts w:asciiTheme="minorEastAsia" w:eastAsiaTheme="minorEastAsia" w:hAnsiTheme="minorEastAsia"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E955A6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（九）与基金财产有关的重大合同的保管</w:t>
      </w:r>
    </w:p>
    <w:p w14:paraId="22BB0DF2" w14:textId="0F15FD86"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w:t>
      </w:r>
      <w:r>
        <w:rPr>
          <w:rFonts w:asciiTheme="minorEastAsia" w:eastAsiaTheme="minorEastAsia" w:hAnsiTheme="minorEastAsia" w:cs="Arial" w:hint="eastAsia"/>
          <w:sz w:val="24"/>
        </w:rPr>
        <w:lastRenderedPageBreak/>
        <w:t>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按照法律法规的规定执行。对于无法取得二份以上的正本的，基金管理人应向基金托管人提供加盖公章的合同传真件、复印件或扫描件，未经双方协商一致，合同原件不得转移。</w:t>
      </w:r>
    </w:p>
    <w:p w14:paraId="3A553B4E" w14:textId="77777777" w:rsidR="007764FF" w:rsidRDefault="007764FF">
      <w:pPr>
        <w:rPr>
          <w:rFonts w:asciiTheme="minorEastAsia" w:eastAsiaTheme="minorEastAsia" w:hAnsiTheme="minorEastAsia"/>
          <w:sz w:val="24"/>
        </w:rPr>
      </w:pPr>
    </w:p>
    <w:p w14:paraId="72D10430" w14:textId="77777777" w:rsidR="007764FF" w:rsidRDefault="008F7605">
      <w:pPr>
        <w:pStyle w:val="2"/>
        <w:jc w:val="center"/>
        <w:rPr>
          <w:rFonts w:asciiTheme="minorEastAsia" w:eastAsiaTheme="minorEastAsia" w:hAnsiTheme="minorEastAsia"/>
          <w:sz w:val="30"/>
        </w:rPr>
      </w:pPr>
      <w:bookmarkStart w:id="44" w:name="_Toc118774805"/>
      <w:bookmarkStart w:id="45" w:name="_Toc86726441"/>
      <w:bookmarkStart w:id="46" w:name="_Toc86225293"/>
      <w:bookmarkStart w:id="47" w:name="_Toc110830494"/>
      <w:bookmarkStart w:id="48" w:name="_Toc89163370"/>
      <w:bookmarkStart w:id="49" w:name="_Toc86727357"/>
      <w:bookmarkStart w:id="50" w:name="_Toc118972650"/>
      <w:bookmarkStart w:id="51" w:name="_Toc120435785"/>
      <w:bookmarkStart w:id="52" w:name="_Toc86649724"/>
      <w:bookmarkStart w:id="53" w:name="_Toc108512360"/>
      <w:bookmarkStart w:id="54" w:name="_Toc86223244"/>
      <w:bookmarkStart w:id="55" w:name="_Toc86204790"/>
      <w:bookmarkStart w:id="56" w:name="_Toc119402712"/>
      <w:bookmarkStart w:id="57" w:name="_Toc84234436"/>
      <w:bookmarkStart w:id="58" w:name="_Toc110761798"/>
      <w:bookmarkStart w:id="59" w:name="_Toc84234389"/>
      <w:bookmarkStart w:id="60" w:name="_Toc124325890"/>
      <w:bookmarkStart w:id="61" w:name="_Toc86737931"/>
      <w:bookmarkStart w:id="62" w:name="_Toc118212952"/>
      <w:bookmarkStart w:id="63" w:name="_Toc84133787"/>
      <w:bookmarkStart w:id="64" w:name="_Toc110765662"/>
      <w:r>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79A9202"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5FE0383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（一）基金管理人对发送指令人员的书面授权</w:t>
      </w:r>
    </w:p>
    <w:p w14:paraId="37D92F28" w14:textId="59ABC828"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7F6A6B1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309C1BB7"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w:t>
      </w:r>
      <w:proofErr w:type="gramStart"/>
      <w:r>
        <w:rPr>
          <w:rFonts w:asciiTheme="minorEastAsia" w:eastAsiaTheme="minorEastAsia" w:hAnsiTheme="minorEastAsia" w:cs="Arial" w:hint="eastAsia"/>
          <w:sz w:val="24"/>
        </w:rPr>
        <w:t>件内容</w:t>
      </w:r>
      <w:proofErr w:type="gramEnd"/>
      <w:r>
        <w:rPr>
          <w:rFonts w:asciiTheme="minorEastAsia" w:eastAsiaTheme="minorEastAsia" w:hAnsiTheme="minorEastAsia" w:cs="Arial" w:hint="eastAsia"/>
          <w:sz w:val="24"/>
        </w:rPr>
        <w:t>执行有关业务，如果授权文件原件与托管人收到的扫描件不同，由此产生的责任由管理人承担。</w:t>
      </w:r>
    </w:p>
    <w:p w14:paraId="6FE00FC6"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管理人更换被授权人、更改或终止对被授权人的授权、变更预留印鉴应按上述要求提供新的授权文件。在授权变更生效前，托管人仍应按原授权文件执行指令，管理人不得否认其效力。</w:t>
      </w:r>
    </w:p>
    <w:p w14:paraId="65170B23" w14:textId="77307ABC"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托管人更换接受管理人指令的传真号或邮箱地址，应提前通知管理人。基金管理人和基金托管人对授权文件负有保密义务，其内容不得向被授权人及相关操作人员以外的任何人泄露。但法律法规规定或有权机关要求的除外。</w:t>
      </w:r>
    </w:p>
    <w:p w14:paraId="3AE26D13"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（二）指令的内容</w:t>
      </w:r>
    </w:p>
    <w:p w14:paraId="1B7F363D"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1.指令包括付款指令以及其他资金划拨指令等。</w:t>
      </w:r>
    </w:p>
    <w:p w14:paraId="7A508EC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2.基金管理人发给基金托管人的指令应写明款项事由、支付时间、到账时间、金额、收付款账户等，加盖预留印鉴并由被授权人签章。</w:t>
      </w:r>
    </w:p>
    <w:p w14:paraId="7F83946E"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（三）指令的发送、确认及执行的时间和程序</w:t>
      </w:r>
    </w:p>
    <w:p w14:paraId="75E23C44"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1.指令的发送</w:t>
      </w:r>
    </w:p>
    <w:p w14:paraId="032EE3B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基金管理人发送指令应采用传真方式或双方协商一致的其他方式。</w:t>
      </w:r>
    </w:p>
    <w:p w14:paraId="38E34D7B"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Theme="minorEastAsia" w:eastAsiaTheme="minorEastAsia" w:hAnsiTheme="minorEastAsia" w:cs="Arial" w:hint="eastAsia"/>
          <w:sz w:val="24"/>
        </w:rPr>
        <w:lastRenderedPageBreak/>
        <w:t>被授权人无权发送的指令，或超权限发送的指令，基金管理人不承担责任，授权已更改但未经基金托管人确认的情况除外。</w:t>
      </w:r>
    </w:p>
    <w:p w14:paraId="03204BA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指令发出后，基金管理人应及时以电话方式向基金托管人确认。</w:t>
      </w:r>
    </w:p>
    <w:p w14:paraId="0902A8E6"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基金管理人应在银行间交易成交后，及时将相关文件及划款指令加盖印章后发至基金托管人并电话确认，由基金托管人完成后台交易匹配及资金交收事宜。</w:t>
      </w:r>
      <w:r>
        <w:rPr>
          <w:rFonts w:asciiTheme="minorEastAsia" w:eastAsiaTheme="minorEastAsia" w:hAnsiTheme="minorEastAsia" w:hint="eastAsia"/>
          <w:sz w:val="24"/>
        </w:rPr>
        <w:t>如果银行间结算系统已经生成的交易需要取消或终止，基金管理人要书面通知基金托管人。</w:t>
      </w:r>
    </w:p>
    <w:p w14:paraId="46163CA0"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2.指令的确认</w:t>
      </w:r>
    </w:p>
    <w:p w14:paraId="5E209204"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文件进行表面真实性及权限范围核对，复核无误后应在规定期限内执行，不得延误，如有疑问必须及时通知基金管理人。</w:t>
      </w:r>
    </w:p>
    <w:p w14:paraId="228E9472"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3.指令的时间和执行</w:t>
      </w:r>
    </w:p>
    <w:p w14:paraId="52E1AFF5" w14:textId="19E168EC" w:rsidR="007764FF" w:rsidRDefault="008F7605">
      <w:pPr>
        <w:pStyle w:val="a6"/>
        <w:spacing w:line="240" w:lineRule="auto"/>
        <w:ind w:firstLineChars="0"/>
        <w:rPr>
          <w:rFonts w:asciiTheme="minorEastAsia" w:eastAsiaTheme="minorEastAsia" w:hAnsiTheme="minorEastAsia" w:cs="Arial"/>
          <w:szCs w:val="24"/>
          <w:shd w:val="pct10" w:color="auto" w:fill="FFFFFF"/>
        </w:rPr>
      </w:pPr>
      <w:r>
        <w:rPr>
          <w:rFonts w:asciiTheme="minorEastAsia" w:eastAsiaTheme="minorEastAsia" w:hAnsiTheme="minorEastAsia" w:cs="Arial" w:hint="eastAsia"/>
        </w:rPr>
        <w:t>基金管理人应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Theme="minorEastAsia" w:eastAsiaTheme="minorEastAsia" w:hAnsiTheme="minorEastAsia" w:cs="Arial" w:hint="eastAsia"/>
          <w:szCs w:val="24"/>
        </w:rPr>
        <w:t>基金管理人应确保基金托管人在执行指令时，基金托管资金账户有足够的资金余额，</w:t>
      </w:r>
      <w:r>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18C614B9"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（四）基金管理人发送错误指令的情形和处理程序</w:t>
      </w:r>
    </w:p>
    <w:p w14:paraId="0215BAF4"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基金管理人发送错误指令的情形包括指令违反法律法规、监管规定、《基金合同》或本协议的约定，或者指令发送人员无权或超越权限发送指令。</w:t>
      </w:r>
    </w:p>
    <w:p w14:paraId="16B1C988"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3D8D244D"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（五）基金托管人未按照基金管理人指令执行的处理方法</w:t>
      </w:r>
    </w:p>
    <w:p w14:paraId="6AB669C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基金托管人由于自身过错，未按照基金管理人发送的符合法律法规、监管规定、《基金合同》和本协议约定的指令执行并对基金财产或投资人造成的直接损失，由基金托管人赔偿由此造成的直接损失。</w:t>
      </w:r>
    </w:p>
    <w:p w14:paraId="5AAF8F96" w14:textId="31CE3C5E"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（六）其他事项</w:t>
      </w:r>
    </w:p>
    <w:p w14:paraId="36E85884"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14:paraId="0A989EBE"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C0E89E3" w14:textId="77777777" w:rsidR="007764FF" w:rsidRDefault="007764FF">
      <w:pPr>
        <w:adjustRightInd w:val="0"/>
        <w:snapToGrid w:val="0"/>
        <w:rPr>
          <w:rFonts w:asciiTheme="minorEastAsia" w:eastAsiaTheme="minorEastAsia" w:hAnsiTheme="minorEastAsia" w:cs="Arial"/>
          <w:sz w:val="24"/>
        </w:rPr>
      </w:pPr>
    </w:p>
    <w:p w14:paraId="74CC790B" w14:textId="77777777" w:rsidR="007764FF" w:rsidRDefault="008F7605">
      <w:pPr>
        <w:pStyle w:val="2"/>
        <w:jc w:val="center"/>
        <w:rPr>
          <w:rFonts w:asciiTheme="minorEastAsia" w:eastAsiaTheme="minorEastAsia" w:hAnsiTheme="minorEastAsia"/>
          <w:sz w:val="30"/>
        </w:rPr>
      </w:pPr>
      <w:bookmarkStart w:id="65" w:name="_Toc84234437"/>
      <w:bookmarkStart w:id="66" w:name="_Toc84234390"/>
      <w:bookmarkStart w:id="67" w:name="_Toc86225294"/>
      <w:bookmarkStart w:id="68" w:name="_Toc86649725"/>
      <w:bookmarkStart w:id="69" w:name="_Toc86204791"/>
      <w:bookmarkStart w:id="70" w:name="_Toc119402713"/>
      <w:bookmarkStart w:id="71" w:name="_Toc86727358"/>
      <w:bookmarkStart w:id="72" w:name="_Toc89163371"/>
      <w:bookmarkStart w:id="73" w:name="_Toc118212953"/>
      <w:bookmarkStart w:id="74" w:name="_Toc110765663"/>
      <w:bookmarkStart w:id="75" w:name="_Toc84133788"/>
      <w:bookmarkStart w:id="76" w:name="_Toc86726442"/>
      <w:bookmarkStart w:id="77" w:name="_Toc108512361"/>
      <w:bookmarkStart w:id="78" w:name="_Toc118972651"/>
      <w:bookmarkStart w:id="79" w:name="_Toc118774806"/>
      <w:bookmarkStart w:id="80" w:name="_Toc110830495"/>
      <w:bookmarkStart w:id="81" w:name="_Toc110761799"/>
      <w:bookmarkStart w:id="82" w:name="_Toc124325891"/>
      <w:bookmarkStart w:id="83" w:name="_Toc86737932"/>
      <w:bookmarkStart w:id="84" w:name="_Toc86223245"/>
      <w:bookmarkStart w:id="85" w:name="_Toc120435786"/>
      <w:r>
        <w:rPr>
          <w:rFonts w:asciiTheme="minorEastAsia" w:eastAsiaTheme="minorEastAsia" w:hAnsiTheme="minorEastAsia"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34C81F2"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092210E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基金管理人、基金托管人应遵守本协议下述（一）和（二）之约定。</w:t>
      </w:r>
    </w:p>
    <w:p w14:paraId="7AF0698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（一）选择证券买卖的证券经营机构</w:t>
      </w:r>
    </w:p>
    <w:p w14:paraId="740C5B0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190DA57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（二）基金投资证券后的清算交收安排</w:t>
      </w:r>
    </w:p>
    <w:p w14:paraId="3B91926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1.结算备付金与保证金</w:t>
      </w:r>
    </w:p>
    <w:p w14:paraId="5AAB7BB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中国证券登记结算有限责任公司分别于每月前</w:t>
      </w:r>
      <w:r>
        <w:rPr>
          <w:rFonts w:asciiTheme="minorEastAsia" w:eastAsiaTheme="minorEastAsia" w:hAnsiTheme="minorEastAsia" w:cs="Arial"/>
          <w:sz w:val="24"/>
        </w:rPr>
        <w:t>6个交易日</w:t>
      </w:r>
      <w:r>
        <w:rPr>
          <w:rFonts w:asciiTheme="minorEastAsia" w:eastAsiaTheme="minorEastAsia" w:hAnsiTheme="minorEastAsia" w:cs="Arial" w:hint="eastAsia"/>
          <w:sz w:val="24"/>
        </w:rPr>
        <w:t>及每月前</w:t>
      </w:r>
      <w:r>
        <w:rPr>
          <w:rFonts w:asciiTheme="minorEastAsia" w:eastAsiaTheme="minorEastAsia" w:hAnsiTheme="minorEastAsia" w:cs="Arial"/>
          <w:sz w:val="24"/>
        </w:rPr>
        <w:t>3个交易日内，对结算参与人最低备付金限额与结算保证金限额进行重新核算、调整。基金托管人</w:t>
      </w:r>
      <w:r>
        <w:rPr>
          <w:rFonts w:asciiTheme="minorEastAsia" w:eastAsiaTheme="minorEastAsia" w:hAnsiTheme="minorEastAsia" w:cs="Arial" w:hint="eastAsia"/>
          <w:sz w:val="24"/>
        </w:rPr>
        <w:t>应分别于每月前3</w:t>
      </w:r>
      <w:r>
        <w:rPr>
          <w:rFonts w:asciiTheme="minorEastAsia" w:eastAsiaTheme="minorEastAsia" w:hAnsiTheme="minorEastAsia" w:cs="Arial"/>
          <w:sz w:val="24"/>
        </w:rPr>
        <w:t>个交易日内及结算保证金调整当日</w:t>
      </w:r>
      <w:r>
        <w:rPr>
          <w:rFonts w:asciiTheme="minorEastAsia" w:eastAsiaTheme="minorEastAsia" w:hAnsiTheme="minorEastAsia" w:cs="Arial" w:hint="eastAsia"/>
          <w:sz w:val="24"/>
        </w:rPr>
        <w:t>，</w:t>
      </w:r>
      <w:r>
        <w:rPr>
          <w:rFonts w:asciiTheme="minorEastAsia" w:eastAsiaTheme="minorEastAsia" w:hAnsiTheme="minorEastAsia" w:cs="Arial"/>
          <w:sz w:val="24"/>
        </w:rPr>
        <w:t>通过《资金账户报告》通知基金管理人</w:t>
      </w:r>
      <w:r>
        <w:rPr>
          <w:rFonts w:asciiTheme="minorEastAsia" w:eastAsiaTheme="minorEastAsia" w:hAnsiTheme="minorEastAsia" w:cs="Arial" w:hint="eastAsia"/>
          <w:sz w:val="24"/>
        </w:rPr>
        <w:t>本基金最低备付金调整金额以及调整后的结算保证金金额。</w:t>
      </w:r>
    </w:p>
    <w:p w14:paraId="7FB73CE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Theme="minorEastAsia" w:eastAsiaTheme="minorEastAsia" w:hAnsiTheme="minorEastAsia" w:cs="Arial" w:hint="eastAsia"/>
          <w:sz w:val="24"/>
        </w:rPr>
        <w:t>视基金</w:t>
      </w:r>
      <w:proofErr w:type="gramEnd"/>
      <w:r>
        <w:rPr>
          <w:rFonts w:asciiTheme="minorEastAsia" w:eastAsiaTheme="minorEastAsia" w:hAnsiTheme="minorEastAsia" w:cs="Arial" w:hint="eastAsia"/>
          <w:sz w:val="24"/>
        </w:rPr>
        <w:t>托管人最低结算备付金比例计收方式分别于下列时点补足透支金额：</w:t>
      </w:r>
    </w:p>
    <w:p w14:paraId="33A8670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1）固定备付金比例</w:t>
      </w:r>
      <w:r>
        <w:rPr>
          <w:rFonts w:asciiTheme="minorEastAsia" w:eastAsiaTheme="minorEastAsia" w:hAnsiTheme="minorEastAsia" w:cs="Arial" w:hint="eastAsia"/>
          <w:sz w:val="24"/>
        </w:rPr>
        <w:t>计收方式下，基金管理人应在调整最低备付金、结算保证金当日上午</w:t>
      </w:r>
      <w:r>
        <w:rPr>
          <w:rFonts w:asciiTheme="minorEastAsia" w:eastAsiaTheme="minorEastAsia" w:hAnsiTheme="minorEastAsia" w:cs="Arial"/>
          <w:sz w:val="24"/>
        </w:rPr>
        <w:t>11</w:t>
      </w:r>
      <w:r>
        <w:rPr>
          <w:rFonts w:asciiTheme="minorEastAsia" w:eastAsiaTheme="minorEastAsia" w:hAnsiTheme="minorEastAsia" w:cs="Arial" w:hint="eastAsia"/>
          <w:sz w:val="24"/>
        </w:rPr>
        <w:t>：</w:t>
      </w:r>
      <w:r>
        <w:rPr>
          <w:rFonts w:asciiTheme="minorEastAsia" w:eastAsiaTheme="minorEastAsia" w:hAnsiTheme="minorEastAsia" w:cs="Arial"/>
          <w:sz w:val="24"/>
        </w:rPr>
        <w:t>00之前补足</w:t>
      </w:r>
      <w:r>
        <w:rPr>
          <w:rFonts w:asciiTheme="minorEastAsia" w:eastAsiaTheme="minorEastAsia" w:hAnsiTheme="minorEastAsia" w:cs="Arial" w:hint="eastAsia"/>
          <w:sz w:val="24"/>
        </w:rPr>
        <w:t>金额。</w:t>
      </w:r>
    </w:p>
    <w:p w14:paraId="5E861E6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2）差异化备付金比例</w:t>
      </w:r>
      <w:r>
        <w:rPr>
          <w:rFonts w:asciiTheme="minorEastAsia" w:eastAsiaTheme="minorEastAsia" w:hAnsiTheme="minorEastAsia" w:cs="Arial" w:hint="eastAsia"/>
          <w:sz w:val="24"/>
        </w:rPr>
        <w:t>计收方式下，基金管理人应最晚于资金</w:t>
      </w:r>
      <w:proofErr w:type="gramStart"/>
      <w:r>
        <w:rPr>
          <w:rFonts w:asciiTheme="minorEastAsia" w:eastAsiaTheme="minorEastAsia" w:hAnsiTheme="minorEastAsia" w:cs="Arial" w:hint="eastAsia"/>
          <w:sz w:val="24"/>
        </w:rPr>
        <w:t>交收日上午</w:t>
      </w:r>
      <w:proofErr w:type="gramEnd"/>
      <w:r>
        <w:rPr>
          <w:rFonts w:asciiTheme="minorEastAsia" w:eastAsiaTheme="minorEastAsia" w:hAnsiTheme="minorEastAsia" w:cs="Arial"/>
          <w:sz w:val="24"/>
        </w:rPr>
        <w:t>8：30前补足金额</w:t>
      </w:r>
      <w:r>
        <w:rPr>
          <w:rFonts w:asciiTheme="minorEastAsia" w:eastAsiaTheme="minorEastAsia" w:hAnsiTheme="minorEastAsia" w:cs="Arial" w:hint="eastAsia"/>
          <w:sz w:val="24"/>
        </w:rPr>
        <w:t>。</w:t>
      </w:r>
    </w:p>
    <w:p w14:paraId="5A488C7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w:t>
      </w:r>
      <w:r>
        <w:rPr>
          <w:rFonts w:asciiTheme="minorEastAsia" w:eastAsiaTheme="minorEastAsia" w:hAnsiTheme="minorEastAsia" w:cs="Arial"/>
          <w:sz w:val="24"/>
        </w:rPr>
        <w:t>清算交收</w:t>
      </w:r>
    </w:p>
    <w:p w14:paraId="2C4081A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1BB8D4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w:t>
      </w:r>
      <w:proofErr w:type="gramStart"/>
      <w:r>
        <w:rPr>
          <w:rFonts w:asciiTheme="minorEastAsia" w:eastAsiaTheme="minorEastAsia" w:hAnsiTheme="minorEastAsia" w:cs="Arial" w:hint="eastAsia"/>
          <w:sz w:val="24"/>
        </w:rPr>
        <w:t>非基金</w:t>
      </w:r>
      <w:proofErr w:type="gramEnd"/>
      <w:r>
        <w:rPr>
          <w:rFonts w:asciiTheme="minorEastAsia" w:eastAsiaTheme="minorEastAsia" w:hAnsiTheme="minorEastAsia" w:cs="Arial" w:hint="eastAsia"/>
          <w:sz w:val="24"/>
        </w:rPr>
        <w:t>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欠库等原因造成基金投资清算困难和风险的，基金托管人在预清算结束后通知基金管理人预透支和预欠库事项，基金管理人应保持联系方式畅通，后续补缴等事宜由基金管理人负责解决，由此给基金托</w:t>
      </w:r>
      <w:r>
        <w:rPr>
          <w:rFonts w:asciiTheme="minorEastAsia" w:eastAsiaTheme="minorEastAsia" w:hAnsiTheme="minorEastAsia" w:cs="Arial" w:hint="eastAsia"/>
          <w:sz w:val="24"/>
        </w:rPr>
        <w:lastRenderedPageBreak/>
        <w:t>管人、本基金及基金托管人托管的其他资产造成的直接损失由基金管理人承担。</w:t>
      </w:r>
    </w:p>
    <w:p w14:paraId="5327EF4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基金管理人应采取合理、必要措施，确保T日日终有足够的资金头寸完成T+1日中国证券登记结算有限责任公司的资金交收；如因基金管理</w:t>
      </w:r>
      <w:proofErr w:type="gramStart"/>
      <w:r>
        <w:rPr>
          <w:rFonts w:asciiTheme="minorEastAsia" w:eastAsiaTheme="minorEastAsia" w:hAnsiTheme="minorEastAsia" w:cs="Arial" w:hint="eastAsia"/>
          <w:sz w:val="24"/>
        </w:rPr>
        <w:t>人原因</w:t>
      </w:r>
      <w:proofErr w:type="gramEnd"/>
      <w:r>
        <w:rPr>
          <w:rFonts w:asciiTheme="minorEastAsia" w:eastAsiaTheme="minorEastAsia" w:hAnsiTheme="minorEastAsia" w:cs="Arial" w:hint="eastAsia"/>
          <w:sz w:val="24"/>
        </w:rPr>
        <w:t>导致资金头寸不足，基金管理人应</w:t>
      </w:r>
      <w:proofErr w:type="gramStart"/>
      <w:r>
        <w:rPr>
          <w:rFonts w:asciiTheme="minorEastAsia" w:eastAsiaTheme="minorEastAsia" w:hAnsiTheme="minorEastAsia" w:cs="Arial" w:hint="eastAsia"/>
          <w:sz w:val="24"/>
        </w:rPr>
        <w:t>视基金</w:t>
      </w:r>
      <w:proofErr w:type="gramEnd"/>
      <w:r>
        <w:rPr>
          <w:rFonts w:asciiTheme="minorEastAsia" w:eastAsiaTheme="minorEastAsia" w:hAnsiTheme="minorEastAsia" w:cs="Arial" w:hint="eastAsia"/>
          <w:sz w:val="24"/>
        </w:rPr>
        <w:t>托管</w:t>
      </w:r>
      <w:r>
        <w:rPr>
          <w:rFonts w:asciiTheme="minorEastAsia" w:eastAsiaTheme="minorEastAsia" w:hAnsiTheme="minorEastAsia" w:cs="Arial"/>
          <w:sz w:val="24"/>
        </w:rPr>
        <w:t>人</w:t>
      </w:r>
      <w:r>
        <w:rPr>
          <w:rFonts w:asciiTheme="minorEastAsia" w:eastAsiaTheme="minorEastAsia" w:hAnsiTheme="minorEastAsia" w:cs="Arial" w:hint="eastAsia"/>
          <w:sz w:val="24"/>
        </w:rPr>
        <w:t>最低结算备付金比例计收方式分别于下列时点补足透支金额：</w:t>
      </w:r>
    </w:p>
    <w:p w14:paraId="3E1354C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1）固定备付金比例计收方式下，</w:t>
      </w:r>
      <w:r>
        <w:rPr>
          <w:rFonts w:asciiTheme="minorEastAsia" w:eastAsiaTheme="minorEastAsia" w:hAnsiTheme="minorEastAsia" w:cs="Arial" w:hint="eastAsia"/>
          <w:sz w:val="24"/>
        </w:rPr>
        <w:t>基金</w:t>
      </w:r>
      <w:r>
        <w:rPr>
          <w:rFonts w:asciiTheme="minorEastAsia" w:eastAsiaTheme="minorEastAsia" w:hAnsiTheme="minorEastAsia" w:cs="Arial"/>
          <w:sz w:val="24"/>
        </w:rPr>
        <w:t>管理人应</w:t>
      </w:r>
      <w:r>
        <w:rPr>
          <w:rFonts w:asciiTheme="minorEastAsia" w:eastAsiaTheme="minorEastAsia" w:hAnsiTheme="minorEastAsia" w:cs="Arial" w:hint="eastAsia"/>
          <w:sz w:val="24"/>
        </w:rPr>
        <w:t>最晚于资金</w:t>
      </w:r>
      <w:proofErr w:type="gramStart"/>
      <w:r>
        <w:rPr>
          <w:rFonts w:asciiTheme="minorEastAsia" w:eastAsiaTheme="minorEastAsia" w:hAnsiTheme="minorEastAsia" w:cs="Arial" w:hint="eastAsia"/>
          <w:sz w:val="24"/>
        </w:rPr>
        <w:t>交收日上午</w:t>
      </w:r>
      <w:proofErr w:type="gramEnd"/>
      <w:r>
        <w:rPr>
          <w:rFonts w:asciiTheme="minorEastAsia" w:eastAsiaTheme="minorEastAsia" w:hAnsiTheme="minorEastAsia" w:cs="Arial"/>
          <w:sz w:val="24"/>
        </w:rPr>
        <w:t>11</w:t>
      </w:r>
      <w:r>
        <w:rPr>
          <w:rFonts w:asciiTheme="minorEastAsia" w:eastAsiaTheme="minorEastAsia" w:hAnsiTheme="minorEastAsia" w:cs="Arial" w:hint="eastAsia"/>
          <w:sz w:val="24"/>
        </w:rPr>
        <w:t>：</w:t>
      </w:r>
      <w:r>
        <w:rPr>
          <w:rFonts w:asciiTheme="minorEastAsia" w:eastAsiaTheme="minorEastAsia" w:hAnsiTheme="minorEastAsia" w:cs="Arial"/>
          <w:sz w:val="24"/>
        </w:rPr>
        <w:t>00前补足金额。</w:t>
      </w:r>
    </w:p>
    <w:p w14:paraId="06A7416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2）差异化备付金比例计收方式下，</w:t>
      </w:r>
      <w:r>
        <w:rPr>
          <w:rFonts w:asciiTheme="minorEastAsia" w:eastAsiaTheme="minorEastAsia" w:hAnsiTheme="minorEastAsia" w:cs="Arial" w:hint="eastAsia"/>
          <w:sz w:val="24"/>
        </w:rPr>
        <w:t>基金</w:t>
      </w:r>
      <w:r>
        <w:rPr>
          <w:rFonts w:asciiTheme="minorEastAsia" w:eastAsiaTheme="minorEastAsia" w:hAnsiTheme="minorEastAsia" w:cs="Arial"/>
          <w:sz w:val="24"/>
        </w:rPr>
        <w:t>管理人应最晚于资金</w:t>
      </w:r>
      <w:proofErr w:type="gramStart"/>
      <w:r>
        <w:rPr>
          <w:rFonts w:asciiTheme="minorEastAsia" w:eastAsiaTheme="minorEastAsia" w:hAnsiTheme="minorEastAsia" w:cs="Arial"/>
          <w:sz w:val="24"/>
        </w:rPr>
        <w:t>交收日</w:t>
      </w:r>
      <w:r>
        <w:rPr>
          <w:rFonts w:asciiTheme="minorEastAsia" w:eastAsiaTheme="minorEastAsia" w:hAnsiTheme="minorEastAsia" w:cs="Arial" w:hint="eastAsia"/>
          <w:sz w:val="24"/>
        </w:rPr>
        <w:t>上午</w:t>
      </w:r>
      <w:proofErr w:type="gramEnd"/>
      <w:r>
        <w:rPr>
          <w:rFonts w:asciiTheme="minorEastAsia" w:eastAsiaTheme="minorEastAsia" w:hAnsiTheme="minorEastAsia" w:cs="Arial"/>
          <w:sz w:val="24"/>
        </w:rPr>
        <w:t>8： 30前补足金额</w:t>
      </w:r>
      <w:r>
        <w:rPr>
          <w:rFonts w:asciiTheme="minorEastAsia" w:eastAsiaTheme="minorEastAsia" w:hAnsiTheme="minorEastAsia" w:cs="Arial" w:hint="eastAsia"/>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985360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根据中国证券登记结算有限责任公司结算规定，基金管理人在进行融资回购业务时，用于融资回购的债券将作为偿还融资回购到期购回款的质押</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。如因基金管理人过错造成债券回购交收违约或因折算率变化造成质押欠库，导致中国证券登记结算有限责任公司欠库扣款或对质押</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进行处置造成的投资风险和损失由基金管理人承担。</w:t>
      </w:r>
    </w:p>
    <w:p w14:paraId="667799E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1558964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.交易记录、资金和证券账目核对的时间和方式</w:t>
      </w:r>
    </w:p>
    <w:p w14:paraId="0288F2D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（1）交易记录的核对</w:t>
      </w:r>
    </w:p>
    <w:p w14:paraId="5AD8D08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基金管理人按日进行交易记录的核对。对外披露净值之前，必须保证当天所有实际交易记录与基金会计账簿上的交易记录完全一致。如果因基金管理</w:t>
      </w:r>
      <w:proofErr w:type="gramStart"/>
      <w:r>
        <w:rPr>
          <w:rFonts w:asciiTheme="minorEastAsia" w:eastAsiaTheme="minorEastAsia" w:hAnsiTheme="minorEastAsia" w:cs="Arial" w:hint="eastAsia"/>
          <w:sz w:val="24"/>
        </w:rPr>
        <w:t>人原因</w:t>
      </w:r>
      <w:proofErr w:type="gramEnd"/>
      <w:r>
        <w:rPr>
          <w:rFonts w:asciiTheme="minorEastAsia" w:eastAsiaTheme="minorEastAsia" w:hAnsiTheme="minorEastAsia" w:cs="Arial" w:hint="eastAsia"/>
          <w:sz w:val="24"/>
        </w:rPr>
        <w:t>导致实际交易记录与会计账簿记录不一致，造成基金会计核算不完整或不真实，由此导致的损失由基金管理人承担。</w:t>
      </w:r>
    </w:p>
    <w:p w14:paraId="4AC5EF7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（2）资金账目的核对</w:t>
      </w:r>
    </w:p>
    <w:p w14:paraId="2680A03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资金账目按日核实。</w:t>
      </w:r>
    </w:p>
    <w:p w14:paraId="2F8E4A3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（3）证券账目的核对</w:t>
      </w:r>
    </w:p>
    <w:p w14:paraId="00C23F0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基金管理人和基金托管人每个交易日结束后核对基金证券账目，确保双方账目相符。</w:t>
      </w:r>
    </w:p>
    <w:p w14:paraId="36F9C77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（三）基金申购和赎回业务处理的基本规定</w:t>
      </w:r>
    </w:p>
    <w:p w14:paraId="2765EFB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1.基金份额申购、赎回的确认、清算由基金管理人或其委托的登记机构负责。</w:t>
      </w:r>
    </w:p>
    <w:p w14:paraId="0CAAB38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BB5E65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3.基金管理人应保证本基金（或本基金管理人委托）的登记机构每个工作日15:00前向基金托管人发送前一开放</w:t>
      </w:r>
      <w:proofErr w:type="gramStart"/>
      <w:r>
        <w:rPr>
          <w:rFonts w:asciiTheme="minorEastAsia" w:eastAsiaTheme="minorEastAsia" w:hAnsiTheme="minorEastAsia" w:cs="Arial" w:hint="eastAsia"/>
          <w:sz w:val="24"/>
        </w:rPr>
        <w:t>日上述</w:t>
      </w:r>
      <w:proofErr w:type="gramEnd"/>
      <w:r>
        <w:rPr>
          <w:rFonts w:asciiTheme="minorEastAsia" w:eastAsiaTheme="minorEastAsia" w:hAnsiTheme="minorEastAsia" w:cs="Arial" w:hint="eastAsia"/>
          <w:sz w:val="24"/>
        </w:rPr>
        <w:t>有关数据，并保证相关数据的准确、完整。</w:t>
      </w:r>
    </w:p>
    <w:p w14:paraId="5C513B3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4.登记机构应通过与基金托管人建立的加密系统发送有关数据，如因各种原因，该系统无法正常发送，双方可协商解决处理方式。基金管理人向基金托管人</w:t>
      </w:r>
      <w:r>
        <w:rPr>
          <w:rFonts w:asciiTheme="minorEastAsia" w:eastAsiaTheme="minorEastAsia" w:hAnsiTheme="minorEastAsia" w:cs="Arial" w:hint="eastAsia"/>
          <w:sz w:val="24"/>
        </w:rPr>
        <w:lastRenderedPageBreak/>
        <w:t>发送的数据，双方各自按有关规定保存。</w:t>
      </w:r>
    </w:p>
    <w:p w14:paraId="335A8B7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5.如基金管理人委托其他机构办理本基金的登记业务，应保证上述相关事宜按时进行。否则，由基金管理人承担相应的责任。</w:t>
      </w:r>
    </w:p>
    <w:p w14:paraId="33A6560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6.关于清算专用账户的设立和管理</w:t>
      </w:r>
    </w:p>
    <w:p w14:paraId="0F3F7B6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为满足申购、赎回及分红资金汇划的需要，由基金管理人开立资金清算的专用账户，该账户由登记机构管理。</w:t>
      </w:r>
    </w:p>
    <w:p w14:paraId="116CDF2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与配合。</w:t>
      </w:r>
    </w:p>
    <w:p w14:paraId="18B8B2E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8.赎回和分红资金划拨规定</w:t>
      </w:r>
    </w:p>
    <w:p w14:paraId="00B33CE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拨付</w:t>
      </w:r>
      <w:proofErr w:type="gramStart"/>
      <w:r>
        <w:rPr>
          <w:rFonts w:asciiTheme="minorEastAsia" w:eastAsiaTheme="minorEastAsia" w:hAnsiTheme="minorEastAsia" w:cs="Arial" w:hint="eastAsia"/>
          <w:sz w:val="24"/>
        </w:rPr>
        <w:t>赎回款</w:t>
      </w:r>
      <w:proofErr w:type="gramEnd"/>
      <w:r>
        <w:rPr>
          <w:rFonts w:asciiTheme="minorEastAsia" w:eastAsiaTheme="minorEastAsia" w:hAnsiTheme="minorEastAsia" w:cs="Arial" w:hint="eastAsia"/>
          <w:sz w:val="24"/>
        </w:rPr>
        <w:t>或进行基金分红时，如基金托管资金账户有足够的资金，基金托管人应按时拨付；因基金托管资金账户没有足够的资金，导致基金托管人不能按时拨付，基金托管人应及时通知基金管理人，如</w:t>
      </w:r>
      <w:proofErr w:type="gramStart"/>
      <w:r>
        <w:rPr>
          <w:rFonts w:asciiTheme="minorEastAsia" w:eastAsiaTheme="minorEastAsia" w:hAnsiTheme="minorEastAsia" w:cs="Arial" w:hint="eastAsia"/>
          <w:sz w:val="24"/>
        </w:rPr>
        <w:t>系基金</w:t>
      </w:r>
      <w:proofErr w:type="gramEnd"/>
      <w:r>
        <w:rPr>
          <w:rFonts w:asciiTheme="minorEastAsia" w:eastAsiaTheme="minorEastAsia" w:hAnsiTheme="minorEastAsia" w:cs="Arial" w:hint="eastAsia"/>
          <w:sz w:val="24"/>
        </w:rPr>
        <w:t>管理人的原因造成，责任由基金管理人承担，基金托管人不承担垫款义务。</w:t>
      </w:r>
    </w:p>
    <w:p w14:paraId="77352C1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9.资金指令</w:t>
      </w:r>
    </w:p>
    <w:p w14:paraId="4DEA0A1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除申购款项到达基金托管资金账户需双方按约定方式对账外，回购到期付款和与投资有关的付款、赎回和分红资金划拨时，基金管理人需向基金托管人下达指令。</w:t>
      </w:r>
    </w:p>
    <w:p w14:paraId="2692B4C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资金指令的格式、内容、发送、接收和确认方式等与投资指令相同。</w:t>
      </w:r>
    </w:p>
    <w:p w14:paraId="652D2F1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w:t>
      </w:r>
      <w:proofErr w:type="gramStart"/>
      <w:r>
        <w:rPr>
          <w:rFonts w:asciiTheme="minorEastAsia" w:eastAsiaTheme="minorEastAsia" w:hAnsiTheme="minorEastAsia" w:cs="Arial" w:hint="eastAsia"/>
          <w:sz w:val="24"/>
        </w:rPr>
        <w:t>申赎净额</w:t>
      </w:r>
      <w:proofErr w:type="gramEnd"/>
      <w:r>
        <w:rPr>
          <w:rFonts w:asciiTheme="minorEastAsia" w:eastAsiaTheme="minorEastAsia" w:hAnsiTheme="minorEastAsia" w:cs="Arial" w:hint="eastAsia"/>
          <w:sz w:val="24"/>
        </w:rPr>
        <w:t>结算</w:t>
      </w:r>
    </w:p>
    <w:p w14:paraId="11759E6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资金账户与“基金清算账户”间的资金结算遵循“全额清算、净额交收”的原则，每日按照托管资金账户应收资金与应付资金的差额来确定托管资金账户净应收额或净应付额，以此确定资金交收额。当存在托管资金账户净应收额时，基金管理人应在资金</w:t>
      </w:r>
      <w:proofErr w:type="gramStart"/>
      <w:r>
        <w:rPr>
          <w:rFonts w:asciiTheme="minorEastAsia" w:eastAsiaTheme="minorEastAsia" w:hAnsiTheme="minorEastAsia" w:cs="Arial" w:hint="eastAsia"/>
          <w:sz w:val="24"/>
        </w:rPr>
        <w:t>交收日</w:t>
      </w:r>
      <w:proofErr w:type="gramEnd"/>
      <w:r>
        <w:rPr>
          <w:rFonts w:asciiTheme="minorEastAsia" w:eastAsiaTheme="minorEastAsia" w:hAnsiTheme="minorEastAsia" w:cs="Arial" w:hint="eastAsia"/>
          <w:sz w:val="24"/>
        </w:rPr>
        <w:t>15:00之前从基金清算账户划到基金托管资金账户；当存在托管资金账户净应付额时，基金管理人应在资金</w:t>
      </w:r>
      <w:proofErr w:type="gramStart"/>
      <w:r>
        <w:rPr>
          <w:rFonts w:asciiTheme="minorEastAsia" w:eastAsiaTheme="minorEastAsia" w:hAnsiTheme="minorEastAsia" w:cs="Arial" w:hint="eastAsia"/>
          <w:sz w:val="24"/>
        </w:rPr>
        <w:t>交收日</w:t>
      </w:r>
      <w:proofErr w:type="gramEnd"/>
      <w:r>
        <w:rPr>
          <w:rFonts w:asciiTheme="minorEastAsia" w:eastAsiaTheme="minorEastAsia" w:hAnsiTheme="minorEastAsia" w:cs="Arial" w:hint="eastAsia"/>
          <w:sz w:val="24"/>
        </w:rPr>
        <w:t>10:00前将划款指令发送给基金托管人，基金托管人按基金管理人的划款指令将托管资金账户净应付额在资金</w:t>
      </w:r>
      <w:proofErr w:type="gramStart"/>
      <w:r>
        <w:rPr>
          <w:rFonts w:asciiTheme="minorEastAsia" w:eastAsiaTheme="minorEastAsia" w:hAnsiTheme="minorEastAsia" w:cs="Arial" w:hint="eastAsia"/>
          <w:sz w:val="24"/>
        </w:rPr>
        <w:t>交收日</w:t>
      </w:r>
      <w:proofErr w:type="gramEnd"/>
      <w:r>
        <w:rPr>
          <w:rFonts w:asciiTheme="minorEastAsia" w:eastAsiaTheme="minorEastAsia" w:hAnsiTheme="minorEastAsia" w:cs="Arial" w:hint="eastAsia"/>
          <w:sz w:val="24"/>
        </w:rPr>
        <w:t>15:00之前</w:t>
      </w:r>
      <w:proofErr w:type="gramStart"/>
      <w:r>
        <w:rPr>
          <w:rFonts w:asciiTheme="minorEastAsia" w:eastAsiaTheme="minorEastAsia" w:hAnsiTheme="minorEastAsia" w:cs="Arial" w:hint="eastAsia"/>
          <w:sz w:val="24"/>
        </w:rPr>
        <w:t>划往基金</w:t>
      </w:r>
      <w:proofErr w:type="gramEnd"/>
      <w:r>
        <w:rPr>
          <w:rFonts w:asciiTheme="minorEastAsia" w:eastAsiaTheme="minorEastAsia" w:hAnsiTheme="minorEastAsia" w:cs="Arial" w:hint="eastAsia"/>
          <w:sz w:val="24"/>
        </w:rPr>
        <w:t>清算账户。</w:t>
      </w:r>
    </w:p>
    <w:p w14:paraId="684A2BE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（五）基金转换</w:t>
      </w:r>
    </w:p>
    <w:p w14:paraId="00834B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1.在本基金开展转换业务之前，基金管理人应函告基金托管人并就相关事宜进行协商。</w:t>
      </w:r>
    </w:p>
    <w:p w14:paraId="47EEC75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2.基金托管人将根据基金管理人传送的基金转换数据进行账务处理，</w:t>
      </w:r>
      <w:proofErr w:type="gramStart"/>
      <w:r>
        <w:rPr>
          <w:rFonts w:asciiTheme="minorEastAsia" w:eastAsiaTheme="minorEastAsia" w:hAnsiTheme="minorEastAsia" w:cs="Arial" w:hint="eastAsia"/>
          <w:sz w:val="24"/>
        </w:rPr>
        <w:t>具体资金</w:t>
      </w:r>
      <w:proofErr w:type="gramEnd"/>
      <w:r>
        <w:rPr>
          <w:rFonts w:asciiTheme="minorEastAsia" w:eastAsiaTheme="minorEastAsia" w:hAnsiTheme="minorEastAsia" w:cs="Arial" w:hint="eastAsia"/>
          <w:sz w:val="24"/>
        </w:rPr>
        <w:t>清算和数据传递的时间、程序及托管协议当事人承担的权责按基金管理人届时的公告执行。</w:t>
      </w:r>
    </w:p>
    <w:p w14:paraId="2E63047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3.本基金开展基金转换业务应按相关法律法规规定及《基金合同》的约定进行公告。</w:t>
      </w:r>
    </w:p>
    <w:p w14:paraId="27AE373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（六）基金现金分红</w:t>
      </w:r>
    </w:p>
    <w:p w14:paraId="6188525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1.基金管理人确定分红方案通知基金托管人，双方核定后</w:t>
      </w:r>
      <w:r>
        <w:rPr>
          <w:rFonts w:asciiTheme="minorEastAsia" w:eastAsiaTheme="minorEastAsia" w:hAnsiTheme="minorEastAsia" w:hint="eastAsia"/>
          <w:sz w:val="24"/>
          <w:szCs w:val="18"/>
        </w:rPr>
        <w:t>依照《信息披露办法》的有关规定在</w:t>
      </w:r>
      <w:r>
        <w:rPr>
          <w:rFonts w:asciiTheme="minorEastAsia" w:eastAsiaTheme="minorEastAsia" w:hAnsiTheme="minorEastAsia"/>
          <w:sz w:val="24"/>
          <w:szCs w:val="18"/>
        </w:rPr>
        <w:t>规</w:t>
      </w:r>
      <w:r>
        <w:rPr>
          <w:rFonts w:asciiTheme="minorEastAsia" w:eastAsiaTheme="minorEastAsia" w:hAnsiTheme="minorEastAsia" w:hint="eastAsia"/>
          <w:sz w:val="24"/>
          <w:szCs w:val="18"/>
        </w:rPr>
        <w:t>定媒介上公告</w:t>
      </w:r>
      <w:r>
        <w:rPr>
          <w:rFonts w:asciiTheme="minorEastAsia" w:eastAsiaTheme="minorEastAsia" w:hAnsiTheme="minorEastAsia" w:cs="Arial" w:hint="eastAsia"/>
          <w:sz w:val="24"/>
        </w:rPr>
        <w:t>。</w:t>
      </w:r>
    </w:p>
    <w:p w14:paraId="45CB4033"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216ABCA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3.基金管理人在下达指令时，应给基金托管人留出必需的划款时间。</w:t>
      </w:r>
    </w:p>
    <w:p w14:paraId="16D3D0CC"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（七）投资银行存款的特别约定</w:t>
      </w:r>
    </w:p>
    <w:p w14:paraId="56FDE731"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1.本基金投资银行存款前，基金管理人应与存款银行签订具体存款协议，包括但不限于以下内容：</w:t>
      </w:r>
    </w:p>
    <w:p w14:paraId="659B2EC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Theme="minorEastAsia" w:eastAsiaTheme="minorEastAsia" w:hAnsiTheme="minorEastAsia" w:cs="Arial" w:hint="eastAsia"/>
          <w:sz w:val="24"/>
        </w:rPr>
        <w:t>本息划往任何</w:t>
      </w:r>
      <w:proofErr w:type="gramEnd"/>
      <w:r>
        <w:rPr>
          <w:rFonts w:asciiTheme="minorEastAsia" w:eastAsiaTheme="minorEastAsia" w:hAnsiTheme="minorEastAsia" w:cs="Arial" w:hint="eastAsia"/>
          <w:sz w:val="24"/>
        </w:rPr>
        <w:t>其他账户。</w:t>
      </w:r>
    </w:p>
    <w:p w14:paraId="0D5E31F5"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14:paraId="71AF372D"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（3）约定存款证实书的具体传递交接方式及交接期限。</w:t>
      </w:r>
    </w:p>
    <w:p w14:paraId="69E4BBDF"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（4）资金划转过程中需要使用存款银行过渡账户的，存款银行须保证资金在过渡账户中不出现滞留，不被挪用。</w:t>
      </w:r>
    </w:p>
    <w:p w14:paraId="0708440A"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6326E7E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669C8D6B"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hint="eastAsia"/>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Pr>
          <w:rFonts w:asciiTheme="minorEastAsia" w:eastAsiaTheme="minorEastAsia" w:hAnsiTheme="minorEastAsia" w:cs="Arial"/>
          <w:sz w:val="24"/>
        </w:rPr>
        <w:t>1</w:t>
      </w:r>
      <w:r>
        <w:rPr>
          <w:rFonts w:asciiTheme="minorEastAsia" w:eastAsiaTheme="minorEastAsia" w:hAnsiTheme="minorEastAsia" w:cs="Arial" w:hint="eastAsia"/>
          <w:sz w:val="24"/>
        </w:rPr>
        <w:t>）建立风险预警机制，对于实物凭证未送达集中度较高的存款银行，主动发函基金管理人尽量避免在此类银行进行存款投资；（</w:t>
      </w:r>
      <w:r>
        <w:rPr>
          <w:rFonts w:asciiTheme="minorEastAsia" w:eastAsiaTheme="minorEastAsia" w:hAnsiTheme="minorEastAsia" w:cs="Arial"/>
          <w:sz w:val="24"/>
        </w:rPr>
        <w:t>2</w:t>
      </w:r>
      <w:r>
        <w:rPr>
          <w:rFonts w:asciiTheme="minorEastAsia" w:eastAsiaTheme="minorEastAsia" w:hAnsiTheme="minorEastAsia" w:cs="Arial" w:hint="eastAsia"/>
          <w:sz w:val="24"/>
        </w:rPr>
        <w:t>）在定期报告中，对未按约定送达基金托管人保管的实物凭证信息进行规定范围信息披露；（</w:t>
      </w:r>
      <w:r>
        <w:rPr>
          <w:rFonts w:asciiTheme="minorEastAsia" w:eastAsiaTheme="minorEastAsia" w:hAnsiTheme="minorEastAsia" w:cs="Arial"/>
          <w:sz w:val="24"/>
        </w:rPr>
        <w:t>3</w:t>
      </w:r>
      <w:r>
        <w:rPr>
          <w:rFonts w:asciiTheme="minorEastAsia" w:eastAsiaTheme="minorEastAsia" w:hAnsiTheme="minorEastAsia" w:cs="Arial" w:hint="eastAsia"/>
          <w:sz w:val="24"/>
        </w:rPr>
        <w:t>）未送达实物凭证超过送单截止日后</w:t>
      </w:r>
      <w:r>
        <w:rPr>
          <w:rFonts w:asciiTheme="minorEastAsia" w:eastAsiaTheme="minorEastAsia" w:hAnsiTheme="minorEastAsia" w:cs="Arial"/>
          <w:sz w:val="24"/>
        </w:rPr>
        <w:t>30</w:t>
      </w:r>
      <w:r>
        <w:rPr>
          <w:rFonts w:asciiTheme="minorEastAsia" w:eastAsiaTheme="minorEastAsia" w:hAnsiTheme="minorEastAsia" w:cs="Arial" w:hint="eastAsia"/>
          <w:sz w:val="24"/>
        </w:rPr>
        <w:t>个工作日，且累计超过</w:t>
      </w:r>
      <w:r>
        <w:rPr>
          <w:rFonts w:asciiTheme="minorEastAsia" w:eastAsiaTheme="minorEastAsia" w:hAnsiTheme="minorEastAsia" w:cs="Arial"/>
          <w:sz w:val="24"/>
        </w:rPr>
        <w:t>3</w:t>
      </w:r>
      <w:r>
        <w:rPr>
          <w:rFonts w:asciiTheme="minorEastAsia" w:eastAsiaTheme="minorEastAsia" w:hAnsiTheme="minorEastAsia" w:cs="Arial" w:hint="eastAsia"/>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1EEA3AA8"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（八）本基金通过第三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销售机构参与开放式基金投资的特别约定</w:t>
      </w:r>
    </w:p>
    <w:p w14:paraId="1AD91161" w14:textId="77777777" w:rsidR="007764FF" w:rsidRDefault="008F7605">
      <w:pPr>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本基金可以通过第三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销售机构渠道投资开放式基金。为维护基金份额持有人利益、保障资产安全，基金管理人应负责制订选择第三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销售机构的标准和程序，并据此选择第三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销售机构。对于第三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销售机构原因给本基金造成损失的，由基金管理人向第三</w:t>
      </w:r>
      <w:proofErr w:type="gramStart"/>
      <w:r>
        <w:rPr>
          <w:rFonts w:asciiTheme="minorEastAsia" w:eastAsiaTheme="minorEastAsia" w:hAnsiTheme="minorEastAsia" w:cs="Arial" w:hint="eastAsia"/>
          <w:sz w:val="24"/>
        </w:rPr>
        <w:t>方基金</w:t>
      </w:r>
      <w:proofErr w:type="gramEnd"/>
      <w:r>
        <w:rPr>
          <w:rFonts w:asciiTheme="minorEastAsia" w:eastAsiaTheme="minorEastAsia" w:hAnsiTheme="minorEastAsia" w:cs="Arial" w:hint="eastAsia"/>
          <w:sz w:val="24"/>
        </w:rPr>
        <w:t>销售机构追责，</w:t>
      </w:r>
      <w:proofErr w:type="gramStart"/>
      <w:r>
        <w:rPr>
          <w:rFonts w:asciiTheme="minorEastAsia" w:eastAsiaTheme="minorEastAsia" w:hAnsiTheme="minorEastAsia" w:cs="Arial" w:hint="eastAsia"/>
          <w:sz w:val="24"/>
        </w:rPr>
        <w:t>若基金</w:t>
      </w:r>
      <w:proofErr w:type="gramEnd"/>
      <w:r>
        <w:rPr>
          <w:rFonts w:asciiTheme="minorEastAsia" w:eastAsiaTheme="minorEastAsia" w:hAnsiTheme="minorEastAsia" w:cs="Arial" w:hint="eastAsia"/>
          <w:sz w:val="24"/>
        </w:rPr>
        <w:t>管理人存在过错，</w:t>
      </w:r>
      <w:proofErr w:type="gramStart"/>
      <w:r>
        <w:rPr>
          <w:rFonts w:asciiTheme="minorEastAsia" w:eastAsiaTheme="minorEastAsia" w:hAnsiTheme="minorEastAsia" w:cs="Arial" w:hint="eastAsia"/>
          <w:sz w:val="24"/>
        </w:rPr>
        <w:t>则基金</w:t>
      </w:r>
      <w:proofErr w:type="gramEnd"/>
      <w:r>
        <w:rPr>
          <w:rFonts w:asciiTheme="minorEastAsia" w:eastAsiaTheme="minorEastAsia" w:hAnsiTheme="minorEastAsia" w:cs="Arial" w:hint="eastAsia"/>
          <w:sz w:val="24"/>
        </w:rPr>
        <w:t>管理人承担相应责任。</w:t>
      </w:r>
    </w:p>
    <w:p w14:paraId="078559E7" w14:textId="77777777" w:rsidR="007764FF" w:rsidRDefault="007764FF">
      <w:pPr>
        <w:adjustRightInd w:val="0"/>
        <w:snapToGrid w:val="0"/>
        <w:ind w:firstLineChars="200" w:firstLine="480"/>
        <w:rPr>
          <w:rFonts w:asciiTheme="minorEastAsia" w:eastAsiaTheme="minorEastAsia" w:hAnsiTheme="minorEastAsia" w:cs="Arial"/>
          <w:sz w:val="24"/>
        </w:rPr>
      </w:pPr>
    </w:p>
    <w:p w14:paraId="21D69BAE" w14:textId="77777777" w:rsidR="007764FF" w:rsidRDefault="008F7605">
      <w:pPr>
        <w:pStyle w:val="2"/>
        <w:jc w:val="center"/>
        <w:rPr>
          <w:rFonts w:asciiTheme="minorEastAsia" w:eastAsiaTheme="minorEastAsia" w:hAnsiTheme="minorEastAsia"/>
          <w:sz w:val="30"/>
        </w:rPr>
      </w:pPr>
      <w:bookmarkStart w:id="86" w:name="_Toc124325892"/>
      <w:r>
        <w:rPr>
          <w:rFonts w:asciiTheme="minorEastAsia" w:eastAsiaTheme="minorEastAsia" w:hAnsiTheme="minorEastAsia" w:hint="eastAsia"/>
          <w:sz w:val="30"/>
        </w:rPr>
        <w:t>八、基金资产净值计算和会计核算</w:t>
      </w:r>
      <w:bookmarkEnd w:id="86"/>
    </w:p>
    <w:p w14:paraId="411F34D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（一）基金资产净值的计算、复核与完成的时间及程序</w:t>
      </w:r>
    </w:p>
    <w:p w14:paraId="653B9CC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1.基金资产净值是指基金资产总值减去基金负债后的价值。各类基金份额净值是按照每个估值日闭市后，各类基金份额的基金资产净值分别除以当日该类基</w:t>
      </w:r>
      <w:r>
        <w:rPr>
          <w:rFonts w:asciiTheme="minorEastAsia" w:eastAsiaTheme="minorEastAsia" w:hAnsiTheme="minorEastAsia" w:cs="Arial" w:hint="eastAsia"/>
          <w:sz w:val="24"/>
        </w:rPr>
        <w:lastRenderedPageBreak/>
        <w:t>金份额的余额数量计算，均精确到0.00</w:t>
      </w:r>
      <w:r>
        <w:rPr>
          <w:rFonts w:asciiTheme="minorEastAsia" w:eastAsiaTheme="minorEastAsia" w:hAnsiTheme="minorEastAsia" w:cs="Arial"/>
          <w:sz w:val="24"/>
        </w:rPr>
        <w:t>0</w:t>
      </w:r>
      <w:r>
        <w:rPr>
          <w:rFonts w:asciiTheme="minorEastAsia" w:eastAsiaTheme="minorEastAsia" w:hAnsiTheme="minorEastAsia" w:cs="Arial" w:hint="eastAsia"/>
          <w:sz w:val="24"/>
        </w:rPr>
        <w:t>1元，小数点后第5位四舍五入。基金管理人可以设立大额赎回情形下的净值精度应急调整机制。国家另有规定的，从其规定。</w:t>
      </w:r>
    </w:p>
    <w:p w14:paraId="3AFB9694" w14:textId="4FEEBDA3"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基金管理人应于每个估值日的次两个工作日内计算各类基金资产净值及基金份额净值，经基金托管人复核，并按规定在每个估值日的次三个工作日内公告。</w:t>
      </w:r>
    </w:p>
    <w:p w14:paraId="0EDD020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w:t>
      </w:r>
      <w:proofErr w:type="gramStart"/>
      <w:r>
        <w:rPr>
          <w:rFonts w:asciiTheme="minorEastAsia" w:eastAsiaTheme="minorEastAsia" w:hAnsiTheme="minorEastAsia" w:cs="Arial" w:hint="eastAsia"/>
          <w:sz w:val="24"/>
        </w:rPr>
        <w:t>应每个</w:t>
      </w:r>
      <w:proofErr w:type="gramEnd"/>
      <w:r>
        <w:rPr>
          <w:rFonts w:asciiTheme="minorEastAsia" w:eastAsiaTheme="minorEastAsia" w:hAnsiTheme="minorEastAsia" w:cs="Arial" w:hint="eastAsia"/>
          <w:sz w:val="24"/>
        </w:rPr>
        <w:t>估值日的次两个工作日内对基金资产估值。但基金管理人根据法律法规或《基金合同》的规定暂停估值时除外。基金管理人对基金资产估值后，将各类基金份额净值结果发送基金托管人，经基金托管人复核无误后，</w:t>
      </w:r>
      <w:bookmarkStart w:id="87" w:name="_Hlk173418347"/>
      <w:r>
        <w:rPr>
          <w:rFonts w:asciiTheme="minorEastAsia" w:eastAsiaTheme="minorEastAsia" w:hAnsiTheme="minorEastAsia" w:cs="Arial" w:hint="eastAsia"/>
          <w:sz w:val="24"/>
        </w:rPr>
        <w:t>由基金管理人按约定</w:t>
      </w:r>
      <w:bookmarkEnd w:id="87"/>
      <w:r>
        <w:rPr>
          <w:rFonts w:asciiTheme="minorEastAsia" w:eastAsiaTheme="minorEastAsia" w:hAnsiTheme="minorEastAsia" w:cs="Arial" w:hint="eastAsia"/>
          <w:sz w:val="24"/>
        </w:rPr>
        <w:t>在每个估值日的次三个工作日内对外公布。</w:t>
      </w:r>
    </w:p>
    <w:p w14:paraId="4FA366B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（二）基金资产估值方法和特殊情形的处理</w:t>
      </w:r>
    </w:p>
    <w:p w14:paraId="4AA744D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1.估值对象</w:t>
      </w:r>
    </w:p>
    <w:p w14:paraId="0E09540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基金所拥有的基金份额、股票、存托凭证、债券和银行存款本息、资产支持证券、应收款项、其它投资等资产及负债。</w:t>
      </w:r>
    </w:p>
    <w:p w14:paraId="16E8B16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2.估值方法</w:t>
      </w:r>
    </w:p>
    <w:p w14:paraId="62A629C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（1）证券投资基金的估值</w:t>
      </w:r>
    </w:p>
    <w:p w14:paraId="1B9D5AE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宋体" w:hAnsi="宋体" w:hint="eastAsia"/>
          <w:bCs/>
          <w:sz w:val="24"/>
        </w:rPr>
        <w:t>非上市证券投资基金的估值</w:t>
      </w:r>
    </w:p>
    <w:p w14:paraId="7EB474A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1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①</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本基金投资的境内非货币市场基金，按所投资基金估值日的份额净值估值。</w:t>
      </w:r>
    </w:p>
    <w:p w14:paraId="6BEC21BA" w14:textId="14EDE7BD"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2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②</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本基金投资的境内货币市场基金，按所投资基金前一估值日后至估值日期间（含节假日）的万份收益计提估值日基金收益。如所投资的境内货币市场基金披露份额净值，则按所投资基金估值日的份额净值估值。</w:t>
      </w:r>
    </w:p>
    <w:p w14:paraId="5CD6CE8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2）上市证券投资基金的估值</w:t>
      </w:r>
    </w:p>
    <w:p w14:paraId="37BE424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1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①</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本基金投资的ETF基金（货币ETF除外），按所投资ETF基金估值日的收盘价估值。</w:t>
      </w:r>
    </w:p>
    <w:p w14:paraId="19005AF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2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②</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本基金投资的境内上市开放式基金（LOF），按所投资基金估值日的份额净值估值。</w:t>
      </w:r>
    </w:p>
    <w:p w14:paraId="3DAF1ED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3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③</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本基金投资的境内上市定期开放式基金、封闭式基金，按所投资基金估值日的收盘价估值。</w:t>
      </w:r>
    </w:p>
    <w:p w14:paraId="023EAE7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4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④</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本基金投资的境内上市交易型货币市场基金（即货币ETF），如所投资基金披露份额净值，则按所投资基金估值日的份额净值估值；如所投资基金披露万份（百份）收益，则按所投资基金前一估值日后至估值日期间（含节假日）的万份（百份）收益计提估值日基金收益。</w:t>
      </w:r>
    </w:p>
    <w:p w14:paraId="39B6EF7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）特殊情况处理</w:t>
      </w:r>
    </w:p>
    <w:p w14:paraId="3A0D1D25" w14:textId="77777777" w:rsidR="007764FF" w:rsidRDefault="008F7605">
      <w:pPr>
        <w:adjustRightInd w:val="0"/>
        <w:snapToGrid w:val="0"/>
        <w:ind w:firstLineChars="200"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如遇所投资</w:t>
      </w:r>
      <w:proofErr w:type="gramEnd"/>
      <w:r>
        <w:rPr>
          <w:rFonts w:asciiTheme="minorEastAsia" w:eastAsiaTheme="minorEastAsia" w:hAnsiTheme="minorEastAsia" w:cs="Arial" w:hint="eastAsia"/>
          <w:sz w:val="24"/>
        </w:rPr>
        <w:t>基金不公布基金份额净值或万份（百份）收益、进行折算或拆分、估值日无交易等特殊情况，基金管理人根据以下原则进行估值：</w:t>
      </w:r>
    </w:p>
    <w:p w14:paraId="2423E36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1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①</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以所投资基金的基金份额净值或万份（百份）收益估值的，若所投资基金与本基金估值频率一致但未公布估值日基金份额净值或万份（百份）收益，按其最近公布的基金份额净值或万份（百份）收益为基础估值。</w:t>
      </w:r>
    </w:p>
    <w:p w14:paraId="0FD8449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2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②</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76CBD14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fldChar w:fldCharType="begin"/>
      </w:r>
      <w:r>
        <w:rPr>
          <w:rFonts w:asciiTheme="minorEastAsia" w:eastAsiaTheme="minorEastAsia" w:hAnsiTheme="minorEastAsia" w:cs="Arial"/>
          <w:sz w:val="24"/>
        </w:rPr>
        <w:instrText xml:space="preserve"> </w:instrText>
      </w:r>
      <w:r>
        <w:rPr>
          <w:rFonts w:asciiTheme="minorEastAsia" w:eastAsiaTheme="minorEastAsia" w:hAnsiTheme="minorEastAsia" w:cs="Arial" w:hint="eastAsia"/>
          <w:sz w:val="24"/>
        </w:rPr>
        <w:instrText>= 2 \* GB3</w:instrText>
      </w:r>
      <w:r>
        <w:rPr>
          <w:rFonts w:asciiTheme="minorEastAsia" w:eastAsiaTheme="minorEastAsia" w:hAnsiTheme="minorEastAsia" w:cs="Arial"/>
          <w:sz w:val="24"/>
        </w:rPr>
        <w:instrText xml:space="preserve"> </w:instrText>
      </w:r>
      <w:r>
        <w:rPr>
          <w:rFonts w:asciiTheme="minorEastAsia" w:eastAsiaTheme="minorEastAsia" w:hAnsiTheme="minorEastAsia" w:cs="Arial"/>
          <w:sz w:val="24"/>
        </w:rPr>
        <w:fldChar w:fldCharType="separate"/>
      </w:r>
      <w:r>
        <w:rPr>
          <w:rFonts w:asciiTheme="minorEastAsia" w:eastAsiaTheme="minorEastAsia" w:hAnsiTheme="minorEastAsia" w:cs="Arial" w:hint="eastAsia"/>
          <w:sz w:val="24"/>
        </w:rPr>
        <w:t>②</w:t>
      </w:r>
      <w:r>
        <w:rPr>
          <w:rFonts w:asciiTheme="minorEastAsia" w:eastAsiaTheme="minorEastAsia" w:hAnsiTheme="minorEastAsia" w:cs="Arial"/>
          <w:sz w:val="24"/>
        </w:rPr>
        <w:fldChar w:fldCharType="end"/>
      </w:r>
      <w:r>
        <w:rPr>
          <w:rFonts w:asciiTheme="minorEastAsia" w:eastAsiaTheme="minorEastAsia" w:hAnsiTheme="minorEastAsia"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0427B59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（2）</w:t>
      </w:r>
      <w:r>
        <w:rPr>
          <w:rFonts w:asciiTheme="minorEastAsia" w:eastAsiaTheme="minorEastAsia" w:hAnsiTheme="minorEastAsia" w:cs="Arial"/>
          <w:sz w:val="24"/>
        </w:rPr>
        <w:t>证券交易所上市的有价证券</w:t>
      </w:r>
      <w:r>
        <w:rPr>
          <w:rFonts w:asciiTheme="minorEastAsia" w:eastAsiaTheme="minorEastAsia" w:hAnsiTheme="minorEastAsia" w:cs="Arial" w:hint="eastAsia"/>
          <w:sz w:val="24"/>
        </w:rPr>
        <w:t>（不包含</w:t>
      </w:r>
      <w:r>
        <w:rPr>
          <w:rFonts w:asciiTheme="minorEastAsia" w:eastAsiaTheme="minorEastAsia" w:hAnsiTheme="minorEastAsia" w:cs="Arial"/>
          <w:sz w:val="24"/>
        </w:rPr>
        <w:t>证券投资基金</w:t>
      </w:r>
      <w:r>
        <w:rPr>
          <w:rFonts w:asciiTheme="minorEastAsia" w:eastAsiaTheme="minorEastAsia" w:hAnsiTheme="minorEastAsia" w:cs="Arial" w:hint="eastAsia"/>
          <w:sz w:val="24"/>
        </w:rPr>
        <w:t>）</w:t>
      </w:r>
      <w:r>
        <w:rPr>
          <w:rFonts w:asciiTheme="minorEastAsia" w:eastAsiaTheme="minorEastAsia" w:hAnsiTheme="minorEastAsia" w:cs="Arial"/>
          <w:sz w:val="24"/>
        </w:rPr>
        <w:t>的估值</w:t>
      </w:r>
    </w:p>
    <w:p w14:paraId="026ED30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sz w:val="24"/>
        </w:rPr>
        <w:t>交易所上市的有价证券（包括股票等），以其估值日在证券交易所挂牌的市价（收盘价）估值；估值日无</w:t>
      </w:r>
      <w:r>
        <w:rPr>
          <w:rFonts w:asciiTheme="minorEastAsia" w:eastAsiaTheme="minorEastAsia" w:hAnsiTheme="minorEastAsia" w:cs="Arial" w:hint="eastAsia"/>
          <w:sz w:val="24"/>
        </w:rPr>
        <w:t>市价</w:t>
      </w:r>
      <w:r>
        <w:rPr>
          <w:rFonts w:asciiTheme="minorEastAsia" w:eastAsiaTheme="minorEastAsia" w:hAnsiTheme="minorEastAsia" w:cs="Arial"/>
          <w:sz w:val="24"/>
        </w:rPr>
        <w:t>，但最近交易日后经济环境未发生重大变化</w:t>
      </w:r>
      <w:r>
        <w:rPr>
          <w:rFonts w:asciiTheme="minorEastAsia" w:eastAsiaTheme="minorEastAsia" w:hAnsiTheme="minorEastAsia" w:cs="Arial" w:hint="eastAsia"/>
          <w:sz w:val="24"/>
        </w:rPr>
        <w:t>且</w:t>
      </w:r>
      <w:r>
        <w:rPr>
          <w:rFonts w:asciiTheme="minorEastAsia" w:eastAsiaTheme="minorEastAsia" w:hAnsiTheme="minorEastAsia" w:cs="Arial"/>
          <w:sz w:val="24"/>
        </w:rPr>
        <w:t>证券发行机构未发生影响证券价格的重大事件的，以最近交易日的市价（收盘价）估值；如最近交易日后经济环境发生了重大变化</w:t>
      </w:r>
      <w:r>
        <w:rPr>
          <w:rFonts w:asciiTheme="minorEastAsia" w:eastAsiaTheme="minorEastAsia" w:hAnsiTheme="minorEastAsia" w:cs="Arial" w:hint="eastAsia"/>
          <w:sz w:val="24"/>
        </w:rPr>
        <w:t>或</w:t>
      </w:r>
      <w:r>
        <w:rPr>
          <w:rFonts w:asciiTheme="minorEastAsia" w:eastAsiaTheme="minorEastAsia" w:hAnsiTheme="minorEastAsia" w:cs="Arial"/>
          <w:sz w:val="24"/>
        </w:rPr>
        <w:t>证券发行机构发生影响证券价格的重大事件的，可参考类似投资品种的现行市价及重大变化因素，调整最近交易市价，确定公允价</w:t>
      </w:r>
      <w:r>
        <w:rPr>
          <w:rFonts w:asciiTheme="minorEastAsia" w:eastAsiaTheme="minorEastAsia" w:hAnsiTheme="minorEastAsia" w:cs="Arial" w:hint="eastAsia"/>
          <w:sz w:val="24"/>
        </w:rPr>
        <w:t>值；</w:t>
      </w:r>
    </w:p>
    <w:p w14:paraId="70A3681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w:t>
      </w:r>
      <w:r>
        <w:rPr>
          <w:rFonts w:asciiTheme="minorEastAsia" w:eastAsiaTheme="minorEastAsia" w:hAnsiTheme="minorEastAsia" w:cs="Arial" w:hint="eastAsia"/>
          <w:sz w:val="24"/>
        </w:rPr>
        <w:t>）对于已上市或已挂牌转让的不含</w:t>
      </w:r>
      <w:proofErr w:type="gramStart"/>
      <w:r>
        <w:rPr>
          <w:rFonts w:asciiTheme="minorEastAsia" w:eastAsiaTheme="minorEastAsia" w:hAnsiTheme="minorEastAsia" w:cs="Arial" w:hint="eastAsia"/>
          <w:sz w:val="24"/>
        </w:rPr>
        <w:t>权固定</w:t>
      </w:r>
      <w:proofErr w:type="gramEnd"/>
      <w:r>
        <w:rPr>
          <w:rFonts w:asciiTheme="minorEastAsia" w:eastAsiaTheme="minorEastAsia" w:hAnsiTheme="minorEastAsia" w:cs="Arial" w:hint="eastAsia"/>
          <w:sz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Theme="minorEastAsia" w:eastAsiaTheme="minorEastAsia" w:hAnsiTheme="minorEastAsia" w:cs="Arial" w:hint="eastAsia"/>
          <w:sz w:val="24"/>
        </w:rPr>
        <w:t>权固定</w:t>
      </w:r>
      <w:proofErr w:type="gramEnd"/>
      <w:r>
        <w:rPr>
          <w:rFonts w:asciiTheme="minorEastAsia" w:eastAsiaTheme="minorEastAsia" w:hAnsiTheme="minorEastAsia" w:cs="Arial" w:hint="eastAsia"/>
          <w:sz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w:t>
      </w:r>
      <w:r>
        <w:rPr>
          <w:rFonts w:ascii="宋体" w:hAnsi="宋体" w:hint="eastAsia"/>
          <w:bCs/>
          <w:sz w:val="24"/>
        </w:rPr>
        <w:t>投资</w:t>
      </w:r>
      <w:r>
        <w:rPr>
          <w:rFonts w:asciiTheme="minorEastAsia" w:eastAsiaTheme="minorEastAsia" w:hAnsiTheme="minorEastAsia" w:cs="Arial" w:hint="eastAsia"/>
          <w:sz w:val="24"/>
        </w:rPr>
        <w:t>品种的现行市价及重大变化因素，调整最近交易市价，确定公允价值；</w:t>
      </w:r>
    </w:p>
    <w:p w14:paraId="47DD60C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3）交易所上市交易的公开发行的可转换公司债</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12D666A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4）本基金投资存托凭证的估值核算，依照境内上市交易的股票执行。</w:t>
      </w:r>
    </w:p>
    <w:p w14:paraId="462D86B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sz w:val="24"/>
        </w:rPr>
        <w:t>处于未上市期间的有价证券</w:t>
      </w:r>
      <w:r>
        <w:rPr>
          <w:rFonts w:asciiTheme="minorEastAsia" w:eastAsiaTheme="minorEastAsia" w:hAnsiTheme="minorEastAsia" w:cs="Arial" w:hint="eastAsia"/>
          <w:sz w:val="24"/>
        </w:rPr>
        <w:t>（不包含</w:t>
      </w:r>
      <w:r>
        <w:rPr>
          <w:rFonts w:asciiTheme="minorEastAsia" w:eastAsiaTheme="minorEastAsia" w:hAnsiTheme="minorEastAsia" w:cs="Arial"/>
          <w:sz w:val="24"/>
        </w:rPr>
        <w:t>证券投资基金</w:t>
      </w:r>
      <w:r>
        <w:rPr>
          <w:rFonts w:asciiTheme="minorEastAsia" w:eastAsiaTheme="minorEastAsia" w:hAnsiTheme="minorEastAsia" w:cs="Arial" w:hint="eastAsia"/>
          <w:sz w:val="24"/>
        </w:rPr>
        <w:t>）</w:t>
      </w:r>
      <w:r>
        <w:rPr>
          <w:rFonts w:asciiTheme="minorEastAsia" w:eastAsiaTheme="minorEastAsia" w:hAnsiTheme="minorEastAsia" w:cs="Arial"/>
          <w:sz w:val="24"/>
        </w:rPr>
        <w:t>应区分如下情况处理：</w:t>
      </w:r>
    </w:p>
    <w:p w14:paraId="5B94DC3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1）送股、转增股、配股和公开增发的</w:t>
      </w:r>
      <w:r>
        <w:rPr>
          <w:rFonts w:asciiTheme="minorEastAsia" w:eastAsiaTheme="minorEastAsia" w:hAnsiTheme="minorEastAsia" w:cs="Arial" w:hint="eastAsia"/>
          <w:sz w:val="24"/>
        </w:rPr>
        <w:t>股票</w:t>
      </w:r>
      <w:r>
        <w:rPr>
          <w:rFonts w:asciiTheme="minorEastAsia" w:eastAsiaTheme="minorEastAsia" w:hAnsiTheme="minorEastAsia" w:cs="Arial"/>
          <w:sz w:val="24"/>
        </w:rPr>
        <w:t>，按估值日在证券交易所挂牌的同一股票的估值方法估值；该日无交易的，以最近一日的市价（收盘价）估值；</w:t>
      </w:r>
    </w:p>
    <w:p w14:paraId="78D1E2E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2）首次公开发行未上市的股票，采用估值技术确定公允价值</w:t>
      </w:r>
      <w:r>
        <w:rPr>
          <w:rFonts w:asciiTheme="minorEastAsia" w:eastAsiaTheme="minorEastAsia" w:hAnsiTheme="minorEastAsia" w:cs="Arial" w:hint="eastAsia"/>
          <w:sz w:val="24"/>
        </w:rPr>
        <w:t>；</w:t>
      </w:r>
    </w:p>
    <w:p w14:paraId="26F9BFF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3）</w:t>
      </w:r>
      <w:r>
        <w:rPr>
          <w:rFonts w:asciiTheme="minorEastAsia" w:eastAsiaTheme="minorEastAsia" w:hAnsiTheme="minorEastAsia" w:cs="Arial" w:hint="eastAsia"/>
          <w:sz w:val="24"/>
        </w:rPr>
        <w:t>流通受限的股票，包括非公开发行股票、首次公开发行股票时公司股东公开发售股份、通过大宗交易取得的带限售期的股票等（不包括停牌、新发行未上市、回购交易中的质押</w:t>
      </w:r>
      <w:proofErr w:type="gramStart"/>
      <w:r>
        <w:rPr>
          <w:rFonts w:asciiTheme="minorEastAsia" w:eastAsiaTheme="minorEastAsia" w:hAnsiTheme="minorEastAsia" w:cs="Arial" w:hint="eastAsia"/>
          <w:sz w:val="24"/>
        </w:rPr>
        <w:t>券</w:t>
      </w:r>
      <w:proofErr w:type="gramEnd"/>
      <w:r>
        <w:rPr>
          <w:rFonts w:asciiTheme="minorEastAsia" w:eastAsiaTheme="minorEastAsia" w:hAnsiTheme="minorEastAsia" w:cs="Arial" w:hint="eastAsia"/>
          <w:sz w:val="24"/>
        </w:rPr>
        <w:t>等流通受限股票），按监管机构或行业协会有关规定确定公允价值；</w:t>
      </w:r>
    </w:p>
    <w:p w14:paraId="5645FB5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4）对于未上市或未挂牌转让且不存在活跃市场的固定收益品种，采用在当前情况下适用并且有足够可利用数据和其他信息支持的估值技术确定其公允价值</w:t>
      </w:r>
      <w:r>
        <w:rPr>
          <w:rFonts w:asciiTheme="minorEastAsia" w:eastAsiaTheme="minorEastAsia" w:hAnsiTheme="minorEastAsia" w:cs="Arial"/>
          <w:sz w:val="24"/>
        </w:rPr>
        <w:t>。</w:t>
      </w:r>
    </w:p>
    <w:p w14:paraId="55C7EA3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（4）对全国银行间市场已上市或已挂牌转让的不含</w:t>
      </w:r>
      <w:proofErr w:type="gramStart"/>
      <w:r>
        <w:rPr>
          <w:rFonts w:asciiTheme="minorEastAsia" w:eastAsiaTheme="minorEastAsia" w:hAnsiTheme="minorEastAsia" w:cs="Arial" w:hint="eastAsia"/>
          <w:sz w:val="24"/>
        </w:rPr>
        <w:t>权固定</w:t>
      </w:r>
      <w:proofErr w:type="gramEnd"/>
      <w:r>
        <w:rPr>
          <w:rFonts w:asciiTheme="minorEastAsia" w:eastAsiaTheme="minorEastAsia" w:hAnsiTheme="minorEastAsia" w:cs="Arial" w:hint="eastAsia"/>
          <w:sz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Theme="minorEastAsia" w:eastAsiaTheme="minorEastAsia" w:hAnsiTheme="minorEastAsia" w:cs="Arial" w:hint="eastAsia"/>
          <w:sz w:val="24"/>
        </w:rPr>
        <w:t>权固定</w:t>
      </w:r>
      <w:proofErr w:type="gramEnd"/>
      <w:r>
        <w:rPr>
          <w:rFonts w:asciiTheme="minorEastAsia" w:eastAsiaTheme="minorEastAsia" w:hAnsiTheme="minorEastAsia" w:cs="Arial" w:hint="eastAsia"/>
          <w:sz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w:t>
      </w:r>
      <w:r>
        <w:rPr>
          <w:rFonts w:asciiTheme="minorEastAsia" w:eastAsiaTheme="minorEastAsia" w:hAnsiTheme="minorEastAsia" w:cs="Arial" w:hint="eastAsia"/>
          <w:sz w:val="24"/>
        </w:rPr>
        <w:lastRenderedPageBreak/>
        <w:t>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r>
        <w:rPr>
          <w:rFonts w:asciiTheme="minorEastAsia" w:eastAsiaTheme="minorEastAsia" w:hAnsiTheme="minorEastAsia" w:cs="Arial"/>
          <w:sz w:val="24"/>
        </w:rPr>
        <w:t>。</w:t>
      </w:r>
    </w:p>
    <w:p w14:paraId="7170D68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（5）同一证券同时在两个或两个以上市场交易的，按</w:t>
      </w:r>
      <w:r>
        <w:rPr>
          <w:rFonts w:asciiTheme="minorEastAsia" w:eastAsiaTheme="minorEastAsia" w:hAnsiTheme="minorEastAsia" w:cs="Arial"/>
          <w:sz w:val="24"/>
        </w:rPr>
        <w:t>其</w:t>
      </w:r>
      <w:r>
        <w:rPr>
          <w:rFonts w:asciiTheme="minorEastAsia" w:eastAsiaTheme="minorEastAsia" w:hAnsiTheme="minorEastAsia" w:cs="Arial" w:hint="eastAsia"/>
          <w:sz w:val="24"/>
        </w:rPr>
        <w:t>所处的市场分别估值。</w:t>
      </w:r>
    </w:p>
    <w:p w14:paraId="10E3131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（6）本基金持有的回购以摊</w:t>
      </w:r>
      <w:proofErr w:type="gramStart"/>
      <w:r>
        <w:rPr>
          <w:rFonts w:asciiTheme="minorEastAsia" w:eastAsiaTheme="minorEastAsia" w:hAnsiTheme="minorEastAsia" w:cs="Arial" w:hint="eastAsia"/>
          <w:sz w:val="24"/>
        </w:rPr>
        <w:t>余成本</w:t>
      </w:r>
      <w:proofErr w:type="gramEnd"/>
      <w:r>
        <w:rPr>
          <w:rFonts w:asciiTheme="minorEastAsia" w:eastAsiaTheme="minorEastAsia" w:hAnsiTheme="minorEastAsia" w:cs="Arial" w:hint="eastAsia"/>
          <w:sz w:val="24"/>
        </w:rPr>
        <w:t>列示，按合同利率在回购期间内逐日计提应收或应付利息。</w:t>
      </w:r>
    </w:p>
    <w:p w14:paraId="72606AF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（7）本基金持有的银行存款和备付金余额以摊</w:t>
      </w:r>
      <w:proofErr w:type="gramStart"/>
      <w:r>
        <w:rPr>
          <w:rFonts w:asciiTheme="minorEastAsia" w:eastAsiaTheme="minorEastAsia" w:hAnsiTheme="minorEastAsia" w:cs="Arial" w:hint="eastAsia"/>
          <w:sz w:val="24"/>
        </w:rPr>
        <w:t>余成本</w:t>
      </w:r>
      <w:proofErr w:type="gramEnd"/>
      <w:r>
        <w:rPr>
          <w:rFonts w:asciiTheme="minorEastAsia" w:eastAsiaTheme="minorEastAsia" w:hAnsiTheme="minorEastAsia" w:cs="Arial" w:hint="eastAsia"/>
          <w:sz w:val="24"/>
        </w:rPr>
        <w:t>列示，按相应利率逐日计提利息。</w:t>
      </w:r>
    </w:p>
    <w:p w14:paraId="77F3769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（8）本基金投资同业存单，按估值日第三方估值基准服务机构提供的估值净价估值；选定的第三方估值基准服务机构未提供估值价格的，采用估值技术确定公允价值。</w:t>
      </w:r>
    </w:p>
    <w:p w14:paraId="521A67E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（9）估值计算中涉及港元对人民币汇率的，将依据当日中国人民银行或其授权机构公布的港元对人民币的中间价为准。</w:t>
      </w:r>
    </w:p>
    <w:p w14:paraId="5A12224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4B8D6B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10）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2118EF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（11）本基金可以采用第三方估值机构按照上述公允价值确定原则提供的估值价格数据。</w:t>
      </w:r>
      <w:r>
        <w:rPr>
          <w:rFonts w:asciiTheme="minorEastAsia" w:eastAsiaTheme="minorEastAsia" w:hAnsiTheme="minorEastAsia" w:cs="Arial"/>
          <w:sz w:val="24"/>
        </w:rPr>
        <w:t>如有确凿证据表明按上述方法进行估值不能客观反映其公允价值的，基金管理人可根据具体情况与基金托管人商定后，按最能反映公允价值的价格估值。</w:t>
      </w:r>
    </w:p>
    <w:p w14:paraId="28215FC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使用模型估值的，应当审慎确定模型参数，不得随意调整。</w:t>
      </w:r>
    </w:p>
    <w:p w14:paraId="2364E58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对于仅依赖管理人所提供数据（包括不限于管理人自建模型定价）且无法从其他渠道获取可靠数据进行会计核算的投资品种，管理人应对该估值数据的真实性、准确性、完整性、合</w:t>
      </w:r>
      <w:proofErr w:type="gramStart"/>
      <w:r>
        <w:rPr>
          <w:rFonts w:asciiTheme="minorEastAsia" w:eastAsiaTheme="minorEastAsia" w:hAnsiTheme="minorEastAsia" w:cs="Arial" w:hint="eastAsia"/>
          <w:sz w:val="24"/>
        </w:rPr>
        <w:t>规</w:t>
      </w:r>
      <w:proofErr w:type="gramEnd"/>
      <w:r>
        <w:rPr>
          <w:rFonts w:asciiTheme="minorEastAsia" w:eastAsiaTheme="minorEastAsia" w:hAnsiTheme="minorEastAsia" w:cs="Arial" w:hint="eastAsia"/>
          <w:sz w:val="24"/>
        </w:rPr>
        <w:t>性负责，因上述估值数据错误导致估值结果的不真实、不准确、不完整、不合</w:t>
      </w:r>
      <w:proofErr w:type="gramStart"/>
      <w:r>
        <w:rPr>
          <w:rFonts w:asciiTheme="minorEastAsia" w:eastAsiaTheme="minorEastAsia" w:hAnsiTheme="minorEastAsia" w:cs="Arial" w:hint="eastAsia"/>
          <w:sz w:val="24"/>
        </w:rPr>
        <w:t>规</w:t>
      </w:r>
      <w:proofErr w:type="gramEnd"/>
      <w:r>
        <w:rPr>
          <w:rFonts w:asciiTheme="minorEastAsia" w:eastAsiaTheme="minorEastAsia" w:hAnsiTheme="minorEastAsia" w:cs="Arial" w:hint="eastAsia"/>
          <w:sz w:val="24"/>
        </w:rPr>
        <w:t>，托管人不承担任何责任。</w:t>
      </w:r>
    </w:p>
    <w:p w14:paraId="1290A58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（12）当本基金发生大额申购或赎回情形时，基金管理人可以采用摆动定价机制，以确保基金估值的公平性。</w:t>
      </w:r>
    </w:p>
    <w:p w14:paraId="522AB5C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（13）</w:t>
      </w:r>
      <w:r>
        <w:rPr>
          <w:rFonts w:asciiTheme="minorEastAsia" w:eastAsiaTheme="minorEastAsia" w:hAnsiTheme="minorEastAsia" w:cs="Arial"/>
          <w:sz w:val="24"/>
        </w:rPr>
        <w:t>相关法律法规以及监管部门有强制规定的，从其规定。如有新增事项，按国家最新规定估值。</w:t>
      </w:r>
    </w:p>
    <w:p w14:paraId="4B8CAB0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如基金管理人或基金托管人发现基金估值违反基金合同订明的估值方法、程序及相关法律法规的规定或者未能充分维护基金份额持有人利益时，</w:t>
      </w:r>
      <w:r>
        <w:rPr>
          <w:rFonts w:asciiTheme="minorEastAsia" w:eastAsiaTheme="minorEastAsia" w:hAnsiTheme="minorEastAsia" w:cs="Arial" w:hint="eastAsia"/>
          <w:sz w:val="24"/>
        </w:rPr>
        <w:t>应立即通知对方</w:t>
      </w:r>
      <w:r>
        <w:rPr>
          <w:rFonts w:asciiTheme="minorEastAsia" w:eastAsiaTheme="minorEastAsia" w:hAnsiTheme="minorEastAsia" w:cs="Arial"/>
          <w:sz w:val="24"/>
        </w:rPr>
        <w:t>，共同查明原因，双方协商解决</w:t>
      </w:r>
      <w:r>
        <w:rPr>
          <w:rFonts w:asciiTheme="minorEastAsia" w:eastAsiaTheme="minorEastAsia" w:hAnsiTheme="minorEastAsia" w:cs="Arial" w:hint="eastAsia"/>
          <w:sz w:val="24"/>
        </w:rPr>
        <w:t>，以约定的方法、程序和相关法律法规的规定进行估值，以维护基金份额持有人的利益</w:t>
      </w:r>
      <w:r>
        <w:rPr>
          <w:rFonts w:asciiTheme="minorEastAsia" w:eastAsiaTheme="minorEastAsia" w:hAnsiTheme="minorEastAsia" w:cs="Arial"/>
          <w:sz w:val="24"/>
        </w:rPr>
        <w:t>。</w:t>
      </w:r>
    </w:p>
    <w:p w14:paraId="45D84018" w14:textId="5B329BA4" w:rsidR="007764FF" w:rsidRDefault="008F7605">
      <w:pPr>
        <w:adjustRightInd w:val="0"/>
        <w:snapToGrid w:val="0"/>
        <w:ind w:firstLineChars="200" w:firstLine="480"/>
        <w:rPr>
          <w:rStyle w:val="read"/>
          <w:rFonts w:asciiTheme="minorEastAsia" w:eastAsiaTheme="minorEastAsia" w:hAnsiTheme="minorEastAsia" w:cs="Arial"/>
          <w:sz w:val="24"/>
        </w:rPr>
      </w:pPr>
      <w:r>
        <w:rPr>
          <w:rFonts w:asciiTheme="minorEastAsia" w:eastAsiaTheme="minorEastAsia" w:hAnsiTheme="minorEastAsia" w:cs="Arial" w:hint="eastAsia"/>
          <w:sz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w:t>
      </w:r>
      <w:r>
        <w:rPr>
          <w:rFonts w:asciiTheme="minorEastAsia" w:eastAsiaTheme="minorEastAsia" w:hAnsiTheme="minorEastAsia" w:cs="Arial" w:hint="eastAsia"/>
          <w:sz w:val="24"/>
        </w:rPr>
        <w:lastRenderedPageBreak/>
        <w:t>成一致意见的，基金管理人向基金托管人出具盖章的书面说明后，按照基金管理人对各类基金净值信息的计算结果按规定对外予以公布。</w:t>
      </w:r>
    </w:p>
    <w:p w14:paraId="3CB84F1F" w14:textId="77777777" w:rsidR="007764FF" w:rsidRDefault="008F7605">
      <w:pPr>
        <w:adjustRightInd w:val="0"/>
        <w:snapToGrid w:val="0"/>
        <w:ind w:firstLine="480"/>
        <w:rPr>
          <w:rStyle w:val="read"/>
          <w:rFonts w:asciiTheme="minorEastAsia" w:eastAsiaTheme="minorEastAsia" w:hAnsiTheme="minorEastAsia" w:cs="Arial"/>
          <w:sz w:val="24"/>
        </w:rPr>
      </w:pPr>
      <w:r>
        <w:rPr>
          <w:rStyle w:val="read"/>
          <w:rFonts w:asciiTheme="minorEastAsia" w:eastAsiaTheme="minorEastAsia" w:hAnsiTheme="minorEastAsia" w:cs="Arial" w:hint="eastAsia"/>
          <w:sz w:val="24"/>
        </w:rPr>
        <w:t>3.特殊情形的处理</w:t>
      </w:r>
    </w:p>
    <w:p w14:paraId="05C02FC8" w14:textId="77777777" w:rsidR="007764FF" w:rsidRDefault="008F7605">
      <w:pPr>
        <w:adjustRightInd w:val="0"/>
        <w:snapToGrid w:val="0"/>
        <w:ind w:firstLineChars="200" w:firstLine="480"/>
        <w:rPr>
          <w:rStyle w:val="read"/>
          <w:rFonts w:asciiTheme="minorEastAsia" w:eastAsiaTheme="minorEastAsia" w:hAnsiTheme="minorEastAsia"/>
          <w:sz w:val="24"/>
        </w:rPr>
      </w:pPr>
      <w:r>
        <w:rPr>
          <w:rStyle w:val="read"/>
          <w:rFonts w:asciiTheme="minorEastAsia" w:eastAsiaTheme="minorEastAsia" w:hAnsiTheme="minorEastAsia" w:cs="Arial" w:hint="eastAsia"/>
          <w:sz w:val="24"/>
        </w:rPr>
        <w:t>基金管理人、基金托管人按估值方法的第(</w:t>
      </w:r>
      <w:r>
        <w:rPr>
          <w:rStyle w:val="read"/>
          <w:rFonts w:asciiTheme="minorEastAsia" w:eastAsiaTheme="minorEastAsia" w:hAnsiTheme="minorEastAsia" w:cs="Arial"/>
          <w:sz w:val="24"/>
        </w:rPr>
        <w:t>1</w:t>
      </w:r>
      <w:r>
        <w:rPr>
          <w:rStyle w:val="read"/>
          <w:rFonts w:asciiTheme="minorEastAsia" w:eastAsiaTheme="minorEastAsia" w:hAnsiTheme="minorEastAsia" w:cs="Arial" w:hint="eastAsia"/>
          <w:sz w:val="24"/>
        </w:rPr>
        <w:t>1)项进行估值时，所造成的误差不作为基金资产估</w:t>
      </w:r>
      <w:r>
        <w:rPr>
          <w:rStyle w:val="read"/>
          <w:rFonts w:asciiTheme="minorEastAsia" w:eastAsiaTheme="minorEastAsia" w:hAnsiTheme="minorEastAsia" w:hint="eastAsia"/>
          <w:sz w:val="24"/>
        </w:rPr>
        <w:t>值错误处理。</w:t>
      </w:r>
    </w:p>
    <w:p w14:paraId="38F5C521" w14:textId="77777777" w:rsidR="007764FF" w:rsidRDefault="008F7605">
      <w:pPr>
        <w:adjustRightInd w:val="0"/>
        <w:snapToGrid w:val="0"/>
        <w:ind w:firstLineChars="200" w:firstLine="480"/>
        <w:rPr>
          <w:rStyle w:val="read"/>
          <w:rFonts w:asciiTheme="minorEastAsia" w:eastAsiaTheme="minorEastAsia" w:hAnsiTheme="minorEastAsia"/>
          <w:sz w:val="24"/>
        </w:rPr>
      </w:pPr>
      <w:r>
        <w:rPr>
          <w:rStyle w:val="read"/>
          <w:rFonts w:asciiTheme="minorEastAsia" w:eastAsiaTheme="minorEastAsia" w:hAnsiTheme="minorEastAsia" w:hint="eastAsia"/>
          <w:sz w:val="24"/>
        </w:rPr>
        <w:t>（三）基金份额净值错误的处理方式</w:t>
      </w:r>
    </w:p>
    <w:p w14:paraId="479842AD" w14:textId="77777777" w:rsidR="007764FF" w:rsidRDefault="008F7605">
      <w:pPr>
        <w:adjustRightInd w:val="0"/>
        <w:snapToGrid w:val="0"/>
        <w:ind w:firstLineChars="200" w:firstLine="480"/>
        <w:rPr>
          <w:rStyle w:val="read"/>
          <w:rFonts w:asciiTheme="minorEastAsia" w:eastAsiaTheme="minorEastAsia" w:hAnsiTheme="minorEastAsia"/>
          <w:sz w:val="24"/>
        </w:rPr>
      </w:pPr>
      <w:r>
        <w:rPr>
          <w:rStyle w:val="read"/>
          <w:rFonts w:asciiTheme="minorEastAsia" w:eastAsiaTheme="minorEastAsia" w:hAnsiTheme="minorEastAsia" w:hint="eastAsia"/>
          <w:sz w:val="24"/>
        </w:rPr>
        <w:t>1.当任一类基金份额净值小数点后</w:t>
      </w:r>
      <w:r>
        <w:rPr>
          <w:rStyle w:val="read"/>
          <w:rFonts w:asciiTheme="minorEastAsia" w:eastAsiaTheme="minorEastAsia" w:hAnsiTheme="minorEastAsia"/>
          <w:sz w:val="24"/>
        </w:rPr>
        <w:t>4</w:t>
      </w:r>
      <w:r>
        <w:rPr>
          <w:rStyle w:val="read"/>
          <w:rFonts w:asciiTheme="minorEastAsia" w:eastAsiaTheme="minorEastAsia" w:hAnsiTheme="minorEastAsia" w:hint="eastAsia"/>
          <w:sz w:val="24"/>
        </w:rPr>
        <w:t>位以内（含第</w:t>
      </w:r>
      <w:r>
        <w:rPr>
          <w:rStyle w:val="read"/>
          <w:rFonts w:asciiTheme="minorEastAsia" w:eastAsiaTheme="minorEastAsia" w:hAnsiTheme="minorEastAsia"/>
          <w:sz w:val="24"/>
        </w:rPr>
        <w:t>4</w:t>
      </w:r>
      <w:r>
        <w:rPr>
          <w:rStyle w:val="read"/>
          <w:rFonts w:asciiTheme="minorEastAsia" w:eastAsiaTheme="minorEastAsia" w:hAnsiTheme="minorEastAsia" w:hint="eastAsia"/>
          <w:sz w:val="24"/>
        </w:rPr>
        <w:t>位）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Theme="minorEastAsia" w:eastAsiaTheme="minorEastAsia" w:hAnsiTheme="minorEastAsia" w:cs="Arial" w:hint="eastAsia"/>
          <w:sz w:val="24"/>
        </w:rPr>
        <w:t>；错误偏差达到该类基金份额净值的</w:t>
      </w:r>
      <w:r>
        <w:rPr>
          <w:rFonts w:asciiTheme="minorEastAsia" w:eastAsiaTheme="minorEastAsia" w:hAnsiTheme="minorEastAsia" w:hint="eastAsia"/>
          <w:sz w:val="24"/>
        </w:rPr>
        <w:t>0.5%时，基金管理人应当公告，并报中国证监会备案</w:t>
      </w:r>
      <w:r>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3742CFD3" w14:textId="77777777" w:rsidR="007764FF" w:rsidRDefault="008F7605">
      <w:pPr>
        <w:adjustRightInd w:val="0"/>
        <w:snapToGrid w:val="0"/>
        <w:ind w:firstLineChars="200" w:firstLine="480"/>
        <w:rPr>
          <w:rStyle w:val="read"/>
          <w:rFonts w:asciiTheme="minorEastAsia" w:eastAsiaTheme="minorEastAsia" w:hAnsiTheme="minorEastAsia"/>
          <w:sz w:val="24"/>
        </w:rPr>
      </w:pPr>
      <w:r>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192B977D" w14:textId="77777777" w:rsidR="007764FF" w:rsidRDefault="008F7605">
      <w:pPr>
        <w:adjustRightInd w:val="0"/>
        <w:snapToGrid w:val="0"/>
        <w:ind w:firstLineChars="200" w:firstLine="480"/>
        <w:rPr>
          <w:rFonts w:asciiTheme="minorEastAsia" w:eastAsiaTheme="minorEastAsia" w:hAnsiTheme="minorEastAsia" w:cs="Arial"/>
          <w:sz w:val="24"/>
        </w:rPr>
      </w:pPr>
      <w:r>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Theme="minorEastAsia" w:eastAsiaTheme="minorEastAsia" w:hAnsiTheme="minorEastAsia" w:cs="Arial" w:hint="eastAsia"/>
          <w:sz w:val="24"/>
        </w:rPr>
        <w:t>损失，由基金管理人负责赔付。</w:t>
      </w:r>
    </w:p>
    <w:p w14:paraId="385F54F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proofErr w:type="gramStart"/>
      <w:r>
        <w:rPr>
          <w:rFonts w:asciiTheme="minorEastAsia" w:eastAsiaTheme="minorEastAsia" w:hAnsiTheme="minorEastAsia" w:hint="eastAsia"/>
          <w:kern w:val="0"/>
          <w:sz w:val="24"/>
        </w:rPr>
        <w:t>若基金</w:t>
      </w:r>
      <w:proofErr w:type="gramEnd"/>
      <w:r>
        <w:rPr>
          <w:rFonts w:asciiTheme="minorEastAsia" w:eastAsiaTheme="minorEastAsia" w:hAnsiTheme="minorEastAsia"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C4BC7F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(3)如基金管理人和基金托管人对各类基金份额净值的计算结果，虽然多次重新计算和核对，尚不能达成一致时，为避免不能按时公布各类基金份额净值的情形，</w:t>
      </w:r>
      <w:r>
        <w:rPr>
          <w:rStyle w:val="read"/>
          <w:rFonts w:asciiTheme="minorEastAsia" w:eastAsiaTheme="minorEastAsia" w:hAnsiTheme="minorEastAsia" w:hint="eastAsia"/>
          <w:sz w:val="24"/>
        </w:rPr>
        <w:t>基金管理人向基金托管人出具盖章说明后，</w:t>
      </w:r>
      <w:r>
        <w:rPr>
          <w:rFonts w:asciiTheme="minorEastAsia" w:eastAsiaTheme="minorEastAsia" w:hAnsiTheme="minorEastAsia" w:cs="Arial" w:hint="eastAsia"/>
          <w:sz w:val="24"/>
        </w:rPr>
        <w:t>以基金管理人的计算结果对外公布，由此给基金份额持有人和基金造成的损失，由基金管理人负责赔付。</w:t>
      </w:r>
    </w:p>
    <w:p w14:paraId="42445EE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3FA630B" w14:textId="3F89CE1A"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3.由于不可抗力原因，或由于</w:t>
      </w:r>
      <w:r>
        <w:rPr>
          <w:rFonts w:ascii="宋体" w:hAnsi="宋体" w:hint="eastAsia"/>
          <w:bCs/>
          <w:sz w:val="24"/>
        </w:rPr>
        <w:t>本基金</w:t>
      </w:r>
      <w:r>
        <w:rPr>
          <w:rFonts w:ascii="宋体" w:hAnsi="宋体"/>
          <w:bCs/>
          <w:sz w:val="24"/>
        </w:rPr>
        <w:t>所持有基金的基金管理人披露基金份额净值的数据错误</w:t>
      </w:r>
      <w:r>
        <w:rPr>
          <w:rFonts w:ascii="宋体" w:hAnsi="宋体" w:hint="eastAsia"/>
          <w:bCs/>
          <w:sz w:val="24"/>
        </w:rPr>
        <w:t>，</w:t>
      </w:r>
      <w:r>
        <w:rPr>
          <w:rFonts w:asciiTheme="minorEastAsia" w:eastAsiaTheme="minorEastAsia" w:hAnsiTheme="minorEastAsia" w:cs="Arial" w:hint="eastAsia"/>
          <w:sz w:val="24"/>
        </w:rPr>
        <w:t>证券交易所及登记结算公司、存款银行或第三方估值基准服务机构等发送的数据错误、遗漏，或有关会计制度变化等</w:t>
      </w:r>
      <w:proofErr w:type="gramStart"/>
      <w:r>
        <w:rPr>
          <w:rFonts w:asciiTheme="minorEastAsia" w:eastAsiaTheme="minorEastAsia" w:hAnsiTheme="minorEastAsia" w:cs="Arial" w:hint="eastAsia"/>
          <w:sz w:val="24"/>
        </w:rPr>
        <w:t>非基金</w:t>
      </w:r>
      <w:proofErr w:type="gramEnd"/>
      <w:r>
        <w:rPr>
          <w:rFonts w:asciiTheme="minorEastAsia" w:eastAsiaTheme="minorEastAsia" w:hAnsiTheme="minorEastAsia" w:cs="Arial" w:hint="eastAsia"/>
          <w:sz w:val="24"/>
        </w:rPr>
        <w:t>管理人与基金托管人原因，基金管理人和基金托管人虽然已经采取必要、适当、合理的措施进行检查，但未能发现该错误、遗漏的或即使发现错误但因前述原因无法及时更正的，由此造成的基金资产估值错误，基金管理人和基金托管人免除赔偿责任。但基金管理人、基金托管人应当积极采取必要的措施消除或减轻由此造成的影响。</w:t>
      </w:r>
    </w:p>
    <w:p w14:paraId="47B678A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4.基金管理人和基金托管人由于各自技术系统设置而产生的净值计算尾差，以基金管理人计算结果为准。</w:t>
      </w:r>
    </w:p>
    <w:p w14:paraId="3E3EBE5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0817C64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（四）暂停估值与公告基金份额净值的情形</w:t>
      </w:r>
    </w:p>
    <w:p w14:paraId="131E42A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1.基金投资所涉及的证券交易市场或外汇市场遇法定节假日或因其他原因暂停营业时；</w:t>
      </w:r>
    </w:p>
    <w:p w14:paraId="0AEF9E4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2.因不可抗力或其他情形致使基金管理人、基金托管人无法准确评估基金资产价值时；</w:t>
      </w:r>
    </w:p>
    <w:p w14:paraId="259766E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3.占本基金相当比例的被投资基金发生暂停估值、暂停公告基金份额净值的情形；</w:t>
      </w:r>
    </w:p>
    <w:p w14:paraId="3C5286D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4.</w:t>
      </w:r>
      <w:r>
        <w:rPr>
          <w:rFonts w:asciiTheme="minorEastAsia" w:eastAsiaTheme="minorEastAsia" w:hAnsiTheme="minorEastAsia" w:cs="Arial" w:hint="eastAsia"/>
          <w:sz w:val="24"/>
        </w:rPr>
        <w:t>占基金相当比例的投资品种的估值出现重大转变，而基金管理人为保障投资人的利益，决定延迟估值；</w:t>
      </w:r>
    </w:p>
    <w:p w14:paraId="450C2D1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5.</w:t>
      </w:r>
      <w:r>
        <w:rPr>
          <w:rFonts w:asciiTheme="minorEastAsia" w:eastAsiaTheme="minorEastAsia" w:hAnsiTheme="minorEastAsia" w:cs="Arial" w:hint="eastAsia"/>
          <w:sz w:val="24"/>
        </w:rPr>
        <w:t>出现导致基金管理人不能出售或评估基金资产的紧急事故的任何情况；</w:t>
      </w:r>
    </w:p>
    <w:p w14:paraId="7F2B9C2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sz w:val="24"/>
        </w:rPr>
        <w:t>.</w:t>
      </w:r>
      <w:r>
        <w:rPr>
          <w:rFonts w:asciiTheme="minorEastAsia" w:eastAsiaTheme="minorEastAsia" w:hAnsiTheme="minorEastAsia" w:cs="Arial" w:hint="eastAsia"/>
          <w:sz w:val="24"/>
        </w:rPr>
        <w:t>当特定资产占前一估值日基金资产净值50%以上的，经与基金托管人协商确认后，基金管理人应当暂停估值；</w:t>
      </w:r>
    </w:p>
    <w:p w14:paraId="4712969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7</w:t>
      </w:r>
      <w:r>
        <w:rPr>
          <w:rFonts w:asciiTheme="minorEastAsia" w:eastAsiaTheme="minorEastAsia" w:hAnsiTheme="minorEastAsia" w:cs="Arial" w:hint="eastAsia"/>
          <w:sz w:val="24"/>
        </w:rPr>
        <w:t>.法律法规、中国证监会和《基金合同》认定的其它情形。</w:t>
      </w:r>
    </w:p>
    <w:p w14:paraId="2F2782E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（五）基金会计制度</w:t>
      </w:r>
    </w:p>
    <w:p w14:paraId="19D5E1A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按国家有关部门规定的会计制度执行。</w:t>
      </w:r>
    </w:p>
    <w:p w14:paraId="3D3DFE8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（六）基金账册的建立</w:t>
      </w:r>
    </w:p>
    <w:p w14:paraId="0E59A85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基金管理人进行基金会计核算并编制基金财务会计报告。基金管理人、基金托管人分别独立地设置、记录和保管本基金的全套账册。</w:t>
      </w:r>
      <w:proofErr w:type="gramStart"/>
      <w:r>
        <w:rPr>
          <w:rFonts w:asciiTheme="minorEastAsia" w:eastAsiaTheme="minorEastAsia" w:hAnsiTheme="minorEastAsia" w:cs="Arial" w:hint="eastAsia"/>
          <w:sz w:val="24"/>
        </w:rPr>
        <w:t>若基金</w:t>
      </w:r>
      <w:proofErr w:type="gramEnd"/>
      <w:r>
        <w:rPr>
          <w:rFonts w:asciiTheme="minorEastAsia" w:eastAsiaTheme="minorEastAsia" w:hAnsiTheme="minorEastAsia"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209B75F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（七）基金财务报表与报告的编制和复核</w:t>
      </w:r>
    </w:p>
    <w:p w14:paraId="070910D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1.财务报表与报告的编制</w:t>
      </w:r>
    </w:p>
    <w:p w14:paraId="01D8FED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基金财务报表与报告由基金管理人编制，基金托管人复核。</w:t>
      </w:r>
    </w:p>
    <w:p w14:paraId="7CB4A6E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2.报表与报告的复核</w:t>
      </w:r>
    </w:p>
    <w:p w14:paraId="3973423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基金托管人在收到基金管理人编制的基金财务报表、报告后，进行独立的复核。核对不符时，应及时通知基金管理人共同查出原因，进行调整，直至双方数据完全一致。</w:t>
      </w:r>
    </w:p>
    <w:p w14:paraId="15BEEF4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3.财务报表与报告的编制与复核时间安排</w:t>
      </w:r>
    </w:p>
    <w:p w14:paraId="58ED2C7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(1)报表与报告的编制</w:t>
      </w:r>
    </w:p>
    <w:p w14:paraId="1DD080C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62E8B25F"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(2)报表与报告的复核</w:t>
      </w:r>
    </w:p>
    <w:p w14:paraId="140FD82E"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及时完成报表、报告的编制，将有关报表、报告提供基金托管人复核；基金托管人在复核过程中，发现双方的报表、报告存在不符时，基金管理人和基金托管人应共同查明原因，进行调整，调整以国家有关规定为准。</w:t>
      </w:r>
    </w:p>
    <w:p w14:paraId="3EE5253E"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基金管理人应留足充分的时间，便于基金托管人复核相关报表及报告。如果基金管理人与基金托管人不能</w:t>
      </w:r>
      <w:proofErr w:type="gramStart"/>
      <w:r>
        <w:rPr>
          <w:rFonts w:asciiTheme="minorEastAsia" w:eastAsiaTheme="minorEastAsia" w:hAnsiTheme="minorEastAsia" w:cs="Arial" w:hint="eastAsia"/>
          <w:sz w:val="24"/>
        </w:rPr>
        <w:t>于应当</w:t>
      </w:r>
      <w:proofErr w:type="gramEnd"/>
      <w:r>
        <w:rPr>
          <w:rFonts w:asciiTheme="minorEastAsia" w:eastAsiaTheme="minorEastAsia" w:hAnsiTheme="minorEastAsia" w:cs="Arial" w:hint="eastAsia"/>
          <w:sz w:val="24"/>
        </w:rPr>
        <w:t>发布公告之日之前就相关报表及报告达成一致，基金管理人按照其编制的报表及报告对外发布公告，基金托管人有权就相关情况报中国证监会备案。</w:t>
      </w:r>
    </w:p>
    <w:p w14:paraId="77D28EC4"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（八）基金管理人应在编制季度报告、中期报告或者年度报告之前及时向基</w:t>
      </w:r>
      <w:r>
        <w:rPr>
          <w:rFonts w:asciiTheme="minorEastAsia" w:eastAsiaTheme="minorEastAsia" w:hAnsiTheme="minorEastAsia" w:cs="Arial" w:hint="eastAsia"/>
          <w:sz w:val="24"/>
        </w:rPr>
        <w:lastRenderedPageBreak/>
        <w:t>金托管人提供基金业绩比较基准的基础数据和编制结果。</w:t>
      </w:r>
    </w:p>
    <w:p w14:paraId="63BBEDD6"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（九）实施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期间的基金资产估值</w:t>
      </w:r>
    </w:p>
    <w:p w14:paraId="3BA015AA" w14:textId="77777777" w:rsidR="007764FF" w:rsidRDefault="008F7605">
      <w:pPr>
        <w:pStyle w:val="a0"/>
        <w:adjustRightInd w:val="0"/>
        <w:snapToGrid w:val="0"/>
        <w:ind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的，应根据本部分的约定</w:t>
      </w:r>
      <w:proofErr w:type="gramStart"/>
      <w:r>
        <w:rPr>
          <w:rFonts w:asciiTheme="minorEastAsia" w:eastAsiaTheme="minorEastAsia" w:hAnsiTheme="minorEastAsia" w:cs="Arial" w:hint="eastAsia"/>
          <w:sz w:val="24"/>
        </w:rPr>
        <w:t>对主袋账户</w:t>
      </w:r>
      <w:proofErr w:type="gramEnd"/>
      <w:r>
        <w:rPr>
          <w:rFonts w:asciiTheme="minorEastAsia" w:eastAsiaTheme="minorEastAsia" w:hAnsiTheme="minorEastAsia" w:cs="Arial" w:hint="eastAsia"/>
          <w:sz w:val="24"/>
        </w:rPr>
        <w:t>资产进行估值并</w:t>
      </w:r>
      <w:proofErr w:type="gramStart"/>
      <w:r>
        <w:rPr>
          <w:rFonts w:asciiTheme="minorEastAsia" w:eastAsiaTheme="minorEastAsia" w:hAnsiTheme="minorEastAsia" w:cs="Arial" w:hint="eastAsia"/>
          <w:sz w:val="24"/>
        </w:rPr>
        <w:t>披露主袋账户</w:t>
      </w:r>
      <w:proofErr w:type="gramEnd"/>
      <w:r>
        <w:rPr>
          <w:rFonts w:asciiTheme="minorEastAsia" w:eastAsiaTheme="minorEastAsia" w:hAnsiTheme="minorEastAsia" w:cs="Arial" w:hint="eastAsia"/>
          <w:sz w:val="24"/>
        </w:rPr>
        <w:t>的基金净值信息，暂停</w:t>
      </w:r>
      <w:proofErr w:type="gramStart"/>
      <w:r>
        <w:rPr>
          <w:rFonts w:asciiTheme="minorEastAsia" w:eastAsiaTheme="minorEastAsia" w:hAnsiTheme="minorEastAsia" w:cs="Arial" w:hint="eastAsia"/>
          <w:sz w:val="24"/>
        </w:rPr>
        <w:t>披露侧袋账户</w:t>
      </w:r>
      <w:proofErr w:type="gramEnd"/>
      <w:r>
        <w:rPr>
          <w:rFonts w:asciiTheme="minorEastAsia" w:eastAsiaTheme="minorEastAsia" w:hAnsiTheme="minorEastAsia" w:cs="Arial" w:hint="eastAsia"/>
          <w:sz w:val="24"/>
        </w:rPr>
        <w:t>份额净值。</w:t>
      </w:r>
    </w:p>
    <w:p w14:paraId="076BFC51" w14:textId="77777777" w:rsidR="007764FF" w:rsidRDefault="007764FF">
      <w:pPr>
        <w:pStyle w:val="a0"/>
        <w:adjustRightInd w:val="0"/>
        <w:snapToGrid w:val="0"/>
        <w:ind w:firstLine="480"/>
        <w:rPr>
          <w:rFonts w:asciiTheme="minorEastAsia" w:eastAsiaTheme="minorEastAsia" w:hAnsiTheme="minorEastAsia" w:cs="Arial"/>
          <w:sz w:val="24"/>
        </w:rPr>
      </w:pPr>
    </w:p>
    <w:p w14:paraId="54BB75EF" w14:textId="77777777" w:rsidR="007764FF" w:rsidRDefault="008F7605">
      <w:pPr>
        <w:pStyle w:val="2"/>
        <w:jc w:val="center"/>
        <w:rPr>
          <w:rFonts w:asciiTheme="minorEastAsia" w:eastAsiaTheme="minorEastAsia" w:hAnsiTheme="minorEastAsia"/>
          <w:sz w:val="30"/>
        </w:rPr>
      </w:pPr>
      <w:bookmarkStart w:id="88" w:name="_Toc124325893"/>
      <w:r>
        <w:rPr>
          <w:rFonts w:asciiTheme="minorEastAsia" w:eastAsiaTheme="minorEastAsia" w:hAnsiTheme="minorEastAsia" w:hint="eastAsia"/>
          <w:sz w:val="30"/>
        </w:rPr>
        <w:t>九、基金收益分配</w:t>
      </w:r>
      <w:bookmarkEnd w:id="88"/>
    </w:p>
    <w:p w14:paraId="36A828B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基金收益分配是指按规定将基金的可分配收益按基金份额进行比例分配。</w:t>
      </w:r>
    </w:p>
    <w:p w14:paraId="6C2FCF79" w14:textId="77777777" w:rsidR="007764FF" w:rsidRDefault="008F7605">
      <w:pPr>
        <w:adjustRightInd w:val="0"/>
        <w:snapToGrid w:val="0"/>
        <w:ind w:firstLineChars="200" w:firstLine="480"/>
        <w:rPr>
          <w:rFonts w:asciiTheme="minorEastAsia" w:eastAsiaTheme="minorEastAsia" w:hAnsiTheme="minorEastAsia" w:cs="Arial"/>
          <w:sz w:val="24"/>
        </w:rPr>
      </w:pPr>
      <w:bookmarkStart w:id="89" w:name="OLE_LINK54"/>
      <w:bookmarkStart w:id="90" w:name="OLE_LINK53"/>
      <w:r>
        <w:rPr>
          <w:rFonts w:asciiTheme="minorEastAsia" w:eastAsiaTheme="minorEastAsia" w:hAnsiTheme="minorEastAsia" w:cs="Arial" w:hint="eastAsia"/>
          <w:sz w:val="24"/>
        </w:rPr>
        <w:t>（一）基金收益分配的原则</w:t>
      </w:r>
    </w:p>
    <w:p w14:paraId="0137359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基金收益分配应遵循下列原则：</w:t>
      </w:r>
    </w:p>
    <w:p w14:paraId="3E10AE2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1.本基金在符合有关基金分红条件的前提下可进行收益分配，每次收益分配比例等具体分红方案</w:t>
      </w:r>
      <w:proofErr w:type="gramStart"/>
      <w:r>
        <w:rPr>
          <w:rFonts w:asciiTheme="minorEastAsia" w:eastAsiaTheme="minorEastAsia" w:hAnsiTheme="minorEastAsia" w:cs="Arial" w:hint="eastAsia"/>
          <w:sz w:val="24"/>
        </w:rPr>
        <w:t>见基金</w:t>
      </w:r>
      <w:proofErr w:type="gramEnd"/>
      <w:r>
        <w:rPr>
          <w:rFonts w:asciiTheme="minorEastAsia" w:eastAsiaTheme="minorEastAsia" w:hAnsiTheme="minorEastAsia" w:cs="Arial" w:hint="eastAsia"/>
          <w:sz w:val="24"/>
        </w:rPr>
        <w:t>管理人根据基金运作情况届时不定期发布的相关分红公告，若《基金合同》生效不满3个月可不进行收益分配；</w:t>
      </w:r>
    </w:p>
    <w:p w14:paraId="20F64AD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2.本基金收益分配方式分两种：现金分红与红利再投资，投资人可选择现金红利或将现金红利自动转为相应类别的基金份额进行再投资，红利再投资所得基金份额的最短持有期与</w:t>
      </w:r>
      <w:proofErr w:type="gramStart"/>
      <w:r>
        <w:rPr>
          <w:rFonts w:asciiTheme="minorEastAsia" w:eastAsiaTheme="minorEastAsia" w:hAnsiTheme="minorEastAsia" w:cs="Arial" w:hint="eastAsia"/>
          <w:sz w:val="24"/>
        </w:rPr>
        <w:t>原基金</w:t>
      </w:r>
      <w:proofErr w:type="gramEnd"/>
      <w:r>
        <w:rPr>
          <w:rFonts w:asciiTheme="minorEastAsia" w:eastAsiaTheme="minorEastAsia" w:hAnsiTheme="minorEastAsia" w:cs="Arial" w:hint="eastAsia"/>
          <w:sz w:val="24"/>
        </w:rPr>
        <w:t>份额相同；若投资人不选择，本基金默认的收益分配方式是现金分红；红利再投资方式免收再投资的费用；</w:t>
      </w:r>
    </w:p>
    <w:p w14:paraId="23A1E74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3.基金收益分配后各类基金份额净值不能低于面值，即基金收益分配基准日的各类基金份额净值减去每单位该类基金份额收益分配金额后不能低于面值；</w:t>
      </w:r>
    </w:p>
    <w:p w14:paraId="15329272" w14:textId="503DA5FC"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hint="eastAsia"/>
        </w:rPr>
        <w:t xml:space="preserve"> </w:t>
      </w:r>
      <w:r>
        <w:rPr>
          <w:rFonts w:asciiTheme="minorEastAsia" w:eastAsiaTheme="minorEastAsia" w:hAnsiTheme="minorEastAsia" w:cs="Arial" w:hint="eastAsia"/>
          <w:sz w:val="24"/>
        </w:rPr>
        <w:t>由于本基金A类基金份额与C类基金份额的基金费用不同，各基金份额类别对应的可供分配利润将有所不同。本基金同一类别的每一基金份额享有同等分配权；</w:t>
      </w:r>
    </w:p>
    <w:p w14:paraId="5028D8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5.法律法规或监管机关另有规定的，从其规定。</w:t>
      </w:r>
    </w:p>
    <w:p w14:paraId="4A011D0F" w14:textId="68158325"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不违反法律法规且对基金份额持有人利益无实质不利影响的前提下，基金管理人在与基金托管人协商一致并履行适当程序后，可酌情调整以上基金收益分配原则和支付方式，并于变更实施日前在规定媒介上公告。</w:t>
      </w:r>
    </w:p>
    <w:p w14:paraId="27C4A7E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（二）基金收益分配的时间和程序</w:t>
      </w:r>
    </w:p>
    <w:p w14:paraId="3E6A58D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收益分配方案由基金管理人拟定，并由基金托管人复核，基金管理人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10DFA0C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该基金份额持有人的现金红利转为相应类别的基金份额。红利再投资的计算方法，依照登记机构相关业务规则执行。</w:t>
      </w:r>
    </w:p>
    <w:p w14:paraId="6E27B64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期间的收益分配</w:t>
      </w:r>
    </w:p>
    <w:p w14:paraId="0487ABC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的，</w:t>
      </w:r>
      <w:proofErr w:type="gramStart"/>
      <w:r>
        <w:rPr>
          <w:rFonts w:asciiTheme="minorEastAsia" w:eastAsiaTheme="minorEastAsia" w:hAnsiTheme="minorEastAsia" w:cs="Arial" w:hint="eastAsia"/>
          <w:sz w:val="24"/>
        </w:rPr>
        <w:t>侧袋账户</w:t>
      </w:r>
      <w:proofErr w:type="gramEnd"/>
      <w:r>
        <w:rPr>
          <w:rFonts w:asciiTheme="minorEastAsia" w:eastAsiaTheme="minorEastAsia" w:hAnsiTheme="minorEastAsia" w:cs="Arial" w:hint="eastAsia"/>
          <w:sz w:val="24"/>
        </w:rPr>
        <w:t>不进行收益分配，详见招募说明书的规定或相关公告。</w:t>
      </w:r>
    </w:p>
    <w:p w14:paraId="63D625A5" w14:textId="77777777" w:rsidR="007764FF" w:rsidRDefault="007764FF">
      <w:pPr>
        <w:adjustRightInd w:val="0"/>
        <w:snapToGrid w:val="0"/>
        <w:rPr>
          <w:rFonts w:asciiTheme="minorEastAsia" w:eastAsiaTheme="minorEastAsia" w:hAnsiTheme="minorEastAsia" w:cs="Arial"/>
          <w:sz w:val="24"/>
        </w:rPr>
      </w:pPr>
    </w:p>
    <w:p w14:paraId="296F0CCD" w14:textId="77777777" w:rsidR="007764FF" w:rsidRDefault="008F7605">
      <w:pPr>
        <w:pStyle w:val="2"/>
        <w:jc w:val="center"/>
        <w:rPr>
          <w:rFonts w:asciiTheme="minorEastAsia" w:eastAsiaTheme="minorEastAsia" w:hAnsiTheme="minorEastAsia"/>
          <w:sz w:val="30"/>
        </w:rPr>
      </w:pPr>
      <w:bookmarkStart w:id="91" w:name="_Toc124325894"/>
      <w:bookmarkEnd w:id="89"/>
      <w:bookmarkEnd w:id="90"/>
      <w:r>
        <w:rPr>
          <w:rFonts w:asciiTheme="minorEastAsia" w:eastAsiaTheme="minorEastAsia" w:hAnsiTheme="minorEastAsia" w:hint="eastAsia"/>
          <w:sz w:val="30"/>
        </w:rPr>
        <w:lastRenderedPageBreak/>
        <w:t>十、基金信息披露</w:t>
      </w:r>
      <w:bookmarkEnd w:id="91"/>
    </w:p>
    <w:p w14:paraId="244AD07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（一）保密义务</w:t>
      </w:r>
    </w:p>
    <w:p w14:paraId="652D383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2D2193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1.非因基金管理人和基金托管人的原因导致保密信息被披露、泄露或公开；</w:t>
      </w:r>
    </w:p>
    <w:p w14:paraId="211DB27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14:paraId="0B54392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3.因审计、法律等外部专业顾问提供服务而向其提供的情况。</w:t>
      </w:r>
    </w:p>
    <w:p w14:paraId="3921504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（二）信息披露的内容</w:t>
      </w:r>
    </w:p>
    <w:p w14:paraId="4E12909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投资资产支持证券/证券投资基金/非公开发行股票/港股通标的股票相关公告、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期间的信息披露等中国证监会规定的其他必要的公告文件，由基金管理人拟定并负责公布。</w:t>
      </w:r>
    </w:p>
    <w:p w14:paraId="3941929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基金年度报告中的财务会计报告需</w:t>
      </w:r>
      <w:proofErr w:type="gramStart"/>
      <w:r>
        <w:rPr>
          <w:rFonts w:asciiTheme="minorEastAsia" w:eastAsiaTheme="minorEastAsia" w:hAnsiTheme="minorEastAsia" w:cs="Arial" w:hint="eastAsia"/>
          <w:sz w:val="24"/>
        </w:rPr>
        <w:t>经符合</w:t>
      </w:r>
      <w:proofErr w:type="gramEnd"/>
      <w:r>
        <w:rPr>
          <w:rFonts w:asciiTheme="minorEastAsia" w:eastAsiaTheme="minorEastAsia" w:hAnsiTheme="minorEastAsia" w:cs="Arial" w:hint="eastAsia"/>
          <w:sz w:val="24"/>
        </w:rPr>
        <w:t>《中华人民共和国证券法》规定的会计师事务所审计后，方可披露。</w:t>
      </w:r>
    </w:p>
    <w:p w14:paraId="23A0E13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（三）基金托管人和基金管理人在信息披露中的职责和信息披露程序</w:t>
      </w:r>
    </w:p>
    <w:p w14:paraId="6DEC4C8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1.职责</w:t>
      </w:r>
    </w:p>
    <w:p w14:paraId="1D409935" w14:textId="4AB93303"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基金管理人在信息披露时，应说明基金托管人所复核的数据和信息。对于托管人复核结果与管理人无法达成一致的，管理人应按照有关法律法规进行信息披露。</w:t>
      </w:r>
    </w:p>
    <w:p w14:paraId="3827EF2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对于不需要基金托管人复核的信息，基金管理人在公告前应告知基金托管人。</w:t>
      </w:r>
    </w:p>
    <w:p w14:paraId="6F0F006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基金管理人和基金托管人应积极配合、互相监督，保证其履行按照法定方式和限时披露的义务。</w:t>
      </w:r>
    </w:p>
    <w:p w14:paraId="2D8FBA6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7DEEB77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当出现下述情况时，基金管理人和基金托管人可暂停或延迟披露基金相关信息：</w:t>
      </w:r>
    </w:p>
    <w:p w14:paraId="4A00427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(1)基金投资所涉及的证券交易所或外汇市场遇法定节假日或因其他原因暂停营业或港股</w:t>
      </w:r>
      <w:proofErr w:type="gramStart"/>
      <w:r>
        <w:rPr>
          <w:rFonts w:asciiTheme="minorEastAsia" w:eastAsiaTheme="minorEastAsia" w:hAnsiTheme="minorEastAsia" w:cs="Arial" w:hint="eastAsia"/>
          <w:sz w:val="24"/>
        </w:rPr>
        <w:t>通临时</w:t>
      </w:r>
      <w:proofErr w:type="gramEnd"/>
      <w:r>
        <w:rPr>
          <w:rFonts w:asciiTheme="minorEastAsia" w:eastAsiaTheme="minorEastAsia" w:hAnsiTheme="minorEastAsia" w:cs="Arial" w:hint="eastAsia"/>
          <w:sz w:val="24"/>
        </w:rPr>
        <w:t>暂停时；</w:t>
      </w:r>
    </w:p>
    <w:p w14:paraId="0702B5F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w:t>
      </w:r>
      <w:r>
        <w:rPr>
          <w:rFonts w:asciiTheme="minorEastAsia" w:eastAsiaTheme="minorEastAsia" w:hAnsiTheme="minorEastAsia" w:cs="Arial"/>
          <w:sz w:val="24"/>
        </w:rPr>
        <w:t>2)不可抗力</w:t>
      </w:r>
      <w:r>
        <w:rPr>
          <w:rFonts w:asciiTheme="minorEastAsia" w:eastAsiaTheme="minorEastAsia" w:hAnsiTheme="minorEastAsia" w:cs="Arial" w:hint="eastAsia"/>
          <w:sz w:val="24"/>
        </w:rPr>
        <w:t>；</w:t>
      </w:r>
    </w:p>
    <w:p w14:paraId="0E0B52F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(3)发生暂停估值的情形；</w:t>
      </w:r>
    </w:p>
    <w:p w14:paraId="637ABB3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(4)法律法规规定、中国证监会或基金合同认定的其他情形。</w:t>
      </w:r>
    </w:p>
    <w:p w14:paraId="766C7BD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2.程序</w:t>
      </w:r>
    </w:p>
    <w:p w14:paraId="3AD747D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FECA6A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3.信息文本的存放</w:t>
      </w:r>
    </w:p>
    <w:p w14:paraId="64C22570" w14:textId="77777777" w:rsidR="007764FF" w:rsidRDefault="008F7605">
      <w:pPr>
        <w:adjustRightInd w:val="0"/>
        <w:snapToGrid w:val="0"/>
        <w:ind w:firstLineChars="200" w:firstLine="480"/>
        <w:rPr>
          <w:rFonts w:ascii="宋体" w:hAnsi="宋体" w:cs="Arial"/>
          <w:sz w:val="24"/>
        </w:rPr>
      </w:pPr>
      <w:r>
        <w:rPr>
          <w:rFonts w:ascii="宋体" w:hAnsi="宋体" w:cs="Arial" w:hint="eastAsia"/>
          <w:sz w:val="24"/>
        </w:rPr>
        <w:t>予以披露的信息文本，基金管理人、基金托管人应当按照相关法律法规规定将信息置备于各自住所，投资者可以免费查阅。在支付工本费后可在合理时间获得上述文件的复制件或复印件。基金管理人和基金托管人应保证文本的内容与所公告的内容完全一致。</w:t>
      </w:r>
    </w:p>
    <w:p w14:paraId="072332B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期间的信息披露</w:t>
      </w:r>
    </w:p>
    <w:p w14:paraId="6C5CBDE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的，相关信息披露义务人应当根据法律法规、基金合同和招募说明书的规定进行信息披露，详见招募说明书的规定。</w:t>
      </w:r>
    </w:p>
    <w:p w14:paraId="3CEE9F6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（五）法律法规或监管部门对适用于本基金的信息披露另有规定的，从其规定。如规定发生变化的，从其最新规定。</w:t>
      </w:r>
    </w:p>
    <w:p w14:paraId="296569AA" w14:textId="77777777" w:rsidR="007764FF" w:rsidRDefault="007764FF">
      <w:pPr>
        <w:adjustRightInd w:val="0"/>
        <w:snapToGrid w:val="0"/>
        <w:ind w:firstLineChars="200" w:firstLine="480"/>
        <w:rPr>
          <w:rFonts w:asciiTheme="minorEastAsia" w:eastAsiaTheme="minorEastAsia" w:hAnsiTheme="minorEastAsia" w:cs="Arial"/>
          <w:sz w:val="24"/>
        </w:rPr>
      </w:pPr>
    </w:p>
    <w:p w14:paraId="32936A49" w14:textId="77777777" w:rsidR="007764FF" w:rsidRDefault="008F7605">
      <w:pPr>
        <w:pStyle w:val="2"/>
        <w:jc w:val="center"/>
        <w:rPr>
          <w:rFonts w:asciiTheme="minorEastAsia" w:eastAsiaTheme="minorEastAsia" w:hAnsiTheme="minorEastAsia"/>
          <w:sz w:val="30"/>
        </w:rPr>
      </w:pPr>
      <w:bookmarkStart w:id="92" w:name="_Toc124325895"/>
      <w:r>
        <w:rPr>
          <w:rFonts w:asciiTheme="minorEastAsia" w:eastAsiaTheme="minorEastAsia" w:hAnsiTheme="minorEastAsia" w:hint="eastAsia"/>
          <w:sz w:val="30"/>
        </w:rPr>
        <w:t>十一、基金费用</w:t>
      </w:r>
      <w:bookmarkEnd w:id="92"/>
    </w:p>
    <w:p w14:paraId="5C614FF4" w14:textId="77777777" w:rsidR="007764FF" w:rsidRDefault="008F7605">
      <w:pPr>
        <w:adjustRightInd w:val="0"/>
        <w:snapToGrid w:val="0"/>
        <w:ind w:firstLineChars="200" w:firstLine="480"/>
        <w:rPr>
          <w:rFonts w:asciiTheme="minorEastAsia" w:eastAsiaTheme="minorEastAsia" w:hAnsiTheme="minorEastAsia" w:cs="Arial"/>
          <w:sz w:val="24"/>
        </w:rPr>
      </w:pPr>
      <w:bookmarkStart w:id="93" w:name="OLE_LINK55"/>
      <w:r>
        <w:rPr>
          <w:rFonts w:asciiTheme="minorEastAsia" w:eastAsiaTheme="minorEastAsia" w:hAnsiTheme="minorEastAsia" w:cs="Arial" w:hint="eastAsia"/>
          <w:sz w:val="24"/>
        </w:rPr>
        <w:t>（一）基金管理费的计提比例和计提方法</w:t>
      </w:r>
    </w:p>
    <w:p w14:paraId="1C4530E3" w14:textId="5B548385"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本基金的管理费按前一日的基金资产净值扣除本基金管理人自身管理部分基金之后的基金资产净值（若为负数，则取0）的0.</w:t>
      </w:r>
      <w:r>
        <w:rPr>
          <w:rFonts w:asciiTheme="minorEastAsia" w:eastAsiaTheme="minorEastAsia" w:hAnsiTheme="minorEastAsia" w:cs="Arial"/>
          <w:sz w:val="24"/>
        </w:rPr>
        <w:t>75</w:t>
      </w:r>
      <w:r>
        <w:rPr>
          <w:rFonts w:asciiTheme="minorEastAsia" w:eastAsiaTheme="minorEastAsia" w:hAnsiTheme="minorEastAsia" w:cs="Arial" w:hint="eastAsia"/>
          <w:sz w:val="24"/>
        </w:rPr>
        <w:t>%年费率计提，基金管理人对基金财产中持有自身管理的基金部分免收管理费。管理费的计算方法如下：</w:t>
      </w:r>
    </w:p>
    <w:p w14:paraId="257147DD" w14:textId="2C865EA4"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H＝E×</w:t>
      </w:r>
      <w:r>
        <w:rPr>
          <w:rFonts w:asciiTheme="minorEastAsia" w:eastAsiaTheme="minorEastAsia" w:hAnsiTheme="minorEastAsia" w:cs="Arial"/>
          <w:sz w:val="24"/>
        </w:rPr>
        <w:t>0.75</w:t>
      </w:r>
      <w:r>
        <w:rPr>
          <w:rFonts w:asciiTheme="minorEastAsia" w:eastAsiaTheme="minorEastAsia" w:hAnsiTheme="minorEastAsia" w:cs="Arial" w:hint="eastAsia"/>
          <w:sz w:val="24"/>
        </w:rPr>
        <w:t>%÷当年天数</w:t>
      </w:r>
    </w:p>
    <w:p w14:paraId="05DEA32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H为每日应计提的基金管理费</w:t>
      </w:r>
    </w:p>
    <w:p w14:paraId="49250B8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E为前一日的基金资产净值扣除本基金管理人自身管理部分基金之后的基金资产净值（若为负数，则取0）</w:t>
      </w:r>
    </w:p>
    <w:p w14:paraId="2D37C1B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（二）基金托管费的计提比例和计提方法</w:t>
      </w:r>
    </w:p>
    <w:p w14:paraId="4F0E44A5" w14:textId="14F6DA0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本基金的托管费按前一日的基金资产净值扣除本基金托管人自身托管部分基金之后的基金资产净值（若为负数，则取0）的0.</w:t>
      </w:r>
      <w:r>
        <w:rPr>
          <w:rFonts w:asciiTheme="minorEastAsia" w:eastAsiaTheme="minorEastAsia" w:hAnsiTheme="minorEastAsia" w:cs="Arial"/>
          <w:sz w:val="24"/>
        </w:rPr>
        <w:t>15</w:t>
      </w:r>
      <w:r>
        <w:rPr>
          <w:rFonts w:asciiTheme="minorEastAsia" w:eastAsiaTheme="minorEastAsia" w:hAnsiTheme="minorEastAsia" w:cs="Arial" w:hint="eastAsia"/>
          <w:sz w:val="24"/>
        </w:rPr>
        <w:t>%年费率计提，基金托管人对基金财产中持有的自身托管的基金部分免收托管费。托管费的计算方法如下：</w:t>
      </w:r>
    </w:p>
    <w:p w14:paraId="716C4142" w14:textId="55AE2BB6"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H＝E×0</w:t>
      </w:r>
      <w:r>
        <w:rPr>
          <w:rFonts w:asciiTheme="minorEastAsia" w:eastAsiaTheme="minorEastAsia" w:hAnsiTheme="minorEastAsia" w:cs="Arial"/>
          <w:sz w:val="24"/>
        </w:rPr>
        <w:t>.15%</w:t>
      </w:r>
      <w:r>
        <w:rPr>
          <w:rFonts w:asciiTheme="minorEastAsia" w:eastAsiaTheme="minorEastAsia" w:hAnsiTheme="minorEastAsia" w:cs="Arial" w:hint="eastAsia"/>
          <w:sz w:val="24"/>
        </w:rPr>
        <w:t>÷当年天数</w:t>
      </w:r>
    </w:p>
    <w:p w14:paraId="6110809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H为每日应计提的基金托管费</w:t>
      </w:r>
    </w:p>
    <w:p w14:paraId="5121947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E为前一日的基金资产净值扣除本基金托管人自身托管部分基金之后的基金资产净值（若为负数，则取0）</w:t>
      </w:r>
    </w:p>
    <w:p w14:paraId="104A80B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（三）销售服务费的计提比例和计提方法</w:t>
      </w:r>
    </w:p>
    <w:p w14:paraId="153999C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本基金A类基金份额不收取销售服务费，C类基金份额的销售服务费按前一日C类基金份额资产净值的0.</w:t>
      </w:r>
      <w:r>
        <w:rPr>
          <w:rFonts w:asciiTheme="minorEastAsia" w:eastAsiaTheme="minorEastAsia" w:hAnsiTheme="minorEastAsia" w:cs="Arial"/>
          <w:sz w:val="24"/>
        </w:rPr>
        <w:t>4</w:t>
      </w:r>
      <w:r>
        <w:rPr>
          <w:rFonts w:asciiTheme="minorEastAsia" w:eastAsiaTheme="minorEastAsia" w:hAnsiTheme="minorEastAsia" w:cs="Arial" w:hint="eastAsia"/>
          <w:sz w:val="24"/>
        </w:rPr>
        <w:t>0%年费率计提。销售服务费的计算方法如下：</w:t>
      </w:r>
    </w:p>
    <w:p w14:paraId="5DCCDC8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H＝E×0.</w:t>
      </w:r>
      <w:r>
        <w:rPr>
          <w:rFonts w:asciiTheme="minorEastAsia" w:eastAsiaTheme="minorEastAsia" w:hAnsiTheme="minorEastAsia" w:cs="Arial"/>
          <w:sz w:val="24"/>
        </w:rPr>
        <w:t>4</w:t>
      </w:r>
      <w:r>
        <w:rPr>
          <w:rFonts w:asciiTheme="minorEastAsia" w:eastAsiaTheme="minorEastAsia" w:hAnsiTheme="minorEastAsia" w:cs="Arial" w:hint="eastAsia"/>
          <w:sz w:val="24"/>
        </w:rPr>
        <w:t>0%÷当年天数</w:t>
      </w:r>
    </w:p>
    <w:p w14:paraId="173414B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H为C类基金份额每日应计提的销售服务费</w:t>
      </w:r>
    </w:p>
    <w:p w14:paraId="440B476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E为C类基金份额前一日基金资产净值</w:t>
      </w:r>
    </w:p>
    <w:bookmarkEnd w:id="93"/>
    <w:p w14:paraId="7FBF50F2" w14:textId="48314D94"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（四）基金的证券交易结算费用、基金的银行汇划费用、基金相关账户开户和维护费用、</w:t>
      </w:r>
      <w:r>
        <w:rPr>
          <w:rFonts w:ascii="宋体" w:hAnsi="宋体" w:hint="eastAsia"/>
          <w:bCs/>
          <w:sz w:val="24"/>
        </w:rPr>
        <w:t>因投资港股通标的证券而产生的各项合理费用、</w:t>
      </w:r>
      <w:r>
        <w:rPr>
          <w:rFonts w:hint="eastAsia"/>
          <w:bCs/>
          <w:sz w:val="24"/>
        </w:rPr>
        <w:t>基金管理人运用基金财产申购、赎回非自身管理的其他基金所产生的申购费、赎回费、销售服务费等销售费用、</w:t>
      </w:r>
      <w:r>
        <w:rPr>
          <w:rFonts w:asciiTheme="minorEastAsia" w:eastAsiaTheme="minorEastAsia" w:hAnsiTheme="minorEastAsia" w:cs="Arial" w:hint="eastAsia"/>
          <w:sz w:val="24"/>
        </w:rPr>
        <w:t>《基金合同》生效后与基金相关的信息披露费用、基金份额持有人</w:t>
      </w:r>
      <w:r>
        <w:rPr>
          <w:rFonts w:asciiTheme="minorEastAsia" w:eastAsiaTheme="minorEastAsia" w:hAnsiTheme="minorEastAsia" w:cs="Arial" w:hint="eastAsia"/>
          <w:sz w:val="24"/>
        </w:rPr>
        <w:lastRenderedPageBreak/>
        <w:t>大会费用、《基金合同》生效后与基金相关的会计师费、审计费、律师费</w:t>
      </w:r>
      <w:r>
        <w:rPr>
          <w:rFonts w:asciiTheme="minorEastAsia" w:eastAsiaTheme="minorEastAsia" w:hAnsiTheme="minorEastAsia" w:cs="Arial"/>
          <w:sz w:val="24"/>
        </w:rPr>
        <w:t>和</w:t>
      </w:r>
      <w:r>
        <w:rPr>
          <w:rFonts w:asciiTheme="minorEastAsia" w:eastAsiaTheme="minorEastAsia" w:hAnsiTheme="minorEastAsia" w:cs="Arial" w:hint="eastAsia"/>
          <w:sz w:val="24"/>
        </w:rPr>
        <w:t>诉讼费、仲裁费等根据有关法律法规、《基金合同》及相应协议的规定，列入当期基金费用。</w:t>
      </w:r>
    </w:p>
    <w:p w14:paraId="06D93A2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14:paraId="5697F52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本基金终止清算时所发生合理费用，按实际支出额从基金财产中扣除。</w:t>
      </w:r>
    </w:p>
    <w:p w14:paraId="0E8DE05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（五）不列入基金费用的项目</w:t>
      </w:r>
    </w:p>
    <w:p w14:paraId="73E39FC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合同》生效前的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w:t>
      </w:r>
    </w:p>
    <w:p w14:paraId="7E76588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（六）基金管理费、基金托管费和销售服务费的复核程序、支付方式和时间</w:t>
      </w:r>
    </w:p>
    <w:p w14:paraId="1D2F4A5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1.复核程序</w:t>
      </w:r>
    </w:p>
    <w:p w14:paraId="3A4321CD" w14:textId="30AFB4E8"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对基金管理人计提的基金管理费、基金托管费等，根据本托管协议和《基金合同》的有关规定进行复核。因涉及相关数据，应付销售服务费的计算和复核工作由基金管理人完成，相关信息以登记机构计算结果为准，基金托管人不承担复核责任。</w:t>
      </w:r>
    </w:p>
    <w:p w14:paraId="5DAAEBF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2.支付方式和时间</w:t>
      </w:r>
    </w:p>
    <w:p w14:paraId="012C00E3" w14:textId="0B71AE11"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基金管理费、基金托管费每日计提，逐日累计至每月月末，按月支付。由基金托管人根据与基金管理人核对一致的财务数据，基金管理费、基金托管费自动在月初5</w:t>
      </w:r>
      <w:proofErr w:type="gramStart"/>
      <w:r>
        <w:rPr>
          <w:rFonts w:asciiTheme="minorEastAsia" w:eastAsiaTheme="minorEastAsia" w:hAnsiTheme="minorEastAsia" w:cs="Arial" w:hint="eastAsia"/>
          <w:sz w:val="24"/>
        </w:rPr>
        <w:t>个</w:t>
      </w:r>
      <w:proofErr w:type="gramEnd"/>
      <w:r>
        <w:rPr>
          <w:rFonts w:asciiTheme="minorEastAsia" w:eastAsiaTheme="minorEastAsia" w:hAnsiTheme="minorEastAsia" w:cs="Arial" w:hint="eastAsia"/>
          <w:sz w:val="24"/>
        </w:rPr>
        <w:t>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28B2593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销售服务费每日计提。</w:t>
      </w:r>
    </w:p>
    <w:p w14:paraId="5D14E6C5" w14:textId="232F6FBC"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（1）基金管理人</w:t>
      </w:r>
    </w:p>
    <w:p w14:paraId="05E60D54" w14:textId="172CD6A2"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659A09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若遇法定节假日、休息日或不可抗力等致使无法按时支付的，顺延至最近可支付日支付。</w:t>
      </w:r>
    </w:p>
    <w:p w14:paraId="6165F0F3" w14:textId="2E32C9C9"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w:t>
      </w:r>
      <w:proofErr w:type="gramStart"/>
      <w:r>
        <w:rPr>
          <w:rFonts w:asciiTheme="minorEastAsia" w:eastAsiaTheme="minorEastAsia" w:hAnsiTheme="minorEastAsia" w:cs="Arial" w:hint="eastAsia"/>
          <w:sz w:val="24"/>
        </w:rPr>
        <w:t>非基金</w:t>
      </w:r>
      <w:proofErr w:type="gramEnd"/>
      <w:r>
        <w:rPr>
          <w:rFonts w:asciiTheme="minorEastAsia" w:eastAsiaTheme="minorEastAsia" w:hAnsiTheme="minorEastAsia" w:cs="Arial" w:hint="eastAsia"/>
          <w:sz w:val="24"/>
        </w:rPr>
        <w:t>管理人的其他销售机构</w:t>
      </w:r>
    </w:p>
    <w:p w14:paraId="1ED99503" w14:textId="167FAB5B"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对于投资者持续持有期限未超过一年（即365天，下同）的C类基金份额计提的销售服务费，逐日累计至每月月末，按月支付。自动在月初5</w:t>
      </w:r>
      <w:proofErr w:type="gramStart"/>
      <w:r>
        <w:rPr>
          <w:rFonts w:asciiTheme="minorEastAsia" w:eastAsiaTheme="minorEastAsia" w:hAnsiTheme="minorEastAsia" w:cs="Arial" w:hint="eastAsia"/>
          <w:sz w:val="24"/>
        </w:rPr>
        <w:t>个</w:t>
      </w:r>
      <w:proofErr w:type="gramEnd"/>
      <w:r>
        <w:rPr>
          <w:rFonts w:asciiTheme="minorEastAsia" w:eastAsiaTheme="minorEastAsia" w:hAnsiTheme="minorEastAsia" w:cs="Arial" w:hint="eastAsia"/>
          <w:sz w:val="24"/>
        </w:rPr>
        <w:t>工作日内按照指定的账户路径从基金财产中一次性支付给登记机构，由登记机构代付给各个基金销售机构。费用自动扣划后，基金管理人应进行核对，如发现数据不符，及时联系基金托管人协商解决。</w:t>
      </w:r>
    </w:p>
    <w:p w14:paraId="17BB7934" w14:textId="5CD05BFE"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对于投资者持续持有期限超过一年的C类基金份额继续计提的销售服务费，在投资者赎回基金份额或基金合同终止时，随赎回款（或清算款）一并返还给投资者。</w:t>
      </w:r>
    </w:p>
    <w:p w14:paraId="0E258042" w14:textId="47814A1E"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若遇法定节假日、休息日或不可抗力等致使无法按时支付的，顺延至最近可支付日支付。</w:t>
      </w:r>
    </w:p>
    <w:p w14:paraId="14C9CF5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在基金份额赎回或基金合同终止的情形发生时，基金投资者实际收到的款项</w:t>
      </w:r>
      <w:r>
        <w:rPr>
          <w:rFonts w:asciiTheme="minorEastAsia" w:eastAsiaTheme="minorEastAsia" w:hAnsiTheme="minorEastAsia" w:cs="Arial" w:hint="eastAsia"/>
          <w:sz w:val="24"/>
        </w:rPr>
        <w:lastRenderedPageBreak/>
        <w:t>可能与按披露的基金份额净值计算的结果存在差异。投资者的实际赎回款（或清算款）以登记机构确认数据为准。</w:t>
      </w:r>
    </w:p>
    <w:p w14:paraId="1D2303E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在不违反法律法规、基金合同的约定的情况下，基金管理人可根据基金实际运作情况和市场环境变化，经履行适当程序后，对本基金的销售服务费的计提或收取方式进行调整。</w:t>
      </w:r>
    </w:p>
    <w:p w14:paraId="6359BEE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首期支付基金管理费、销售服务费前，基金管理人应向托管人出具正式函件指定基金管理费、销售服务费的收款账户。基金管理人如需要变更此等账户，应提前5个工作日向托管人出具书面的收款账户变更通知。</w:t>
      </w:r>
    </w:p>
    <w:p w14:paraId="04FEC6F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（七）违规处理方式</w:t>
      </w:r>
    </w:p>
    <w:p w14:paraId="3D24D4E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90807C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期间的基金费用</w:t>
      </w:r>
    </w:p>
    <w:p w14:paraId="541EDB5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本基金实施</w:t>
      </w:r>
      <w:proofErr w:type="gramStart"/>
      <w:r>
        <w:rPr>
          <w:rFonts w:asciiTheme="minorEastAsia" w:eastAsiaTheme="minorEastAsia" w:hAnsiTheme="minorEastAsia" w:cs="Arial" w:hint="eastAsia"/>
          <w:sz w:val="24"/>
        </w:rPr>
        <w:t>侧袋机制</w:t>
      </w:r>
      <w:proofErr w:type="gramEnd"/>
      <w:r>
        <w:rPr>
          <w:rFonts w:asciiTheme="minorEastAsia" w:eastAsiaTheme="minorEastAsia" w:hAnsiTheme="minorEastAsia" w:cs="Arial" w:hint="eastAsia"/>
          <w:sz w:val="24"/>
        </w:rPr>
        <w:t>的，</w:t>
      </w:r>
      <w:proofErr w:type="gramStart"/>
      <w:r>
        <w:rPr>
          <w:rFonts w:asciiTheme="minorEastAsia" w:eastAsiaTheme="minorEastAsia" w:hAnsiTheme="minorEastAsia" w:cs="Arial" w:hint="eastAsia"/>
          <w:sz w:val="24"/>
        </w:rPr>
        <w:t>与侧袋账户</w:t>
      </w:r>
      <w:proofErr w:type="gramEnd"/>
      <w:r>
        <w:rPr>
          <w:rFonts w:asciiTheme="minorEastAsia" w:eastAsiaTheme="minorEastAsia" w:hAnsiTheme="minorEastAsia" w:cs="Arial" w:hint="eastAsia"/>
          <w:sz w:val="24"/>
        </w:rPr>
        <w:t>有关的费用可以</w:t>
      </w:r>
      <w:proofErr w:type="gramStart"/>
      <w:r>
        <w:rPr>
          <w:rFonts w:asciiTheme="minorEastAsia" w:eastAsiaTheme="minorEastAsia" w:hAnsiTheme="minorEastAsia" w:cs="Arial" w:hint="eastAsia"/>
          <w:sz w:val="24"/>
        </w:rPr>
        <w:t>从侧袋账户</w:t>
      </w:r>
      <w:proofErr w:type="gramEnd"/>
      <w:r>
        <w:rPr>
          <w:rFonts w:asciiTheme="minorEastAsia" w:eastAsiaTheme="minorEastAsia" w:hAnsiTheme="minorEastAsia" w:cs="Arial" w:hint="eastAsia"/>
          <w:sz w:val="24"/>
        </w:rPr>
        <w:t>中列支，但应</w:t>
      </w:r>
      <w:proofErr w:type="gramStart"/>
      <w:r>
        <w:rPr>
          <w:rFonts w:asciiTheme="minorEastAsia" w:eastAsiaTheme="minorEastAsia" w:hAnsiTheme="minorEastAsia" w:cs="Arial" w:hint="eastAsia"/>
          <w:sz w:val="24"/>
        </w:rPr>
        <w:t>待侧袋</w:t>
      </w:r>
      <w:proofErr w:type="gramEnd"/>
      <w:r>
        <w:rPr>
          <w:rFonts w:asciiTheme="minorEastAsia" w:eastAsiaTheme="minorEastAsia" w:hAnsiTheme="minorEastAsia" w:cs="Arial" w:hint="eastAsia"/>
          <w:sz w:val="24"/>
        </w:rPr>
        <w:t>账户资产变现后方可列支，有关费用可酌情收取或减免，但不得收取基金管理费，详见招募说明书的规定或相关公告。</w:t>
      </w:r>
    </w:p>
    <w:p w14:paraId="3ED1A373" w14:textId="77777777" w:rsidR="007764FF" w:rsidRDefault="007764FF">
      <w:pPr>
        <w:adjustRightInd w:val="0"/>
        <w:snapToGrid w:val="0"/>
        <w:rPr>
          <w:rFonts w:asciiTheme="minorEastAsia" w:eastAsiaTheme="minorEastAsia" w:hAnsiTheme="minorEastAsia" w:cs="Arial"/>
          <w:sz w:val="24"/>
        </w:rPr>
      </w:pPr>
    </w:p>
    <w:p w14:paraId="0B783C83" w14:textId="77777777" w:rsidR="007764FF" w:rsidRDefault="008F7605">
      <w:pPr>
        <w:pStyle w:val="2"/>
        <w:jc w:val="center"/>
        <w:rPr>
          <w:rFonts w:asciiTheme="minorEastAsia" w:eastAsiaTheme="minorEastAsia" w:hAnsiTheme="minorEastAsia"/>
          <w:sz w:val="30"/>
        </w:rPr>
      </w:pPr>
      <w:bookmarkStart w:id="94" w:name="_Toc124325896"/>
      <w:r>
        <w:rPr>
          <w:rFonts w:asciiTheme="minorEastAsia" w:eastAsiaTheme="minorEastAsia" w:hAnsiTheme="minorEastAsia" w:hint="eastAsia"/>
          <w:sz w:val="30"/>
        </w:rPr>
        <w:t>十二、基金份额持有人名册的保管</w:t>
      </w:r>
      <w:bookmarkEnd w:id="94"/>
    </w:p>
    <w:p w14:paraId="1EB616E1" w14:textId="46053DF6"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按照法律法规的规定执行。如不能妥善保管，则按相关法规承担责任。</w:t>
      </w:r>
    </w:p>
    <w:p w14:paraId="06098D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在基金托管人要求或编制中期报告和年度报告前，基金管理人应将有关资料送交基金托管人，不得无故拒绝或延误提供，并保证其真实性、准确性和完整性。</w:t>
      </w:r>
      <w:r>
        <w:rPr>
          <w:rFonts w:asciiTheme="minorEastAsia" w:eastAsiaTheme="minorEastAsia" w:hAnsiTheme="minorEastAsia" w:hint="eastAsia"/>
          <w:kern w:val="0"/>
          <w:sz w:val="24"/>
        </w:rPr>
        <w:t>基金托管人不得将所保管的基金份额持有人名册用于基金托管业务以外的其他用途，并应遵守保密义务，法律法规另有规定或有关机关另有要求的除外。</w:t>
      </w:r>
    </w:p>
    <w:p w14:paraId="3780BA65" w14:textId="77777777" w:rsidR="007764FF" w:rsidRDefault="007764FF">
      <w:pPr>
        <w:adjustRightInd w:val="0"/>
        <w:snapToGrid w:val="0"/>
        <w:rPr>
          <w:rFonts w:asciiTheme="minorEastAsia" w:eastAsiaTheme="minorEastAsia" w:hAnsiTheme="minorEastAsia" w:cs="Arial"/>
          <w:sz w:val="24"/>
        </w:rPr>
      </w:pPr>
    </w:p>
    <w:p w14:paraId="607B8277" w14:textId="77777777" w:rsidR="007764FF" w:rsidRDefault="008F7605">
      <w:pPr>
        <w:pStyle w:val="2"/>
        <w:jc w:val="center"/>
        <w:rPr>
          <w:rFonts w:asciiTheme="minorEastAsia" w:eastAsiaTheme="minorEastAsia" w:hAnsiTheme="minorEastAsia"/>
          <w:sz w:val="30"/>
        </w:rPr>
      </w:pPr>
      <w:bookmarkStart w:id="95" w:name="_Toc124325897"/>
      <w:r>
        <w:rPr>
          <w:rFonts w:asciiTheme="minorEastAsia" w:eastAsiaTheme="minorEastAsia" w:hAnsiTheme="minorEastAsia" w:hint="eastAsia"/>
          <w:sz w:val="30"/>
        </w:rPr>
        <w:t>十三、基金有关文件档案的保存</w:t>
      </w:r>
      <w:bookmarkEnd w:id="95"/>
    </w:p>
    <w:p w14:paraId="7441454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（一）档案保存</w:t>
      </w:r>
    </w:p>
    <w:p w14:paraId="070AD39D" w14:textId="1DC38203"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法律法规规定的期限保管。</w:t>
      </w:r>
    </w:p>
    <w:p w14:paraId="6E94048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（二）合同档案的建立</w:t>
      </w:r>
    </w:p>
    <w:p w14:paraId="3F7F662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1.基金管理人签署重大合同文本后，应及时将合同文本正本送达基金托管人处。</w:t>
      </w:r>
    </w:p>
    <w:p w14:paraId="157E79E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2.基金管理人应及时将与本基金账务处理、资金划拨等有关的合同、协议传真基金托管人。</w:t>
      </w:r>
    </w:p>
    <w:p w14:paraId="3016577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（三）变更与协助</w:t>
      </w:r>
    </w:p>
    <w:p w14:paraId="64259EC8" w14:textId="77777777" w:rsidR="007764FF" w:rsidRDefault="008F7605">
      <w:pPr>
        <w:adjustRightInd w:val="0"/>
        <w:snapToGrid w:val="0"/>
        <w:ind w:firstLineChars="200"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若基金</w:t>
      </w:r>
      <w:proofErr w:type="gramEnd"/>
      <w:r>
        <w:rPr>
          <w:rFonts w:asciiTheme="minorEastAsia" w:eastAsiaTheme="minorEastAsia" w:hAnsiTheme="minorEastAsia" w:cs="Arial" w:hint="eastAsia"/>
          <w:sz w:val="24"/>
        </w:rPr>
        <w:t>管理人/基金托管人发生变更，未变更的一方有义务协助变更后的接任</w:t>
      </w:r>
      <w:r>
        <w:rPr>
          <w:rFonts w:asciiTheme="minorEastAsia" w:eastAsiaTheme="minorEastAsia" w:hAnsiTheme="minorEastAsia" w:cs="Arial" w:hint="eastAsia"/>
          <w:sz w:val="24"/>
        </w:rPr>
        <w:lastRenderedPageBreak/>
        <w:t>人接收相应文件。</w:t>
      </w:r>
    </w:p>
    <w:p w14:paraId="262C8E6E" w14:textId="74A33D79" w:rsidR="007764FF" w:rsidRDefault="007764FF">
      <w:pPr>
        <w:adjustRightInd w:val="0"/>
        <w:snapToGrid w:val="0"/>
        <w:rPr>
          <w:rFonts w:asciiTheme="minorEastAsia" w:eastAsiaTheme="minorEastAsia" w:hAnsiTheme="minorEastAsia"/>
          <w:sz w:val="30"/>
          <w:szCs w:val="30"/>
        </w:rPr>
      </w:pPr>
    </w:p>
    <w:p w14:paraId="1660D7DF" w14:textId="77777777" w:rsidR="007764FF" w:rsidRDefault="008F7605">
      <w:pPr>
        <w:pStyle w:val="2"/>
        <w:jc w:val="center"/>
        <w:rPr>
          <w:rFonts w:asciiTheme="minorEastAsia" w:eastAsiaTheme="minorEastAsia" w:hAnsiTheme="minorEastAsia"/>
          <w:sz w:val="30"/>
        </w:rPr>
      </w:pPr>
      <w:bookmarkStart w:id="96" w:name="_Toc124325898"/>
      <w:r>
        <w:rPr>
          <w:rFonts w:asciiTheme="minorEastAsia" w:eastAsiaTheme="minorEastAsia" w:hAnsiTheme="minorEastAsia" w:hint="eastAsia"/>
          <w:sz w:val="30"/>
        </w:rPr>
        <w:t>十四、基金管理人和基金托管人的更换</w:t>
      </w:r>
      <w:bookmarkEnd w:id="96"/>
    </w:p>
    <w:p w14:paraId="1C464B8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（一）基金管理人职责终止的情形</w:t>
      </w:r>
    </w:p>
    <w:p w14:paraId="4FCD02E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1.基金管理人职责终止的情形</w:t>
      </w:r>
    </w:p>
    <w:p w14:paraId="06F5A8A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有下列情形之一的，基金管理人职责终止：</w:t>
      </w:r>
    </w:p>
    <w:p w14:paraId="195483E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(1)被依法取消基金管理资格；</w:t>
      </w:r>
    </w:p>
    <w:p w14:paraId="5A5548A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(2)依法解散、被依法撤销或被依法宣告破产；</w:t>
      </w:r>
    </w:p>
    <w:p w14:paraId="14D1F62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(3)被基金份额持有人大会解任；</w:t>
      </w:r>
    </w:p>
    <w:p w14:paraId="55DE1AA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(4)法律法规及中国证监会规定的和《基金合同》约定的其他情形。</w:t>
      </w:r>
    </w:p>
    <w:p w14:paraId="44B2422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2.基金管理人的更换程序</w:t>
      </w:r>
    </w:p>
    <w:p w14:paraId="059FB95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更换基金管理人必须依照如下程序进行：</w:t>
      </w:r>
    </w:p>
    <w:p w14:paraId="5B951D4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(1)提名：</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管理人由基金托管人</w:t>
      </w:r>
      <w:r>
        <w:rPr>
          <w:rFonts w:asciiTheme="minorEastAsia" w:eastAsiaTheme="minorEastAsia" w:hAnsiTheme="minorEastAsia" w:hint="eastAsia"/>
          <w:sz w:val="24"/>
        </w:rPr>
        <w:t>或由单独或合计持有10%以上（含10%）基金份额的基金份额持有人</w:t>
      </w:r>
      <w:r>
        <w:rPr>
          <w:rFonts w:asciiTheme="minorEastAsia" w:eastAsiaTheme="minorEastAsia" w:hAnsiTheme="minorEastAsia" w:cs="Arial" w:hint="eastAsia"/>
          <w:sz w:val="24"/>
        </w:rPr>
        <w:t>提名；</w:t>
      </w:r>
    </w:p>
    <w:p w14:paraId="0291509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BCD66E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(3)临时基金管理人：</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管理人产生之前，由中国证监会指定临时基金管理人；</w:t>
      </w:r>
    </w:p>
    <w:p w14:paraId="31F09E2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(4)备案：基金份额持有人大会更换基金管理人的决议须报中国证监会备案；</w:t>
      </w:r>
    </w:p>
    <w:p w14:paraId="76F03BE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(5)公告：基金管理人更换后，由基金托管人在更换基金管理人的基金份额持有人大会决议生效后依照《信息披露办法》的有关规定在规定媒介公告；</w:t>
      </w:r>
    </w:p>
    <w:p w14:paraId="7936B87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(6)交接：基金管理人职责终止的，基金管理人应妥善保管基金管理业务资料，及时向临时基金管理人或</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管理人办理基金管理业务的移交手续，临时基金管理人或</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管理人应及时接收。临时基金管理人或</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管理人应与基金托管人核对基金资产总值和净值；</w:t>
      </w:r>
    </w:p>
    <w:p w14:paraId="434F022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(7)审计：基金管理人职责终止的，应当按照法律法规规定聘请会计师事务所对基金财产进行审计，并将审计结果予以公告，同时报中国证监会备案；审计费用由基金资产承担；</w:t>
      </w:r>
    </w:p>
    <w:p w14:paraId="491234B6" w14:textId="77777777" w:rsidR="007764FF" w:rsidRDefault="008F7605">
      <w:pPr>
        <w:adjustRightInd w:val="0"/>
        <w:snapToGrid w:val="0"/>
        <w:ind w:firstLineChars="200" w:firstLine="480"/>
        <w:rPr>
          <w:rFonts w:asciiTheme="minorEastAsia" w:eastAsiaTheme="minorEastAsia" w:hAnsiTheme="minorEastAsia"/>
          <w:sz w:val="30"/>
          <w:szCs w:val="30"/>
        </w:rPr>
      </w:pPr>
      <w:r>
        <w:rPr>
          <w:rFonts w:asciiTheme="minorEastAsia" w:eastAsiaTheme="minorEastAsia" w:hAnsiTheme="minorEastAsia" w:cs="Arial" w:hint="eastAsia"/>
          <w:sz w:val="24"/>
        </w:rPr>
        <w:t>(8)基金名称变更：基金管理人更换后，如果原任或</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管理人要求，应按其要求替换或删除基金名称中与</w:t>
      </w:r>
      <w:proofErr w:type="gramStart"/>
      <w:r>
        <w:rPr>
          <w:rFonts w:asciiTheme="minorEastAsia" w:eastAsiaTheme="minorEastAsia" w:hAnsiTheme="minorEastAsia" w:cs="Arial" w:hint="eastAsia"/>
          <w:sz w:val="24"/>
        </w:rPr>
        <w:t>原基金</w:t>
      </w:r>
      <w:proofErr w:type="gramEnd"/>
      <w:r>
        <w:rPr>
          <w:rFonts w:asciiTheme="minorEastAsia" w:eastAsiaTheme="minorEastAsia" w:hAnsiTheme="minorEastAsia" w:cs="Arial" w:hint="eastAsia"/>
          <w:sz w:val="24"/>
        </w:rPr>
        <w:t>管理人有关的名称字样。</w:t>
      </w:r>
    </w:p>
    <w:p w14:paraId="5A7CF9D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（二）基金托管人职责终止的情形</w:t>
      </w:r>
    </w:p>
    <w:p w14:paraId="0789912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1.基金托管人职责终止的情形</w:t>
      </w:r>
    </w:p>
    <w:p w14:paraId="4391B1F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有下列情形之一的，基金托管人职责终止：</w:t>
      </w:r>
    </w:p>
    <w:p w14:paraId="47666C0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(1)被依法取消基金托管资格；</w:t>
      </w:r>
    </w:p>
    <w:p w14:paraId="3F4A89E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(2)依法解散、被依法撤销或被依法宣告破产；</w:t>
      </w:r>
    </w:p>
    <w:p w14:paraId="2999427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(3)被基金份额持有人大会解任；</w:t>
      </w:r>
    </w:p>
    <w:p w14:paraId="7797265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(4)法律法规及中国证监会规定的和《基金合同》约定的其他情形。</w:t>
      </w:r>
    </w:p>
    <w:p w14:paraId="7CA5EAE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2.基金托管人的更换程序</w:t>
      </w:r>
    </w:p>
    <w:p w14:paraId="0430CAE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(1)提名：</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托管人由基金管理人</w:t>
      </w:r>
      <w:r>
        <w:rPr>
          <w:rFonts w:asciiTheme="minorEastAsia" w:eastAsiaTheme="minorEastAsia" w:hAnsiTheme="minorEastAsia" w:hint="eastAsia"/>
          <w:sz w:val="24"/>
        </w:rPr>
        <w:t>或由单独或合计持有10%以上（含10%)基金份额的基金份额持有人</w:t>
      </w:r>
      <w:r>
        <w:rPr>
          <w:rFonts w:asciiTheme="minorEastAsia" w:eastAsiaTheme="minorEastAsia" w:hAnsiTheme="minorEastAsia" w:cs="Arial" w:hint="eastAsia"/>
          <w:sz w:val="24"/>
        </w:rPr>
        <w:t>提名；</w:t>
      </w:r>
    </w:p>
    <w:p w14:paraId="5EE3C71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(2)决议：基金份额持有人大会在基金托管人职责终止后6个月内对被提名的</w:t>
      </w:r>
      <w:r>
        <w:rPr>
          <w:rFonts w:asciiTheme="minorEastAsia" w:eastAsiaTheme="minorEastAsia" w:hAnsiTheme="minorEastAsia" w:cs="Arial" w:hint="eastAsia"/>
          <w:sz w:val="24"/>
        </w:rPr>
        <w:lastRenderedPageBreak/>
        <w:t>基金托管人形成决议，该决议需经参加大会的基金份额持有人所持表决权的三分之二以上（含三分之二）表决通过，决议自表决通过之日起生效；</w:t>
      </w:r>
    </w:p>
    <w:p w14:paraId="6358D34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(3)临时基金托管人：</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托管人产生之前，由中国证监会指定临时基金托管人；</w:t>
      </w:r>
    </w:p>
    <w:p w14:paraId="61AD5D0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(4)备案：基金份额持有人大会更换基金托管人的决议须报中国证监会备案；</w:t>
      </w:r>
    </w:p>
    <w:p w14:paraId="52D6850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(5)公告：基金托管人更换后，由基金管理人在更换基金托管人的基金份额持有人大会决议生效后依照《信息披露办法》的有关规定在规定媒介公告；</w:t>
      </w:r>
    </w:p>
    <w:p w14:paraId="0ABAFD5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托管人或者临时基金托管人应当及时接收。</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托管人或临时基金托管人应与基金管理人核对基金资产总值和净值；</w:t>
      </w:r>
    </w:p>
    <w:p w14:paraId="4295E69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(7)审计：基金托管人职责终止的，应当按照法律法规规定聘请会计师事务所对基金财产进行审计，并将审计结果予以公告，同时报中国证监会备案；审计费用由基金资产承担。</w:t>
      </w:r>
    </w:p>
    <w:p w14:paraId="0BBC35F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（三）基金管理人与基金托管人同时更换的条件和程序</w:t>
      </w:r>
    </w:p>
    <w:p w14:paraId="4E6E983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1.提名：如果基金管理人和基金托管人同时更换，由单独或合计持有基金总份额10%以上（含10%）的基金份额持有人提名</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管理人和基金托管人；</w:t>
      </w:r>
    </w:p>
    <w:p w14:paraId="03D2A09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2.基金管理人和基金托管人的更换分别按上述程序进行；</w:t>
      </w:r>
    </w:p>
    <w:p w14:paraId="4267B18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3.公告：</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管理人和</w:t>
      </w:r>
      <w:proofErr w:type="gramStart"/>
      <w:r>
        <w:rPr>
          <w:rFonts w:asciiTheme="minorEastAsia" w:eastAsiaTheme="minorEastAsia" w:hAnsiTheme="minorEastAsia" w:cs="Arial" w:hint="eastAsia"/>
          <w:sz w:val="24"/>
        </w:rPr>
        <w:t>新任基金</w:t>
      </w:r>
      <w:proofErr w:type="gramEnd"/>
      <w:r>
        <w:rPr>
          <w:rFonts w:asciiTheme="minorEastAsia" w:eastAsiaTheme="minorEastAsia" w:hAnsiTheme="minorEastAsia" w:cs="Arial" w:hint="eastAsia"/>
          <w:sz w:val="24"/>
        </w:rPr>
        <w:t>托管人应在更换基金管理人和基金托管人的基金份额持有人大会决议生效后依照《信息披露办法》的有关规定在规定媒介上联合公告。</w:t>
      </w:r>
    </w:p>
    <w:p w14:paraId="1F1328E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3D149549" w14:textId="77777777" w:rsidR="007764FF" w:rsidRDefault="007764FF">
      <w:pPr>
        <w:adjustRightInd w:val="0"/>
        <w:snapToGrid w:val="0"/>
        <w:rPr>
          <w:rFonts w:asciiTheme="minorEastAsia" w:eastAsiaTheme="minorEastAsia" w:hAnsiTheme="minorEastAsia" w:cs="Arial"/>
          <w:sz w:val="24"/>
        </w:rPr>
      </w:pPr>
    </w:p>
    <w:p w14:paraId="59AFDEEB" w14:textId="77777777" w:rsidR="007764FF" w:rsidRDefault="008F7605">
      <w:pPr>
        <w:pStyle w:val="2"/>
        <w:jc w:val="center"/>
        <w:rPr>
          <w:rFonts w:asciiTheme="minorEastAsia" w:eastAsiaTheme="minorEastAsia" w:hAnsiTheme="minorEastAsia"/>
          <w:sz w:val="30"/>
        </w:rPr>
      </w:pPr>
      <w:bookmarkStart w:id="97" w:name="_Toc124325899"/>
      <w:r>
        <w:rPr>
          <w:rFonts w:asciiTheme="minorEastAsia" w:eastAsiaTheme="minorEastAsia" w:hAnsiTheme="minorEastAsia" w:hint="eastAsia"/>
          <w:sz w:val="30"/>
        </w:rPr>
        <w:t>十五、禁止行为</w:t>
      </w:r>
      <w:bookmarkEnd w:id="97"/>
    </w:p>
    <w:p w14:paraId="4B07CF9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本协议当事人禁止从事的行为，包括但不限于：</w:t>
      </w:r>
    </w:p>
    <w:p w14:paraId="05B29A4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（一）基金管理人、基金托管人将其固有财产或者他人财产混同于基金财产从事证券投资。</w:t>
      </w:r>
    </w:p>
    <w:p w14:paraId="2FD4B2B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（二）基金管理人不公平地对待其管理的不同基金财产，基金托管人不公平地对待其托管的不同基金财产。</w:t>
      </w:r>
    </w:p>
    <w:p w14:paraId="0DD9D18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（三）基金管理人、基金托管人利用基金财产或职务之便为基金份额持有人以外的人牟取利益。</w:t>
      </w:r>
    </w:p>
    <w:p w14:paraId="784906B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（四）基金管理人、基金托管人向基金份额持有人违规承诺收益或者承担损失。</w:t>
      </w:r>
    </w:p>
    <w:p w14:paraId="24932A9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（五）基金管理人、基金托管人对他人泄露基金运作和管理过程中任何尚未按法律法规规定的方式公开披露的信息。</w:t>
      </w:r>
    </w:p>
    <w:p w14:paraId="3CD5BEC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（六）基金管理人在没有充足资金的情况下向基金托管人发出投资指令和赎回、分红资金的划拨指令，或违规向基金托管人发出指令。</w:t>
      </w:r>
    </w:p>
    <w:p w14:paraId="6F0546B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（七）基金管理人、基金托管人在行政上、财务上不独立，其高级管理人员</w:t>
      </w:r>
      <w:r>
        <w:rPr>
          <w:rFonts w:asciiTheme="minorEastAsia" w:eastAsiaTheme="minorEastAsia" w:hAnsiTheme="minorEastAsia" w:cs="Arial" w:hint="eastAsia"/>
          <w:sz w:val="24"/>
        </w:rPr>
        <w:lastRenderedPageBreak/>
        <w:t>和其他从业人员相互兼职。</w:t>
      </w:r>
    </w:p>
    <w:p w14:paraId="3876B39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14:paraId="3CD3C0D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九）基金财产用于下列投资或者活动：1.承销证券；2.违反规定向他人贷款或者提供担保；3.从事承担无限责任的投资；4.持有其他基金中基金；5.向其基金管理人、基金托管人出资；6.从事内幕交易、操纵证券交易价格及其他不正当的证券交易活动；7.持有具有复杂、衍生品性质的基金份额，包括分级基金份额和中国证监会认定的其他基金份额，但中国证监会认可或批准的特殊基金中基金除外；8</w:t>
      </w:r>
      <w:r>
        <w:rPr>
          <w:rFonts w:asciiTheme="minorEastAsia" w:eastAsiaTheme="minorEastAsia" w:hAnsiTheme="minorEastAsia" w:cs="Arial"/>
          <w:sz w:val="24"/>
        </w:rPr>
        <w:t>.</w:t>
      </w:r>
      <w:r>
        <w:rPr>
          <w:rFonts w:asciiTheme="minorEastAsia" w:eastAsiaTheme="minorEastAsia" w:hAnsiTheme="minorEastAsia" w:cs="Arial" w:hint="eastAsia"/>
          <w:sz w:val="24"/>
        </w:rPr>
        <w:t>法律、行政法规和中国证监会规定禁止的其他活动。</w:t>
      </w:r>
    </w:p>
    <w:p w14:paraId="2299683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（十）法律法规和《基金合同》禁止的其他行为，以及依照法律、行政法规有关规定，由中国证监会规定禁止基金管理人、基金托管人从事的其他行为。</w:t>
      </w:r>
    </w:p>
    <w:p w14:paraId="72401910" w14:textId="77777777" w:rsidR="007764FF" w:rsidRDefault="008F7605">
      <w:pPr>
        <w:adjustRightInd w:val="0"/>
        <w:snapToGrid w:val="0"/>
        <w:ind w:firstLineChars="200" w:firstLine="480"/>
        <w:rPr>
          <w:rFonts w:asciiTheme="minorEastAsia" w:eastAsiaTheme="minorEastAsia" w:hAnsiTheme="minorEastAsia"/>
          <w:sz w:val="30"/>
          <w:szCs w:val="30"/>
        </w:rPr>
      </w:pPr>
      <w:r>
        <w:rPr>
          <w:rFonts w:asciiTheme="minorEastAsia" w:eastAsiaTheme="minorEastAsia" w:hAnsiTheme="minorEastAsia" w:cs="Arial" w:hint="eastAsia"/>
          <w:sz w:val="24"/>
        </w:rPr>
        <w:t>（十一）法律法规或监管部门取消或变更上述限制，如适用于本基金，基金管理人在履行适当程序后，则本基金投资不再受相关限制或以变更后的规则为准。</w:t>
      </w:r>
    </w:p>
    <w:p w14:paraId="200E6A29" w14:textId="77777777" w:rsidR="007764FF" w:rsidRDefault="008F7605">
      <w:pPr>
        <w:pStyle w:val="2"/>
        <w:jc w:val="center"/>
        <w:rPr>
          <w:rFonts w:asciiTheme="minorEastAsia" w:eastAsiaTheme="minorEastAsia" w:hAnsiTheme="minorEastAsia"/>
          <w:sz w:val="30"/>
        </w:rPr>
      </w:pPr>
      <w:bookmarkStart w:id="98" w:name="_Toc124325900"/>
      <w:r>
        <w:rPr>
          <w:rFonts w:asciiTheme="minorEastAsia" w:eastAsiaTheme="minorEastAsia" w:hAnsiTheme="minorEastAsia" w:hint="eastAsia"/>
          <w:sz w:val="30"/>
        </w:rPr>
        <w:t>十六、托管协议的变更、终止与基金财产的清算</w:t>
      </w:r>
      <w:bookmarkEnd w:id="98"/>
    </w:p>
    <w:p w14:paraId="640B575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（一）托管协议的变更程序</w:t>
      </w:r>
    </w:p>
    <w:p w14:paraId="2223C55C" w14:textId="77777777" w:rsidR="007764FF" w:rsidRDefault="008F7605">
      <w:pPr>
        <w:adjustRightInd w:val="0"/>
        <w:snapToGrid w:val="0"/>
        <w:ind w:firstLineChars="200" w:firstLine="480"/>
        <w:rPr>
          <w:rFonts w:asciiTheme="minorEastAsia" w:eastAsiaTheme="minorEastAsia" w:hAnsiTheme="minorEastAsia"/>
          <w:sz w:val="30"/>
          <w:szCs w:val="30"/>
        </w:rPr>
      </w:pPr>
      <w:r>
        <w:rPr>
          <w:rFonts w:asciiTheme="minorEastAsia" w:eastAsiaTheme="minorEastAsia" w:hAnsiTheme="minorEastAsia" w:cs="Arial" w:hint="eastAsia"/>
          <w:sz w:val="24"/>
        </w:rPr>
        <w:t>本协议双方当事人经协商一致，可以对协议进行修改。修改后的新协议，其内容不得与《基金合同》的规定有任何冲突。</w:t>
      </w:r>
    </w:p>
    <w:p w14:paraId="515718D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（二）托管协议终止的情形</w:t>
      </w:r>
    </w:p>
    <w:p w14:paraId="1560AF5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1.《基金合同》终止；</w:t>
      </w:r>
    </w:p>
    <w:p w14:paraId="3933A87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2.基金托管人解散、依法被撤销、破产或由其他基金托管人接管基金资产；</w:t>
      </w:r>
    </w:p>
    <w:p w14:paraId="0DD3EEB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3.基金管理人解散、依法被撤销、破产或由其他基金管理人接管基金管理权；</w:t>
      </w:r>
    </w:p>
    <w:p w14:paraId="16790559"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4.发生法律法规或《基金合同》规定的终止事项。</w:t>
      </w:r>
    </w:p>
    <w:p w14:paraId="3BCEE34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（三）基金财产的清算</w:t>
      </w:r>
    </w:p>
    <w:p w14:paraId="0AF1DA4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1.基金财产清算小组：基金合同终止事由出现后，基金管理人组织基金财产清算小组并在中国证监会的监督下进行基金清算。</w:t>
      </w:r>
    </w:p>
    <w:p w14:paraId="7B4EEA0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D75A08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14:paraId="449D4B77" w14:textId="77777777" w:rsidR="007764FF" w:rsidRDefault="008F7605">
      <w:pPr>
        <w:tabs>
          <w:tab w:val="left" w:pos="7200"/>
        </w:tabs>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4.基金财产清算程序：</w:t>
      </w:r>
      <w:r>
        <w:rPr>
          <w:rFonts w:asciiTheme="minorEastAsia" w:eastAsiaTheme="minorEastAsia" w:hAnsiTheme="minorEastAsia" w:cs="Arial"/>
          <w:sz w:val="24"/>
        </w:rPr>
        <w:tab/>
      </w:r>
    </w:p>
    <w:p w14:paraId="6164F2F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（1）基金合同终止情形出现时，由基金财产清算小组统一接管基金财产；</w:t>
      </w:r>
    </w:p>
    <w:p w14:paraId="78C8D1C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（2）对基金财产和债权债务进行清理和确认；</w:t>
      </w:r>
    </w:p>
    <w:p w14:paraId="4B25A5E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（3）对基金财产进行估值和变现；</w:t>
      </w:r>
    </w:p>
    <w:p w14:paraId="7E5A4F4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（4）制作清算报告；</w:t>
      </w:r>
    </w:p>
    <w:p w14:paraId="69A0581E"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（5）聘请会计师事务所对清算报告进行外部审计，聘请律师事务所对清算报告出具法律意见书；</w:t>
      </w:r>
    </w:p>
    <w:p w14:paraId="4761648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（6）将清算报告报中国证监会备案并公告；</w:t>
      </w:r>
    </w:p>
    <w:p w14:paraId="7E5A123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（7）对基金剩余财产进行分配。</w:t>
      </w:r>
    </w:p>
    <w:p w14:paraId="6078AD6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5.基金财产清算的期限为6个月，但因本基金所持证券、基金的流动性受到限制而不能及时变现的，清算期限相应顺延。</w:t>
      </w:r>
    </w:p>
    <w:p w14:paraId="10A12CE6"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6.清算费用</w:t>
      </w:r>
    </w:p>
    <w:p w14:paraId="12443D4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lastRenderedPageBreak/>
        <w:t>清算费用是指基金财产清算小组在进行基金清算过程中发生的所有合理费用，清算费用由基金财产清算小组优先从基金剩余财产中支付。</w:t>
      </w:r>
    </w:p>
    <w:p w14:paraId="5EEFE92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7.基金财产清算剩余资产的分配</w:t>
      </w:r>
    </w:p>
    <w:p w14:paraId="34D0F3A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4F214AF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8.基金财产清算的公告</w:t>
      </w:r>
    </w:p>
    <w:p w14:paraId="4B4640D2"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清算过程中的有关重大事项须及时公告；基金财产清算报告</w:t>
      </w:r>
      <w:proofErr w:type="gramStart"/>
      <w:r>
        <w:rPr>
          <w:rFonts w:asciiTheme="minorEastAsia" w:eastAsiaTheme="minorEastAsia" w:hAnsiTheme="minorEastAsia" w:cs="Arial" w:hint="eastAsia"/>
          <w:sz w:val="24"/>
        </w:rPr>
        <w:t>经符合</w:t>
      </w:r>
      <w:proofErr w:type="gramEnd"/>
      <w:r>
        <w:rPr>
          <w:rFonts w:asciiTheme="minorEastAsia" w:eastAsiaTheme="minorEastAsia" w:hAnsiTheme="minorEastAsia" w:cs="Arial" w:hint="eastAsia"/>
          <w:sz w:val="24"/>
        </w:rPr>
        <w:t>《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6131969F"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9.基金财产清算账册及文件的保存</w:t>
      </w:r>
    </w:p>
    <w:p w14:paraId="466C45E7" w14:textId="357A307C"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基金财产清算账册及有关文件由基金托管人保存，保存期限按照法律法规的规定执行。</w:t>
      </w:r>
    </w:p>
    <w:p w14:paraId="3964AA69" w14:textId="77777777" w:rsidR="007764FF" w:rsidRDefault="007764FF">
      <w:pPr>
        <w:adjustRightInd w:val="0"/>
        <w:snapToGrid w:val="0"/>
        <w:rPr>
          <w:rFonts w:asciiTheme="minorEastAsia" w:eastAsiaTheme="minorEastAsia" w:hAnsiTheme="minorEastAsia" w:cs="Arial"/>
          <w:sz w:val="24"/>
        </w:rPr>
      </w:pPr>
    </w:p>
    <w:p w14:paraId="65EA5CC7" w14:textId="77777777" w:rsidR="007764FF" w:rsidRDefault="008F7605">
      <w:pPr>
        <w:pStyle w:val="2"/>
        <w:jc w:val="center"/>
        <w:rPr>
          <w:rFonts w:asciiTheme="minorEastAsia" w:eastAsiaTheme="minorEastAsia" w:hAnsiTheme="minorEastAsia"/>
          <w:sz w:val="30"/>
        </w:rPr>
      </w:pPr>
      <w:bookmarkStart w:id="99" w:name="_Toc124325901"/>
      <w:r>
        <w:rPr>
          <w:rFonts w:asciiTheme="minorEastAsia" w:eastAsiaTheme="minorEastAsia" w:hAnsiTheme="minorEastAsia" w:hint="eastAsia"/>
          <w:sz w:val="30"/>
        </w:rPr>
        <w:t>十七、违约责任</w:t>
      </w:r>
      <w:bookmarkEnd w:id="99"/>
    </w:p>
    <w:p w14:paraId="6AF627F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（一）基金管理人、基金托管人不履行本协议或履行本协议不符合约定的，应当承担违约责任。</w:t>
      </w:r>
    </w:p>
    <w:p w14:paraId="006726B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1045E094"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相应的当事人免责：</w:t>
      </w:r>
    </w:p>
    <w:p w14:paraId="63C53EE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1.不可抗力；</w:t>
      </w:r>
    </w:p>
    <w:p w14:paraId="210BAB9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2.基金管理人和/或基金托管人按照当时有效的法律法规或中国证监会等监管机构的规定作为或不作为而造成的损失等；</w:t>
      </w:r>
    </w:p>
    <w:p w14:paraId="57C1E92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3.在没有过错的情况下，基金管理人由于按照《基金合同》规定的投资原则投资或不投资造成的损失等；</w:t>
      </w:r>
    </w:p>
    <w:p w14:paraId="451AC40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sz w:val="24"/>
        </w:rPr>
        <w:t>.</w:t>
      </w:r>
      <w:r>
        <w:rPr>
          <w:rFonts w:asciiTheme="minorEastAsia" w:eastAsiaTheme="minorEastAsia" w:hAnsiTheme="minorEastAsia" w:cs="Arial" w:hint="eastAsia"/>
          <w:sz w:val="24"/>
        </w:rPr>
        <w:t>非因基金管理人、基金托管人的故意或重大过失造成的计算机系统故障、网络故障、通讯故障、电力故障、计算机病毒攻击及其它意外事故所导致的损失等。</w:t>
      </w:r>
    </w:p>
    <w:p w14:paraId="2EDF1D3B"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0712E5C"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510C55A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或未能避免错误发生或虽然发现但因前述原因无法及时更正的，由此</w:t>
      </w:r>
      <w:r>
        <w:rPr>
          <w:rFonts w:asciiTheme="minorEastAsia" w:eastAsiaTheme="minorEastAsia" w:hAnsiTheme="minorEastAsia" w:cs="Arial" w:hint="eastAsia"/>
          <w:sz w:val="24"/>
        </w:rPr>
        <w:lastRenderedPageBreak/>
        <w:t>造成基金财产或投资人损失，基金管理人和基金托管人免除赔偿责任。但是基金管理人和基金托管人应积极采取必要的措施减轻或消除由此造成的影响。</w:t>
      </w:r>
    </w:p>
    <w:p w14:paraId="613F3738" w14:textId="77777777" w:rsidR="007764FF" w:rsidRDefault="008F7605">
      <w:pPr>
        <w:pStyle w:val="2"/>
        <w:jc w:val="center"/>
        <w:rPr>
          <w:rFonts w:asciiTheme="minorEastAsia" w:eastAsiaTheme="minorEastAsia" w:hAnsiTheme="minorEastAsia"/>
          <w:sz w:val="30"/>
        </w:rPr>
      </w:pPr>
      <w:bookmarkStart w:id="100" w:name="_Toc124325902"/>
      <w:r>
        <w:rPr>
          <w:rFonts w:asciiTheme="minorEastAsia" w:eastAsiaTheme="minorEastAsia" w:hAnsiTheme="minorEastAsia" w:hint="eastAsia"/>
          <w:sz w:val="30"/>
        </w:rPr>
        <w:t>十八、争议解决方式</w:t>
      </w:r>
      <w:bookmarkEnd w:id="100"/>
    </w:p>
    <w:p w14:paraId="51363EBA"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2911482D"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170AC1B0"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本协议受中国法律（为本托管协议之目的，不包括香港特别行政区、澳门特别行政区和台湾地区法律）管辖，并按其解释。</w:t>
      </w:r>
    </w:p>
    <w:p w14:paraId="12B54087" w14:textId="77777777" w:rsidR="007764FF" w:rsidRDefault="007764FF">
      <w:pPr>
        <w:adjustRightInd w:val="0"/>
        <w:snapToGrid w:val="0"/>
        <w:rPr>
          <w:rFonts w:asciiTheme="minorEastAsia" w:eastAsiaTheme="minorEastAsia" w:hAnsiTheme="minorEastAsia" w:cs="Arial"/>
          <w:sz w:val="24"/>
        </w:rPr>
      </w:pPr>
    </w:p>
    <w:p w14:paraId="4E792860" w14:textId="77777777" w:rsidR="007764FF" w:rsidRDefault="008F7605">
      <w:pPr>
        <w:pStyle w:val="2"/>
        <w:jc w:val="center"/>
        <w:rPr>
          <w:rFonts w:asciiTheme="minorEastAsia" w:eastAsiaTheme="minorEastAsia" w:hAnsiTheme="minorEastAsia"/>
          <w:sz w:val="30"/>
        </w:rPr>
      </w:pPr>
      <w:bookmarkStart w:id="101" w:name="_Toc124325903"/>
      <w:r>
        <w:rPr>
          <w:rFonts w:asciiTheme="minorEastAsia" w:eastAsiaTheme="minorEastAsia" w:hAnsiTheme="minorEastAsia" w:hint="eastAsia"/>
          <w:sz w:val="30"/>
        </w:rPr>
        <w:t>十九、托管协议的效力</w:t>
      </w:r>
      <w:bookmarkEnd w:id="101"/>
    </w:p>
    <w:p w14:paraId="190EC098"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双方对托管协议的效力约定如下：</w:t>
      </w:r>
    </w:p>
    <w:p w14:paraId="65FF594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一）基金管理人在向中国证监会申请募集注册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10105B93"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5E95D005"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（三）托管协议自生效之日起对托管协议当事人具有同等的法律约束力。</w:t>
      </w:r>
    </w:p>
    <w:p w14:paraId="345A43CE" w14:textId="77777777" w:rsidR="007764FF" w:rsidRDefault="008F7605">
      <w:pPr>
        <w:adjustRightInd w:val="0"/>
        <w:snapToGrid w:val="0"/>
        <w:ind w:firstLineChars="200" w:firstLine="480"/>
        <w:rPr>
          <w:rFonts w:asciiTheme="minorEastAsia" w:eastAsiaTheme="minorEastAsia" w:hAnsiTheme="minorEastAsia"/>
          <w:sz w:val="30"/>
          <w:szCs w:val="30"/>
        </w:rPr>
      </w:pPr>
      <w:r>
        <w:rPr>
          <w:rFonts w:asciiTheme="minorEastAsia" w:eastAsiaTheme="minorEastAsia" w:hAnsiTheme="minorEastAsia" w:cs="Arial" w:hint="eastAsia"/>
          <w:sz w:val="24"/>
        </w:rPr>
        <w:t>（四）本协议一式四份，除上报有关监管机构一份外，基金管理人持有一份、基金托管人持有两份，每份具有同等的法律效力。</w:t>
      </w:r>
    </w:p>
    <w:p w14:paraId="05E81692" w14:textId="77777777" w:rsidR="007764FF" w:rsidRDefault="007764FF">
      <w:pPr>
        <w:adjustRightInd w:val="0"/>
        <w:snapToGrid w:val="0"/>
        <w:rPr>
          <w:rFonts w:asciiTheme="minorEastAsia" w:eastAsiaTheme="minorEastAsia" w:hAnsiTheme="minorEastAsia" w:cs="Arial"/>
          <w:sz w:val="24"/>
        </w:rPr>
      </w:pPr>
    </w:p>
    <w:p w14:paraId="33B6A59F" w14:textId="77777777" w:rsidR="007764FF" w:rsidRDefault="008F7605">
      <w:pPr>
        <w:pStyle w:val="2"/>
        <w:jc w:val="center"/>
        <w:rPr>
          <w:rFonts w:asciiTheme="minorEastAsia" w:eastAsiaTheme="minorEastAsia" w:hAnsiTheme="minorEastAsia"/>
          <w:sz w:val="30"/>
        </w:rPr>
      </w:pPr>
      <w:bookmarkStart w:id="102" w:name="_Toc124325904"/>
      <w:r>
        <w:rPr>
          <w:rFonts w:asciiTheme="minorEastAsia" w:eastAsiaTheme="minorEastAsia" w:hAnsiTheme="minorEastAsia" w:hint="eastAsia"/>
          <w:sz w:val="30"/>
        </w:rPr>
        <w:t>二十、其他事项</w:t>
      </w:r>
      <w:bookmarkEnd w:id="102"/>
    </w:p>
    <w:p w14:paraId="00FCA2A7"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76F884A1" w14:textId="77777777" w:rsidR="007764FF" w:rsidRDefault="008F7605">
      <w:pPr>
        <w:adjustRightInd w:val="0"/>
        <w:snapToGrid w:val="0"/>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14:paraId="37051BE3" w14:textId="77777777" w:rsidR="007764FF" w:rsidRDefault="007764FF">
      <w:pPr>
        <w:adjustRightInd w:val="0"/>
        <w:snapToGrid w:val="0"/>
        <w:rPr>
          <w:rFonts w:asciiTheme="minorEastAsia" w:eastAsiaTheme="minorEastAsia" w:hAnsiTheme="minorEastAsia"/>
          <w:b/>
          <w:bCs/>
        </w:rPr>
      </w:pPr>
    </w:p>
    <w:p w14:paraId="5A0B9B2C" w14:textId="77777777" w:rsidR="007764FF" w:rsidRDefault="008F7605">
      <w:pPr>
        <w:pStyle w:val="2"/>
        <w:jc w:val="center"/>
        <w:rPr>
          <w:rFonts w:asciiTheme="minorEastAsia" w:eastAsiaTheme="minorEastAsia" w:hAnsiTheme="minorEastAsia"/>
          <w:sz w:val="30"/>
        </w:rPr>
      </w:pPr>
      <w:bookmarkStart w:id="103" w:name="_Toc124325905"/>
      <w:r>
        <w:rPr>
          <w:rFonts w:asciiTheme="minorEastAsia" w:eastAsiaTheme="minorEastAsia" w:hAnsiTheme="minorEastAsia" w:hint="eastAsia"/>
          <w:sz w:val="30"/>
        </w:rPr>
        <w:lastRenderedPageBreak/>
        <w:t>二十一、托管协议的签订</w:t>
      </w:r>
      <w:bookmarkEnd w:id="103"/>
    </w:p>
    <w:p w14:paraId="7969F490" w14:textId="7EB7CC15" w:rsidR="007764FF" w:rsidRDefault="008F7605" w:rsidP="00BA59F4">
      <w:pPr>
        <w:adjustRightInd w:val="0"/>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cs="Arial" w:hint="eastAsia"/>
          <w:sz w:val="24"/>
        </w:rPr>
        <w:t>本协议双方法定代表人或授权代表签章、签订地、签订日</w:t>
      </w:r>
    </w:p>
    <w:sectPr w:rsidR="007764FF">
      <w:footerReference w:type="default" r:id="rId9"/>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CC5B" w14:textId="77777777" w:rsidR="002A7E42" w:rsidRDefault="002A7E42">
      <w:r>
        <w:separator/>
      </w:r>
    </w:p>
  </w:endnote>
  <w:endnote w:type="continuationSeparator" w:id="0">
    <w:p w14:paraId="4816F122" w14:textId="77777777" w:rsidR="002A7E42" w:rsidRDefault="002A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方正仿宋简体">
    <w:altName w:val="方正仿宋_GBK"/>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楷体_GB2312">
    <w:altName w:val="宋体"/>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D9331" w14:textId="77777777" w:rsidR="007764FF" w:rsidRDefault="008F7605">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D34902D" w14:textId="77777777" w:rsidR="007764FF" w:rsidRDefault="007764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223898"/>
      <w:docPartObj>
        <w:docPartGallery w:val="Page Numbers (Bottom of Page)"/>
        <w:docPartUnique/>
      </w:docPartObj>
    </w:sdtPr>
    <w:sdtEndPr/>
    <w:sdtContent>
      <w:p w14:paraId="31B7F4CE" w14:textId="4F20971F" w:rsidR="007764FF" w:rsidRDefault="00BA59F4" w:rsidP="00BA59F4">
        <w:pPr>
          <w:pStyle w:val="a8"/>
          <w:jc w:val="center"/>
        </w:pPr>
        <w:r>
          <w:fldChar w:fldCharType="begin"/>
        </w:r>
        <w:r>
          <w:instrText>PAGE   \* MERGEFORMAT</w:instrText>
        </w:r>
        <w:r>
          <w:fldChar w:fldCharType="separate"/>
        </w:r>
        <w:r w:rsidR="004B4644" w:rsidRPr="004B4644">
          <w:rPr>
            <w:noProof/>
            <w:lang w:val="zh-CN"/>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9AB0D" w14:textId="77777777" w:rsidR="002A7E42" w:rsidRDefault="002A7E42">
      <w:r>
        <w:separator/>
      </w:r>
    </w:p>
  </w:footnote>
  <w:footnote w:type="continuationSeparator" w:id="0">
    <w:p w14:paraId="188513EB" w14:textId="77777777" w:rsidR="002A7E42" w:rsidRDefault="002A7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3B23" w14:textId="56C35621" w:rsidR="001D4C17" w:rsidRDefault="001D4C17">
    <w:pPr>
      <w:pStyle w:val="a9"/>
    </w:pPr>
    <w:r>
      <w:rPr>
        <w:rFonts w:hint="eastAsia"/>
      </w:rPr>
      <w:t>银华多策略稳进三个月持有期混合型基金中基金（</w:t>
    </w:r>
    <w:r>
      <w:rPr>
        <w:rFonts w:hint="eastAsia"/>
      </w:rPr>
      <w:t>ETF-FOF</w:t>
    </w:r>
    <w:r>
      <w:rPr>
        <w:rFonts w:hint="eastAsia"/>
      </w:rPr>
      <w:t>）</w:t>
    </w:r>
    <w:r>
      <w:rPr>
        <w:rFonts w:hint="eastAsia"/>
      </w:rPr>
      <w:t xml:space="preserve">          </w:t>
    </w:r>
    <w: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mU2ZmNjYzA3Y2VlZGIzMjE0ZmUwNTcyZDRjMzUifQ=="/>
  </w:docVars>
  <w:rsids>
    <w:rsidRoot w:val="00327FB7"/>
    <w:rsid w:val="95FC580F"/>
    <w:rsid w:val="9FE6D7B6"/>
    <w:rsid w:val="C77F71AE"/>
    <w:rsid w:val="EDD93202"/>
    <w:rsid w:val="F7FFAD01"/>
    <w:rsid w:val="FE7D48BD"/>
    <w:rsid w:val="FFF71067"/>
    <w:rsid w:val="0000747C"/>
    <w:rsid w:val="00012F83"/>
    <w:rsid w:val="00013CF6"/>
    <w:rsid w:val="00017856"/>
    <w:rsid w:val="00020A38"/>
    <w:rsid w:val="00021EEB"/>
    <w:rsid w:val="00022E8F"/>
    <w:rsid w:val="00027372"/>
    <w:rsid w:val="0002765F"/>
    <w:rsid w:val="00031729"/>
    <w:rsid w:val="000318ED"/>
    <w:rsid w:val="00040F51"/>
    <w:rsid w:val="000417B0"/>
    <w:rsid w:val="00041A79"/>
    <w:rsid w:val="00043C52"/>
    <w:rsid w:val="000464AA"/>
    <w:rsid w:val="00051C0B"/>
    <w:rsid w:val="00052E10"/>
    <w:rsid w:val="000551AD"/>
    <w:rsid w:val="00055748"/>
    <w:rsid w:val="00056844"/>
    <w:rsid w:val="00057877"/>
    <w:rsid w:val="00060CF4"/>
    <w:rsid w:val="000629C2"/>
    <w:rsid w:val="00064297"/>
    <w:rsid w:val="00071F3B"/>
    <w:rsid w:val="0007264A"/>
    <w:rsid w:val="00076B3A"/>
    <w:rsid w:val="0007715D"/>
    <w:rsid w:val="000822CA"/>
    <w:rsid w:val="000837FB"/>
    <w:rsid w:val="00090D61"/>
    <w:rsid w:val="00090EC5"/>
    <w:rsid w:val="00091B76"/>
    <w:rsid w:val="00091E8F"/>
    <w:rsid w:val="000928F5"/>
    <w:rsid w:val="00093189"/>
    <w:rsid w:val="0009426C"/>
    <w:rsid w:val="00095C89"/>
    <w:rsid w:val="0009691D"/>
    <w:rsid w:val="000A19C3"/>
    <w:rsid w:val="000A44A7"/>
    <w:rsid w:val="000A7832"/>
    <w:rsid w:val="000B013A"/>
    <w:rsid w:val="000B109A"/>
    <w:rsid w:val="000B1CA1"/>
    <w:rsid w:val="000B4FBA"/>
    <w:rsid w:val="000B6357"/>
    <w:rsid w:val="000B6EE3"/>
    <w:rsid w:val="000C44BF"/>
    <w:rsid w:val="000C5A7F"/>
    <w:rsid w:val="000D3920"/>
    <w:rsid w:val="000D3BCC"/>
    <w:rsid w:val="000D6267"/>
    <w:rsid w:val="000E0C7F"/>
    <w:rsid w:val="000E2141"/>
    <w:rsid w:val="000E218B"/>
    <w:rsid w:val="000E39F0"/>
    <w:rsid w:val="000E4CC8"/>
    <w:rsid w:val="000E6F50"/>
    <w:rsid w:val="000E7F70"/>
    <w:rsid w:val="000F2D0A"/>
    <w:rsid w:val="000F3402"/>
    <w:rsid w:val="000F3485"/>
    <w:rsid w:val="000F4CB1"/>
    <w:rsid w:val="000F4DD3"/>
    <w:rsid w:val="0010036A"/>
    <w:rsid w:val="001003E7"/>
    <w:rsid w:val="0010505C"/>
    <w:rsid w:val="0010787B"/>
    <w:rsid w:val="00110CFC"/>
    <w:rsid w:val="00110F13"/>
    <w:rsid w:val="001110CE"/>
    <w:rsid w:val="00122A64"/>
    <w:rsid w:val="00124494"/>
    <w:rsid w:val="00125347"/>
    <w:rsid w:val="00126873"/>
    <w:rsid w:val="00127808"/>
    <w:rsid w:val="00130827"/>
    <w:rsid w:val="0013172A"/>
    <w:rsid w:val="00131A85"/>
    <w:rsid w:val="001354A2"/>
    <w:rsid w:val="00152957"/>
    <w:rsid w:val="00154ACF"/>
    <w:rsid w:val="0016212C"/>
    <w:rsid w:val="0016474E"/>
    <w:rsid w:val="0018322C"/>
    <w:rsid w:val="00186376"/>
    <w:rsid w:val="00186A8F"/>
    <w:rsid w:val="001938AB"/>
    <w:rsid w:val="00193B9E"/>
    <w:rsid w:val="00195533"/>
    <w:rsid w:val="00196FF2"/>
    <w:rsid w:val="00197589"/>
    <w:rsid w:val="001A1BBC"/>
    <w:rsid w:val="001A39F0"/>
    <w:rsid w:val="001A66C4"/>
    <w:rsid w:val="001B5C08"/>
    <w:rsid w:val="001B74E7"/>
    <w:rsid w:val="001C0649"/>
    <w:rsid w:val="001C2279"/>
    <w:rsid w:val="001C24EE"/>
    <w:rsid w:val="001C3224"/>
    <w:rsid w:val="001C5EFB"/>
    <w:rsid w:val="001D432D"/>
    <w:rsid w:val="001D4C17"/>
    <w:rsid w:val="001D6D7E"/>
    <w:rsid w:val="001D76DC"/>
    <w:rsid w:val="001E1F3F"/>
    <w:rsid w:val="001E2D6F"/>
    <w:rsid w:val="001E450D"/>
    <w:rsid w:val="001E5B63"/>
    <w:rsid w:val="001E6AA9"/>
    <w:rsid w:val="001E7118"/>
    <w:rsid w:val="001F0FB0"/>
    <w:rsid w:val="001F58E8"/>
    <w:rsid w:val="001F74CE"/>
    <w:rsid w:val="00201F74"/>
    <w:rsid w:val="00202737"/>
    <w:rsid w:val="00205146"/>
    <w:rsid w:val="00207791"/>
    <w:rsid w:val="00213A21"/>
    <w:rsid w:val="0021699B"/>
    <w:rsid w:val="00217411"/>
    <w:rsid w:val="002203BB"/>
    <w:rsid w:val="002215EB"/>
    <w:rsid w:val="00224976"/>
    <w:rsid w:val="00230584"/>
    <w:rsid w:val="00230B71"/>
    <w:rsid w:val="00231393"/>
    <w:rsid w:val="00231744"/>
    <w:rsid w:val="00232123"/>
    <w:rsid w:val="00233F4C"/>
    <w:rsid w:val="00234ECE"/>
    <w:rsid w:val="002352E6"/>
    <w:rsid w:val="00235D18"/>
    <w:rsid w:val="002362B8"/>
    <w:rsid w:val="00236C4F"/>
    <w:rsid w:val="002372AE"/>
    <w:rsid w:val="00241932"/>
    <w:rsid w:val="002446ED"/>
    <w:rsid w:val="00250AD0"/>
    <w:rsid w:val="00252A83"/>
    <w:rsid w:val="00255ECD"/>
    <w:rsid w:val="00261F14"/>
    <w:rsid w:val="002654C9"/>
    <w:rsid w:val="002666C2"/>
    <w:rsid w:val="00266C2C"/>
    <w:rsid w:val="00267826"/>
    <w:rsid w:val="00271D49"/>
    <w:rsid w:val="00275CE6"/>
    <w:rsid w:val="002773D7"/>
    <w:rsid w:val="00277C9E"/>
    <w:rsid w:val="00280D6E"/>
    <w:rsid w:val="00280ED5"/>
    <w:rsid w:val="0028261D"/>
    <w:rsid w:val="002838DE"/>
    <w:rsid w:val="00284843"/>
    <w:rsid w:val="00287696"/>
    <w:rsid w:val="002912F1"/>
    <w:rsid w:val="00291889"/>
    <w:rsid w:val="00293C21"/>
    <w:rsid w:val="00294BC8"/>
    <w:rsid w:val="00297649"/>
    <w:rsid w:val="002A1FC8"/>
    <w:rsid w:val="002A2992"/>
    <w:rsid w:val="002A55FE"/>
    <w:rsid w:val="002A7E42"/>
    <w:rsid w:val="002B04B1"/>
    <w:rsid w:val="002B3179"/>
    <w:rsid w:val="002B5397"/>
    <w:rsid w:val="002B5F49"/>
    <w:rsid w:val="002C045B"/>
    <w:rsid w:val="002C2355"/>
    <w:rsid w:val="002C677E"/>
    <w:rsid w:val="002D7AA0"/>
    <w:rsid w:val="002E236C"/>
    <w:rsid w:val="002E2CD4"/>
    <w:rsid w:val="002E79D5"/>
    <w:rsid w:val="002E7E0F"/>
    <w:rsid w:val="002F0CAD"/>
    <w:rsid w:val="002F0F7C"/>
    <w:rsid w:val="002F2447"/>
    <w:rsid w:val="002F2AEE"/>
    <w:rsid w:val="002F3367"/>
    <w:rsid w:val="002F57A2"/>
    <w:rsid w:val="002F7739"/>
    <w:rsid w:val="0030192F"/>
    <w:rsid w:val="0030471C"/>
    <w:rsid w:val="00306FE9"/>
    <w:rsid w:val="00307E95"/>
    <w:rsid w:val="003115F3"/>
    <w:rsid w:val="003117A4"/>
    <w:rsid w:val="00311988"/>
    <w:rsid w:val="00314CF7"/>
    <w:rsid w:val="00315F25"/>
    <w:rsid w:val="003202A2"/>
    <w:rsid w:val="00320A94"/>
    <w:rsid w:val="00322B16"/>
    <w:rsid w:val="003250A7"/>
    <w:rsid w:val="00326F10"/>
    <w:rsid w:val="00327615"/>
    <w:rsid w:val="00327FB7"/>
    <w:rsid w:val="00330885"/>
    <w:rsid w:val="0033147C"/>
    <w:rsid w:val="003353DC"/>
    <w:rsid w:val="0033602B"/>
    <w:rsid w:val="003364F1"/>
    <w:rsid w:val="0033650B"/>
    <w:rsid w:val="003373DF"/>
    <w:rsid w:val="00337F56"/>
    <w:rsid w:val="00340811"/>
    <w:rsid w:val="003475C5"/>
    <w:rsid w:val="0035353D"/>
    <w:rsid w:val="0035565D"/>
    <w:rsid w:val="0035728F"/>
    <w:rsid w:val="003618AF"/>
    <w:rsid w:val="00362242"/>
    <w:rsid w:val="003622EB"/>
    <w:rsid w:val="003647AC"/>
    <w:rsid w:val="00372946"/>
    <w:rsid w:val="0038144F"/>
    <w:rsid w:val="003819A3"/>
    <w:rsid w:val="0038257C"/>
    <w:rsid w:val="00383188"/>
    <w:rsid w:val="00385AEF"/>
    <w:rsid w:val="00393D2D"/>
    <w:rsid w:val="0039468D"/>
    <w:rsid w:val="003A0065"/>
    <w:rsid w:val="003A017E"/>
    <w:rsid w:val="003A1DC6"/>
    <w:rsid w:val="003A40AA"/>
    <w:rsid w:val="003A5D4E"/>
    <w:rsid w:val="003A76C1"/>
    <w:rsid w:val="003A7751"/>
    <w:rsid w:val="003B0E14"/>
    <w:rsid w:val="003B4859"/>
    <w:rsid w:val="003B58E0"/>
    <w:rsid w:val="003B7088"/>
    <w:rsid w:val="003B7F36"/>
    <w:rsid w:val="003C18DD"/>
    <w:rsid w:val="003C53A3"/>
    <w:rsid w:val="003C5739"/>
    <w:rsid w:val="003C5AB8"/>
    <w:rsid w:val="003C72D4"/>
    <w:rsid w:val="003D27CE"/>
    <w:rsid w:val="003D533A"/>
    <w:rsid w:val="003E7576"/>
    <w:rsid w:val="003F08D9"/>
    <w:rsid w:val="003F10C9"/>
    <w:rsid w:val="003F21AC"/>
    <w:rsid w:val="003F4C3B"/>
    <w:rsid w:val="003F4FC1"/>
    <w:rsid w:val="003F5517"/>
    <w:rsid w:val="004001FF"/>
    <w:rsid w:val="00404BB7"/>
    <w:rsid w:val="00405AE5"/>
    <w:rsid w:val="004076A3"/>
    <w:rsid w:val="004107E9"/>
    <w:rsid w:val="0041577E"/>
    <w:rsid w:val="004230E5"/>
    <w:rsid w:val="00423205"/>
    <w:rsid w:val="00431DDA"/>
    <w:rsid w:val="0043259E"/>
    <w:rsid w:val="0043389F"/>
    <w:rsid w:val="00434566"/>
    <w:rsid w:val="00435097"/>
    <w:rsid w:val="004377CA"/>
    <w:rsid w:val="00441239"/>
    <w:rsid w:val="00442D02"/>
    <w:rsid w:val="0044618E"/>
    <w:rsid w:val="00446AC3"/>
    <w:rsid w:val="004478A4"/>
    <w:rsid w:val="004517C7"/>
    <w:rsid w:val="00452C28"/>
    <w:rsid w:val="0045390F"/>
    <w:rsid w:val="00453B82"/>
    <w:rsid w:val="00454525"/>
    <w:rsid w:val="00456CC7"/>
    <w:rsid w:val="00457D58"/>
    <w:rsid w:val="00460725"/>
    <w:rsid w:val="004624B7"/>
    <w:rsid w:val="00462FAB"/>
    <w:rsid w:val="00466212"/>
    <w:rsid w:val="00470244"/>
    <w:rsid w:val="00470627"/>
    <w:rsid w:val="0047166D"/>
    <w:rsid w:val="00472B0E"/>
    <w:rsid w:val="004740CC"/>
    <w:rsid w:val="00474DB2"/>
    <w:rsid w:val="00477154"/>
    <w:rsid w:val="004779E0"/>
    <w:rsid w:val="00477E75"/>
    <w:rsid w:val="004828F4"/>
    <w:rsid w:val="00483744"/>
    <w:rsid w:val="00486873"/>
    <w:rsid w:val="00486B47"/>
    <w:rsid w:val="00487AA9"/>
    <w:rsid w:val="00493030"/>
    <w:rsid w:val="00493489"/>
    <w:rsid w:val="00495254"/>
    <w:rsid w:val="00495B03"/>
    <w:rsid w:val="0049609C"/>
    <w:rsid w:val="00497F26"/>
    <w:rsid w:val="004A15D0"/>
    <w:rsid w:val="004A2FCE"/>
    <w:rsid w:val="004A3660"/>
    <w:rsid w:val="004A53C3"/>
    <w:rsid w:val="004A62FC"/>
    <w:rsid w:val="004A654B"/>
    <w:rsid w:val="004B3EE7"/>
    <w:rsid w:val="004B4644"/>
    <w:rsid w:val="004C11F9"/>
    <w:rsid w:val="004C312A"/>
    <w:rsid w:val="004C35D3"/>
    <w:rsid w:val="004C4DBC"/>
    <w:rsid w:val="004D19AA"/>
    <w:rsid w:val="004D4552"/>
    <w:rsid w:val="004D5E0A"/>
    <w:rsid w:val="004D5F0D"/>
    <w:rsid w:val="004E07C8"/>
    <w:rsid w:val="004E22E6"/>
    <w:rsid w:val="004E71C6"/>
    <w:rsid w:val="004E7F46"/>
    <w:rsid w:val="004F0282"/>
    <w:rsid w:val="004F0E38"/>
    <w:rsid w:val="004F0EF1"/>
    <w:rsid w:val="004F323D"/>
    <w:rsid w:val="004F32E0"/>
    <w:rsid w:val="004F786C"/>
    <w:rsid w:val="005025B8"/>
    <w:rsid w:val="00503A1D"/>
    <w:rsid w:val="00505347"/>
    <w:rsid w:val="00507C5C"/>
    <w:rsid w:val="0051171B"/>
    <w:rsid w:val="005122FD"/>
    <w:rsid w:val="00514CCD"/>
    <w:rsid w:val="005160DE"/>
    <w:rsid w:val="00517806"/>
    <w:rsid w:val="00517F42"/>
    <w:rsid w:val="00520989"/>
    <w:rsid w:val="005261F9"/>
    <w:rsid w:val="00526C41"/>
    <w:rsid w:val="00527CF4"/>
    <w:rsid w:val="00530A55"/>
    <w:rsid w:val="00531804"/>
    <w:rsid w:val="00531FB3"/>
    <w:rsid w:val="0053489C"/>
    <w:rsid w:val="0053630C"/>
    <w:rsid w:val="0053647D"/>
    <w:rsid w:val="005406D2"/>
    <w:rsid w:val="00542302"/>
    <w:rsid w:val="005441A1"/>
    <w:rsid w:val="005442E4"/>
    <w:rsid w:val="00544E9A"/>
    <w:rsid w:val="00546107"/>
    <w:rsid w:val="00553032"/>
    <w:rsid w:val="005530D7"/>
    <w:rsid w:val="005554A8"/>
    <w:rsid w:val="005566C2"/>
    <w:rsid w:val="00556A93"/>
    <w:rsid w:val="0056317D"/>
    <w:rsid w:val="00563213"/>
    <w:rsid w:val="005673F8"/>
    <w:rsid w:val="00567A91"/>
    <w:rsid w:val="00567F6C"/>
    <w:rsid w:val="00575D78"/>
    <w:rsid w:val="005803CA"/>
    <w:rsid w:val="00583FD3"/>
    <w:rsid w:val="005854CD"/>
    <w:rsid w:val="00591026"/>
    <w:rsid w:val="00596153"/>
    <w:rsid w:val="005A25A1"/>
    <w:rsid w:val="005A41CD"/>
    <w:rsid w:val="005A61E5"/>
    <w:rsid w:val="005A64AC"/>
    <w:rsid w:val="005B0ED3"/>
    <w:rsid w:val="005B1DD4"/>
    <w:rsid w:val="005B3C8C"/>
    <w:rsid w:val="005C0276"/>
    <w:rsid w:val="005C0622"/>
    <w:rsid w:val="005C1F6B"/>
    <w:rsid w:val="005C2ADA"/>
    <w:rsid w:val="005C6C1D"/>
    <w:rsid w:val="005D2FD4"/>
    <w:rsid w:val="005D6C70"/>
    <w:rsid w:val="005D71FB"/>
    <w:rsid w:val="005D72E0"/>
    <w:rsid w:val="005E1B95"/>
    <w:rsid w:val="005E3434"/>
    <w:rsid w:val="005E42FF"/>
    <w:rsid w:val="005E434C"/>
    <w:rsid w:val="005E45D6"/>
    <w:rsid w:val="005E4A43"/>
    <w:rsid w:val="005E7187"/>
    <w:rsid w:val="005F0D99"/>
    <w:rsid w:val="005F34D8"/>
    <w:rsid w:val="005F6CD9"/>
    <w:rsid w:val="00602774"/>
    <w:rsid w:val="006027A1"/>
    <w:rsid w:val="00604672"/>
    <w:rsid w:val="00611A7B"/>
    <w:rsid w:val="00612CDC"/>
    <w:rsid w:val="006148A2"/>
    <w:rsid w:val="00614E76"/>
    <w:rsid w:val="00620FD8"/>
    <w:rsid w:val="00621158"/>
    <w:rsid w:val="00624DA3"/>
    <w:rsid w:val="0062728C"/>
    <w:rsid w:val="0063042C"/>
    <w:rsid w:val="00631D59"/>
    <w:rsid w:val="00633742"/>
    <w:rsid w:val="006342E8"/>
    <w:rsid w:val="00634CB7"/>
    <w:rsid w:val="00635D84"/>
    <w:rsid w:val="006375A6"/>
    <w:rsid w:val="006409FE"/>
    <w:rsid w:val="00650CF9"/>
    <w:rsid w:val="006523B3"/>
    <w:rsid w:val="00652788"/>
    <w:rsid w:val="00654117"/>
    <w:rsid w:val="00660FDB"/>
    <w:rsid w:val="00663E36"/>
    <w:rsid w:val="00664D91"/>
    <w:rsid w:val="00665C05"/>
    <w:rsid w:val="00670B21"/>
    <w:rsid w:val="006713AC"/>
    <w:rsid w:val="00672020"/>
    <w:rsid w:val="00672B2F"/>
    <w:rsid w:val="00673E55"/>
    <w:rsid w:val="00680320"/>
    <w:rsid w:val="00680559"/>
    <w:rsid w:val="00681553"/>
    <w:rsid w:val="00681C79"/>
    <w:rsid w:val="00682387"/>
    <w:rsid w:val="00683CF4"/>
    <w:rsid w:val="00683D14"/>
    <w:rsid w:val="00685016"/>
    <w:rsid w:val="0068583C"/>
    <w:rsid w:val="00686084"/>
    <w:rsid w:val="00687C20"/>
    <w:rsid w:val="006921E2"/>
    <w:rsid w:val="006935EB"/>
    <w:rsid w:val="006A25E2"/>
    <w:rsid w:val="006B2CC2"/>
    <w:rsid w:val="006B2ECC"/>
    <w:rsid w:val="006B396C"/>
    <w:rsid w:val="006B431A"/>
    <w:rsid w:val="006B5BA5"/>
    <w:rsid w:val="006B6598"/>
    <w:rsid w:val="006C1536"/>
    <w:rsid w:val="006C70B3"/>
    <w:rsid w:val="006D2676"/>
    <w:rsid w:val="006D2754"/>
    <w:rsid w:val="006D2ADB"/>
    <w:rsid w:val="006D3E57"/>
    <w:rsid w:val="006D5FBD"/>
    <w:rsid w:val="006D7E16"/>
    <w:rsid w:val="006D7F95"/>
    <w:rsid w:val="006E2321"/>
    <w:rsid w:val="006E6BE2"/>
    <w:rsid w:val="006F0196"/>
    <w:rsid w:val="006F3A0B"/>
    <w:rsid w:val="006F4BC6"/>
    <w:rsid w:val="006F5262"/>
    <w:rsid w:val="006F6331"/>
    <w:rsid w:val="006F69B1"/>
    <w:rsid w:val="006F6B2F"/>
    <w:rsid w:val="006F72E8"/>
    <w:rsid w:val="006F7583"/>
    <w:rsid w:val="006F7F39"/>
    <w:rsid w:val="007010D5"/>
    <w:rsid w:val="00701821"/>
    <w:rsid w:val="00702763"/>
    <w:rsid w:val="007058DA"/>
    <w:rsid w:val="00706F6A"/>
    <w:rsid w:val="00711F2E"/>
    <w:rsid w:val="00713B3D"/>
    <w:rsid w:val="00714076"/>
    <w:rsid w:val="007146C8"/>
    <w:rsid w:val="00715D6D"/>
    <w:rsid w:val="0071645F"/>
    <w:rsid w:val="00716C0F"/>
    <w:rsid w:val="00717BCB"/>
    <w:rsid w:val="00726D14"/>
    <w:rsid w:val="007272A1"/>
    <w:rsid w:val="007277BE"/>
    <w:rsid w:val="0072793F"/>
    <w:rsid w:val="00730B9E"/>
    <w:rsid w:val="00734F99"/>
    <w:rsid w:val="0073647F"/>
    <w:rsid w:val="00737FED"/>
    <w:rsid w:val="00740B48"/>
    <w:rsid w:val="007439E5"/>
    <w:rsid w:val="00747485"/>
    <w:rsid w:val="00747B98"/>
    <w:rsid w:val="007514E0"/>
    <w:rsid w:val="00751FC5"/>
    <w:rsid w:val="00753BFF"/>
    <w:rsid w:val="00756B85"/>
    <w:rsid w:val="00760A60"/>
    <w:rsid w:val="007614C4"/>
    <w:rsid w:val="007623AB"/>
    <w:rsid w:val="00762E34"/>
    <w:rsid w:val="00763DFF"/>
    <w:rsid w:val="007708E9"/>
    <w:rsid w:val="00771EB5"/>
    <w:rsid w:val="007722D1"/>
    <w:rsid w:val="00772957"/>
    <w:rsid w:val="0077491C"/>
    <w:rsid w:val="007751E9"/>
    <w:rsid w:val="007764FF"/>
    <w:rsid w:val="00780D45"/>
    <w:rsid w:val="007814A2"/>
    <w:rsid w:val="00785C75"/>
    <w:rsid w:val="00787B07"/>
    <w:rsid w:val="007946D6"/>
    <w:rsid w:val="007952DB"/>
    <w:rsid w:val="007A126A"/>
    <w:rsid w:val="007A19B5"/>
    <w:rsid w:val="007A2A7F"/>
    <w:rsid w:val="007A6680"/>
    <w:rsid w:val="007B07AF"/>
    <w:rsid w:val="007B4A3B"/>
    <w:rsid w:val="007B51BB"/>
    <w:rsid w:val="007B5F6E"/>
    <w:rsid w:val="007C1E9D"/>
    <w:rsid w:val="007C4CC2"/>
    <w:rsid w:val="007C7714"/>
    <w:rsid w:val="007D13F9"/>
    <w:rsid w:val="007D1F63"/>
    <w:rsid w:val="007D54E8"/>
    <w:rsid w:val="007D6363"/>
    <w:rsid w:val="007E0F7F"/>
    <w:rsid w:val="007E1385"/>
    <w:rsid w:val="007E4068"/>
    <w:rsid w:val="007E5688"/>
    <w:rsid w:val="007F019A"/>
    <w:rsid w:val="007F333E"/>
    <w:rsid w:val="007F6F9D"/>
    <w:rsid w:val="007F72FF"/>
    <w:rsid w:val="008136BC"/>
    <w:rsid w:val="00813CEB"/>
    <w:rsid w:val="00823C7F"/>
    <w:rsid w:val="008242EE"/>
    <w:rsid w:val="00824376"/>
    <w:rsid w:val="00831BB0"/>
    <w:rsid w:val="00833ABB"/>
    <w:rsid w:val="00834B8C"/>
    <w:rsid w:val="008371E9"/>
    <w:rsid w:val="00837F2B"/>
    <w:rsid w:val="0084338A"/>
    <w:rsid w:val="0084394A"/>
    <w:rsid w:val="00843DDB"/>
    <w:rsid w:val="0084520A"/>
    <w:rsid w:val="008515D9"/>
    <w:rsid w:val="00854BCE"/>
    <w:rsid w:val="00872B35"/>
    <w:rsid w:val="00873F92"/>
    <w:rsid w:val="0087730C"/>
    <w:rsid w:val="00877C10"/>
    <w:rsid w:val="00880AF5"/>
    <w:rsid w:val="00880D30"/>
    <w:rsid w:val="008810B0"/>
    <w:rsid w:val="00882D51"/>
    <w:rsid w:val="00890318"/>
    <w:rsid w:val="0089294D"/>
    <w:rsid w:val="00893707"/>
    <w:rsid w:val="008949B8"/>
    <w:rsid w:val="00895EF5"/>
    <w:rsid w:val="00896867"/>
    <w:rsid w:val="00897577"/>
    <w:rsid w:val="008A05EE"/>
    <w:rsid w:val="008A19DF"/>
    <w:rsid w:val="008A21C5"/>
    <w:rsid w:val="008A2A6E"/>
    <w:rsid w:val="008A33D9"/>
    <w:rsid w:val="008A7DBF"/>
    <w:rsid w:val="008B14D9"/>
    <w:rsid w:val="008B5052"/>
    <w:rsid w:val="008B52AE"/>
    <w:rsid w:val="008C05BC"/>
    <w:rsid w:val="008C2E81"/>
    <w:rsid w:val="008C69F2"/>
    <w:rsid w:val="008D08E6"/>
    <w:rsid w:val="008D3D04"/>
    <w:rsid w:val="008D4851"/>
    <w:rsid w:val="008D5661"/>
    <w:rsid w:val="008D6B85"/>
    <w:rsid w:val="008D788B"/>
    <w:rsid w:val="008E15DA"/>
    <w:rsid w:val="008E286B"/>
    <w:rsid w:val="008E700C"/>
    <w:rsid w:val="008E72F9"/>
    <w:rsid w:val="008F1DAC"/>
    <w:rsid w:val="008F2989"/>
    <w:rsid w:val="008F6BB1"/>
    <w:rsid w:val="008F73F1"/>
    <w:rsid w:val="008F7605"/>
    <w:rsid w:val="00900019"/>
    <w:rsid w:val="009037AC"/>
    <w:rsid w:val="00910557"/>
    <w:rsid w:val="00911549"/>
    <w:rsid w:val="00912FB5"/>
    <w:rsid w:val="0091480F"/>
    <w:rsid w:val="0091680D"/>
    <w:rsid w:val="00921EBF"/>
    <w:rsid w:val="00924A6F"/>
    <w:rsid w:val="00926427"/>
    <w:rsid w:val="009272A8"/>
    <w:rsid w:val="009348B1"/>
    <w:rsid w:val="00936D79"/>
    <w:rsid w:val="009409A5"/>
    <w:rsid w:val="00944267"/>
    <w:rsid w:val="00946806"/>
    <w:rsid w:val="00946BA3"/>
    <w:rsid w:val="009507AC"/>
    <w:rsid w:val="009534B3"/>
    <w:rsid w:val="009542EF"/>
    <w:rsid w:val="00957623"/>
    <w:rsid w:val="009645C5"/>
    <w:rsid w:val="00965076"/>
    <w:rsid w:val="00967F2D"/>
    <w:rsid w:val="00971CE6"/>
    <w:rsid w:val="00974724"/>
    <w:rsid w:val="00984ABD"/>
    <w:rsid w:val="009871EE"/>
    <w:rsid w:val="0099024D"/>
    <w:rsid w:val="00990CFC"/>
    <w:rsid w:val="00992007"/>
    <w:rsid w:val="00993D2B"/>
    <w:rsid w:val="009A0C74"/>
    <w:rsid w:val="009A20B2"/>
    <w:rsid w:val="009A4D8B"/>
    <w:rsid w:val="009A7C0D"/>
    <w:rsid w:val="009B1F95"/>
    <w:rsid w:val="009B4753"/>
    <w:rsid w:val="009C1012"/>
    <w:rsid w:val="009C2458"/>
    <w:rsid w:val="009C345B"/>
    <w:rsid w:val="009D1076"/>
    <w:rsid w:val="009D19F1"/>
    <w:rsid w:val="009D19FE"/>
    <w:rsid w:val="009D1CBA"/>
    <w:rsid w:val="009D2FD6"/>
    <w:rsid w:val="009D5CBC"/>
    <w:rsid w:val="009E154C"/>
    <w:rsid w:val="009F09FA"/>
    <w:rsid w:val="009F65EE"/>
    <w:rsid w:val="00A00C4F"/>
    <w:rsid w:val="00A10F0E"/>
    <w:rsid w:val="00A12E00"/>
    <w:rsid w:val="00A139C7"/>
    <w:rsid w:val="00A14582"/>
    <w:rsid w:val="00A205F7"/>
    <w:rsid w:val="00A206A2"/>
    <w:rsid w:val="00A20AB2"/>
    <w:rsid w:val="00A22094"/>
    <w:rsid w:val="00A348F8"/>
    <w:rsid w:val="00A34C93"/>
    <w:rsid w:val="00A36B50"/>
    <w:rsid w:val="00A40CD8"/>
    <w:rsid w:val="00A424EF"/>
    <w:rsid w:val="00A45E0D"/>
    <w:rsid w:val="00A45EE4"/>
    <w:rsid w:val="00A513E3"/>
    <w:rsid w:val="00A55831"/>
    <w:rsid w:val="00A562C6"/>
    <w:rsid w:val="00A61AB5"/>
    <w:rsid w:val="00A65540"/>
    <w:rsid w:val="00A658E8"/>
    <w:rsid w:val="00A66073"/>
    <w:rsid w:val="00A665E3"/>
    <w:rsid w:val="00A71DF7"/>
    <w:rsid w:val="00A769CB"/>
    <w:rsid w:val="00A80ABC"/>
    <w:rsid w:val="00A81251"/>
    <w:rsid w:val="00A81E82"/>
    <w:rsid w:val="00A83F93"/>
    <w:rsid w:val="00A84907"/>
    <w:rsid w:val="00A91EDB"/>
    <w:rsid w:val="00A92EE6"/>
    <w:rsid w:val="00A93BC3"/>
    <w:rsid w:val="00A93CDB"/>
    <w:rsid w:val="00AA001F"/>
    <w:rsid w:val="00AA0A66"/>
    <w:rsid w:val="00AA10A4"/>
    <w:rsid w:val="00AA277E"/>
    <w:rsid w:val="00AA2791"/>
    <w:rsid w:val="00AA49FD"/>
    <w:rsid w:val="00AA4E9A"/>
    <w:rsid w:val="00AA5A3F"/>
    <w:rsid w:val="00AB526C"/>
    <w:rsid w:val="00AB6F04"/>
    <w:rsid w:val="00AB74B8"/>
    <w:rsid w:val="00AC4D37"/>
    <w:rsid w:val="00AC63B7"/>
    <w:rsid w:val="00AD287A"/>
    <w:rsid w:val="00AD2B28"/>
    <w:rsid w:val="00AD376C"/>
    <w:rsid w:val="00AD3CAF"/>
    <w:rsid w:val="00AD493D"/>
    <w:rsid w:val="00AD6041"/>
    <w:rsid w:val="00AD618F"/>
    <w:rsid w:val="00AD6B39"/>
    <w:rsid w:val="00AE00EC"/>
    <w:rsid w:val="00AE05EF"/>
    <w:rsid w:val="00AF032C"/>
    <w:rsid w:val="00AF4056"/>
    <w:rsid w:val="00AF7A94"/>
    <w:rsid w:val="00AF7D67"/>
    <w:rsid w:val="00B0120B"/>
    <w:rsid w:val="00B05B80"/>
    <w:rsid w:val="00B05F9B"/>
    <w:rsid w:val="00B07F44"/>
    <w:rsid w:val="00B13E39"/>
    <w:rsid w:val="00B147D8"/>
    <w:rsid w:val="00B14BCC"/>
    <w:rsid w:val="00B155E7"/>
    <w:rsid w:val="00B20D77"/>
    <w:rsid w:val="00B21349"/>
    <w:rsid w:val="00B22FE0"/>
    <w:rsid w:val="00B25AC3"/>
    <w:rsid w:val="00B32DE4"/>
    <w:rsid w:val="00B33403"/>
    <w:rsid w:val="00B35CE7"/>
    <w:rsid w:val="00B45EDE"/>
    <w:rsid w:val="00B46DAB"/>
    <w:rsid w:val="00B5672D"/>
    <w:rsid w:val="00B57CDC"/>
    <w:rsid w:val="00B63F6C"/>
    <w:rsid w:val="00B64CE7"/>
    <w:rsid w:val="00B71AD4"/>
    <w:rsid w:val="00B73313"/>
    <w:rsid w:val="00B73AB9"/>
    <w:rsid w:val="00B76383"/>
    <w:rsid w:val="00B80B31"/>
    <w:rsid w:val="00B81313"/>
    <w:rsid w:val="00B90C57"/>
    <w:rsid w:val="00B916B1"/>
    <w:rsid w:val="00B9495A"/>
    <w:rsid w:val="00BA052D"/>
    <w:rsid w:val="00BA50D1"/>
    <w:rsid w:val="00BA56F6"/>
    <w:rsid w:val="00BA59F4"/>
    <w:rsid w:val="00BA6A96"/>
    <w:rsid w:val="00BA7EE3"/>
    <w:rsid w:val="00BB3B40"/>
    <w:rsid w:val="00BC1618"/>
    <w:rsid w:val="00BC1C36"/>
    <w:rsid w:val="00BC2336"/>
    <w:rsid w:val="00BC5355"/>
    <w:rsid w:val="00BC5930"/>
    <w:rsid w:val="00BD1600"/>
    <w:rsid w:val="00BD410A"/>
    <w:rsid w:val="00BD6113"/>
    <w:rsid w:val="00BD6C3D"/>
    <w:rsid w:val="00BD6F3B"/>
    <w:rsid w:val="00BE5DD2"/>
    <w:rsid w:val="00BE789C"/>
    <w:rsid w:val="00BE7B77"/>
    <w:rsid w:val="00BF0720"/>
    <w:rsid w:val="00BF1823"/>
    <w:rsid w:val="00C000AE"/>
    <w:rsid w:val="00C01E04"/>
    <w:rsid w:val="00C048EF"/>
    <w:rsid w:val="00C061B5"/>
    <w:rsid w:val="00C103BB"/>
    <w:rsid w:val="00C123E7"/>
    <w:rsid w:val="00C12EE7"/>
    <w:rsid w:val="00C1315D"/>
    <w:rsid w:val="00C13399"/>
    <w:rsid w:val="00C15C3B"/>
    <w:rsid w:val="00C200C0"/>
    <w:rsid w:val="00C21DCB"/>
    <w:rsid w:val="00C26F5D"/>
    <w:rsid w:val="00C32960"/>
    <w:rsid w:val="00C379C0"/>
    <w:rsid w:val="00C47BC7"/>
    <w:rsid w:val="00C50F45"/>
    <w:rsid w:val="00C52D6C"/>
    <w:rsid w:val="00C53FA3"/>
    <w:rsid w:val="00C56515"/>
    <w:rsid w:val="00C600B5"/>
    <w:rsid w:val="00C601D6"/>
    <w:rsid w:val="00C6313E"/>
    <w:rsid w:val="00C64344"/>
    <w:rsid w:val="00C6555F"/>
    <w:rsid w:val="00C70CC7"/>
    <w:rsid w:val="00C70F2F"/>
    <w:rsid w:val="00C75B67"/>
    <w:rsid w:val="00C76318"/>
    <w:rsid w:val="00C84AF6"/>
    <w:rsid w:val="00C85355"/>
    <w:rsid w:val="00C85D5B"/>
    <w:rsid w:val="00C875E1"/>
    <w:rsid w:val="00C87D57"/>
    <w:rsid w:val="00C90904"/>
    <w:rsid w:val="00C94BC8"/>
    <w:rsid w:val="00C97DD2"/>
    <w:rsid w:val="00CA03CC"/>
    <w:rsid w:val="00CA3831"/>
    <w:rsid w:val="00CA5C52"/>
    <w:rsid w:val="00CA603A"/>
    <w:rsid w:val="00CB202C"/>
    <w:rsid w:val="00CB2874"/>
    <w:rsid w:val="00CB7E71"/>
    <w:rsid w:val="00CC102A"/>
    <w:rsid w:val="00CC31C7"/>
    <w:rsid w:val="00CC3ED9"/>
    <w:rsid w:val="00CC3F03"/>
    <w:rsid w:val="00CD062A"/>
    <w:rsid w:val="00CD3FAC"/>
    <w:rsid w:val="00CD5639"/>
    <w:rsid w:val="00CD6969"/>
    <w:rsid w:val="00CE0EAF"/>
    <w:rsid w:val="00CE5356"/>
    <w:rsid w:val="00CF36AA"/>
    <w:rsid w:val="00CF4637"/>
    <w:rsid w:val="00D000CA"/>
    <w:rsid w:val="00D044C1"/>
    <w:rsid w:val="00D04613"/>
    <w:rsid w:val="00D07257"/>
    <w:rsid w:val="00D119F5"/>
    <w:rsid w:val="00D11D1F"/>
    <w:rsid w:val="00D12DF5"/>
    <w:rsid w:val="00D156AB"/>
    <w:rsid w:val="00D1580D"/>
    <w:rsid w:val="00D16111"/>
    <w:rsid w:val="00D1625E"/>
    <w:rsid w:val="00D1679E"/>
    <w:rsid w:val="00D16A01"/>
    <w:rsid w:val="00D17FFA"/>
    <w:rsid w:val="00D20B7E"/>
    <w:rsid w:val="00D20FF6"/>
    <w:rsid w:val="00D21F40"/>
    <w:rsid w:val="00D34DD9"/>
    <w:rsid w:val="00D35D22"/>
    <w:rsid w:val="00D36F61"/>
    <w:rsid w:val="00D372E1"/>
    <w:rsid w:val="00D41335"/>
    <w:rsid w:val="00D4211C"/>
    <w:rsid w:val="00D426A7"/>
    <w:rsid w:val="00D438DA"/>
    <w:rsid w:val="00D43F70"/>
    <w:rsid w:val="00D45BA9"/>
    <w:rsid w:val="00D476B8"/>
    <w:rsid w:val="00D54DB5"/>
    <w:rsid w:val="00D553E5"/>
    <w:rsid w:val="00D64B27"/>
    <w:rsid w:val="00D67562"/>
    <w:rsid w:val="00D721CD"/>
    <w:rsid w:val="00D73767"/>
    <w:rsid w:val="00D73E96"/>
    <w:rsid w:val="00D73F1F"/>
    <w:rsid w:val="00D85DA5"/>
    <w:rsid w:val="00D879E1"/>
    <w:rsid w:val="00D93989"/>
    <w:rsid w:val="00D93C94"/>
    <w:rsid w:val="00D945CA"/>
    <w:rsid w:val="00D96277"/>
    <w:rsid w:val="00DA43A3"/>
    <w:rsid w:val="00DA4D36"/>
    <w:rsid w:val="00DA5D15"/>
    <w:rsid w:val="00DA6356"/>
    <w:rsid w:val="00DA6D76"/>
    <w:rsid w:val="00DB0F81"/>
    <w:rsid w:val="00DB1643"/>
    <w:rsid w:val="00DB2C1B"/>
    <w:rsid w:val="00DC3C71"/>
    <w:rsid w:val="00DC57AA"/>
    <w:rsid w:val="00DC5F32"/>
    <w:rsid w:val="00DD109C"/>
    <w:rsid w:val="00DD1FD2"/>
    <w:rsid w:val="00DD2805"/>
    <w:rsid w:val="00DD5662"/>
    <w:rsid w:val="00DD6E09"/>
    <w:rsid w:val="00DE2518"/>
    <w:rsid w:val="00DE59F2"/>
    <w:rsid w:val="00DE5FA4"/>
    <w:rsid w:val="00DF0263"/>
    <w:rsid w:val="00DF3932"/>
    <w:rsid w:val="00E00FE3"/>
    <w:rsid w:val="00E0222C"/>
    <w:rsid w:val="00E10615"/>
    <w:rsid w:val="00E1735A"/>
    <w:rsid w:val="00E210EF"/>
    <w:rsid w:val="00E23721"/>
    <w:rsid w:val="00E2567C"/>
    <w:rsid w:val="00E33C92"/>
    <w:rsid w:val="00E368BB"/>
    <w:rsid w:val="00E43A4D"/>
    <w:rsid w:val="00E45E7E"/>
    <w:rsid w:val="00E504CC"/>
    <w:rsid w:val="00E56099"/>
    <w:rsid w:val="00E57D08"/>
    <w:rsid w:val="00E63F34"/>
    <w:rsid w:val="00E66A6A"/>
    <w:rsid w:val="00E70576"/>
    <w:rsid w:val="00E70B84"/>
    <w:rsid w:val="00E70DAB"/>
    <w:rsid w:val="00E71DEA"/>
    <w:rsid w:val="00E73584"/>
    <w:rsid w:val="00E77DDB"/>
    <w:rsid w:val="00E83F8C"/>
    <w:rsid w:val="00E86BAE"/>
    <w:rsid w:val="00E9003A"/>
    <w:rsid w:val="00E90B78"/>
    <w:rsid w:val="00E9251A"/>
    <w:rsid w:val="00E95358"/>
    <w:rsid w:val="00E95AF4"/>
    <w:rsid w:val="00E9618A"/>
    <w:rsid w:val="00E973F4"/>
    <w:rsid w:val="00E97783"/>
    <w:rsid w:val="00E97CC2"/>
    <w:rsid w:val="00E97E56"/>
    <w:rsid w:val="00EA10A8"/>
    <w:rsid w:val="00EA6792"/>
    <w:rsid w:val="00EB3D95"/>
    <w:rsid w:val="00EC0C48"/>
    <w:rsid w:val="00EC173F"/>
    <w:rsid w:val="00EC560B"/>
    <w:rsid w:val="00EC6490"/>
    <w:rsid w:val="00ED1782"/>
    <w:rsid w:val="00ED1FB2"/>
    <w:rsid w:val="00ED5932"/>
    <w:rsid w:val="00EF18F4"/>
    <w:rsid w:val="00EF4F85"/>
    <w:rsid w:val="00EF7789"/>
    <w:rsid w:val="00EF7B5F"/>
    <w:rsid w:val="00EF7E02"/>
    <w:rsid w:val="00F0067D"/>
    <w:rsid w:val="00F0236B"/>
    <w:rsid w:val="00F03737"/>
    <w:rsid w:val="00F1282D"/>
    <w:rsid w:val="00F12877"/>
    <w:rsid w:val="00F12918"/>
    <w:rsid w:val="00F13E98"/>
    <w:rsid w:val="00F16854"/>
    <w:rsid w:val="00F222BD"/>
    <w:rsid w:val="00F239B8"/>
    <w:rsid w:val="00F32CF9"/>
    <w:rsid w:val="00F35A61"/>
    <w:rsid w:val="00F40B14"/>
    <w:rsid w:val="00F42C82"/>
    <w:rsid w:val="00F4464A"/>
    <w:rsid w:val="00F450D5"/>
    <w:rsid w:val="00F45CD0"/>
    <w:rsid w:val="00F46D0B"/>
    <w:rsid w:val="00F51C1D"/>
    <w:rsid w:val="00F57D35"/>
    <w:rsid w:val="00F57EF1"/>
    <w:rsid w:val="00F62033"/>
    <w:rsid w:val="00F620B6"/>
    <w:rsid w:val="00F6213B"/>
    <w:rsid w:val="00F64417"/>
    <w:rsid w:val="00F644E5"/>
    <w:rsid w:val="00F65DB3"/>
    <w:rsid w:val="00F66D19"/>
    <w:rsid w:val="00F70EE9"/>
    <w:rsid w:val="00F72A7B"/>
    <w:rsid w:val="00F80DE0"/>
    <w:rsid w:val="00F817D8"/>
    <w:rsid w:val="00F82508"/>
    <w:rsid w:val="00F83C21"/>
    <w:rsid w:val="00F83EBD"/>
    <w:rsid w:val="00F91EA5"/>
    <w:rsid w:val="00FA1660"/>
    <w:rsid w:val="00FA2764"/>
    <w:rsid w:val="00FA3BD7"/>
    <w:rsid w:val="00FA43DF"/>
    <w:rsid w:val="00FA55FF"/>
    <w:rsid w:val="00FB2746"/>
    <w:rsid w:val="00FB28D0"/>
    <w:rsid w:val="00FB39D3"/>
    <w:rsid w:val="00FB4094"/>
    <w:rsid w:val="00FB5CE2"/>
    <w:rsid w:val="00FB77F6"/>
    <w:rsid w:val="00FC0C03"/>
    <w:rsid w:val="00FC351D"/>
    <w:rsid w:val="00FC5943"/>
    <w:rsid w:val="00FD15BF"/>
    <w:rsid w:val="00FD6F69"/>
    <w:rsid w:val="00FE1F01"/>
    <w:rsid w:val="00FE2FB1"/>
    <w:rsid w:val="00FE5BB4"/>
    <w:rsid w:val="00FE5BF1"/>
    <w:rsid w:val="00FE5CCF"/>
    <w:rsid w:val="00FF0136"/>
    <w:rsid w:val="00FF4203"/>
    <w:rsid w:val="00FF687E"/>
    <w:rsid w:val="0283240B"/>
    <w:rsid w:val="1FEA526B"/>
    <w:rsid w:val="27630B24"/>
    <w:rsid w:val="306B04F2"/>
    <w:rsid w:val="33BE2D61"/>
    <w:rsid w:val="40C033F5"/>
    <w:rsid w:val="428D293E"/>
    <w:rsid w:val="4EDE0838"/>
    <w:rsid w:val="4F7C1CD8"/>
    <w:rsid w:val="51A7429B"/>
    <w:rsid w:val="54474178"/>
    <w:rsid w:val="5DF47FC3"/>
    <w:rsid w:val="637FD9F8"/>
    <w:rsid w:val="68002EDE"/>
    <w:rsid w:val="6E8E0DE7"/>
    <w:rsid w:val="70A01F30"/>
    <w:rsid w:val="79F7D42F"/>
    <w:rsid w:val="7D7B1562"/>
    <w:rsid w:val="7D93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CD5E0C6-1821-4ECA-9FD7-FB3AD396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
    <w:qFormat/>
    <w:pPr>
      <w:jc w:val="left"/>
    </w:pPr>
  </w:style>
  <w:style w:type="paragraph" w:styleId="a5">
    <w:name w:val="Body Text"/>
    <w:basedOn w:val="a"/>
    <w:link w:val="Char0"/>
    <w:qFormat/>
    <w:pPr>
      <w:spacing w:line="360" w:lineRule="auto"/>
    </w:pPr>
    <w:rPr>
      <w:rFonts w:ascii="仿宋_GB2312" w:eastAsia="仿宋_GB2312"/>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tabs>
        <w:tab w:val="right" w:leader="dot" w:pos="8494"/>
      </w:tabs>
      <w:adjustRightInd w:val="0"/>
      <w:snapToGrid w:val="0"/>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uiPriority w:val="99"/>
    <w:semiHidden/>
    <w:unhideWhenUsed/>
    <w:qFormat/>
    <w:rPr>
      <w:color w:val="800080"/>
      <w:u w:val="single"/>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4">
    <w:name w:val="页眉 Char"/>
    <w:basedOn w:val="a1"/>
    <w:link w:val="a9"/>
    <w:uiPriority w:val="99"/>
    <w:qFormat/>
    <w:rPr>
      <w:kern w:val="2"/>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1">
    <w:name w:val="正文文本缩进 Char"/>
    <w:basedOn w:val="a1"/>
    <w:link w:val="a6"/>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
    <w:name w:val="批注文字 Char"/>
    <w:basedOn w:val="a1"/>
    <w:link w:val="a4"/>
    <w:qFormat/>
    <w:rPr>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kern w:val="2"/>
      <w:sz w:val="21"/>
      <w:szCs w:val="24"/>
    </w:rPr>
  </w:style>
  <w:style w:type="paragraph" w:customStyle="1" w:styleId="11">
    <w:name w:val="修订1"/>
    <w:hidden/>
    <w:uiPriority w:val="99"/>
    <w:semiHidden/>
    <w:qFormat/>
    <w:rPr>
      <w:kern w:val="2"/>
      <w:sz w:val="21"/>
      <w:szCs w:val="24"/>
    </w:rPr>
  </w:style>
  <w:style w:type="character" w:customStyle="1" w:styleId="af1">
    <w:name w:val="批注文字 字符"/>
    <w:uiPriority w:val="99"/>
    <w:qFormat/>
  </w:style>
  <w:style w:type="character" w:customStyle="1" w:styleId="1Char">
    <w:name w:val="标题 1 Char"/>
    <w:basedOn w:val="a1"/>
    <w:link w:val="1"/>
    <w:uiPriority w:val="9"/>
    <w:qFormat/>
    <w:rPr>
      <w:b/>
      <w:bCs/>
      <w:kern w:val="44"/>
      <w:sz w:val="44"/>
      <w:szCs w:val="44"/>
    </w:rPr>
  </w:style>
  <w:style w:type="paragraph" w:customStyle="1" w:styleId="22">
    <w:name w:val="修订2"/>
    <w:hidden/>
    <w:uiPriority w:val="99"/>
    <w:semiHidden/>
    <w:qFormat/>
    <w:rPr>
      <w:kern w:val="2"/>
      <w:sz w:val="21"/>
      <w:szCs w:val="24"/>
    </w:rPr>
  </w:style>
  <w:style w:type="paragraph" w:customStyle="1" w:styleId="31">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 w:type="paragraph" w:customStyle="1" w:styleId="60">
    <w:name w:val="修订6"/>
    <w:hidden/>
    <w:uiPriority w:val="99"/>
    <w:semiHidden/>
    <w:qFormat/>
    <w:rPr>
      <w:kern w:val="2"/>
      <w:sz w:val="21"/>
      <w:szCs w:val="24"/>
    </w:rPr>
  </w:style>
  <w:style w:type="paragraph" w:customStyle="1" w:styleId="70">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FAA5CDF-DD47-4672-9D74-988D34A5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5532</Words>
  <Characters>31535</Characters>
  <Application>Microsoft Office Word</Application>
  <DocSecurity>0</DocSecurity>
  <Lines>262</Lines>
  <Paragraphs>73</Paragraphs>
  <ScaleCrop>false</ScaleCrop>
  <Company>神州网信技术有限公司</Company>
  <LinksUpToDate>false</LinksUpToDate>
  <CharactersWithSpaces>36994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叶方宜</dc:creator>
  <cp:lastModifiedBy>陈珩-OA</cp:lastModifiedBy>
  <cp:revision>69</cp:revision>
  <cp:lastPrinted>2026-06-23T02:14:00Z</cp:lastPrinted>
  <dcterms:created xsi:type="dcterms:W3CDTF">2026-02-25T01:31:00Z</dcterms:created>
  <dcterms:modified xsi:type="dcterms:W3CDTF">2026-06-23T02:15:00Z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9D29401F89C94120B1AABD1727C43AE4_13</vt:lpwstr>
  </property>
  <property fmtid="{D5CDD505-2E9C-101B-9397-08002B2CF9AE}" pid="4" name="GrammarlyDocumentId">
    <vt:lpwstr>0938af3e180e81335e124a8299b971a0c5c95ee2f8c13248fdd29b45ff8eb8d5</vt:lpwstr>
  </property>
</Properties>
</file>