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EA7860" w14:textId="77777777" w:rsidR="009D63C8" w:rsidRPr="001B1027" w:rsidRDefault="009D63C8">
      <w:pPr>
        <w:tabs>
          <w:tab w:val="left" w:pos="6660"/>
        </w:tabs>
        <w:spacing w:line="360" w:lineRule="auto"/>
        <w:jc w:val="center"/>
        <w:rPr>
          <w:bCs/>
          <w:sz w:val="44"/>
        </w:rPr>
      </w:pPr>
    </w:p>
    <w:p w14:paraId="7418D28A" w14:textId="77777777" w:rsidR="009D63C8" w:rsidRDefault="009713AD">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7751E5E6" w14:textId="77777777" w:rsidR="00BB778B" w:rsidRPr="001B1027" w:rsidRDefault="009713AD">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1BEDACCE" w14:textId="77777777" w:rsidR="00BB778B" w:rsidRDefault="009713AD">
      <w:pPr>
        <w:jc w:val="center"/>
        <w:rPr>
          <w:b/>
          <w:sz w:val="52"/>
        </w:rPr>
      </w:pPr>
      <w:r>
        <w:rPr>
          <w:b/>
          <w:noProof/>
          <w:sz w:val="52"/>
        </w:rPr>
        <w:t>汇添富基金管理股份有限公司</w:t>
      </w:r>
    </w:p>
    <w:p w14:paraId="080B253E" w14:textId="77777777" w:rsidR="00BB778B" w:rsidRPr="001B1027" w:rsidRDefault="00BB778B">
      <w:pPr>
        <w:jc w:val="center"/>
        <w:rPr>
          <w:b/>
          <w:sz w:val="52"/>
        </w:rPr>
      </w:pPr>
    </w:p>
    <w:p w14:paraId="2EA07D29" w14:textId="77777777" w:rsidR="009D63C8" w:rsidRPr="00CE017B" w:rsidRDefault="009D63C8">
      <w:pPr>
        <w:rPr>
          <w:b/>
        </w:rPr>
      </w:pPr>
    </w:p>
    <w:p w14:paraId="5DEE6C3A" w14:textId="77777777" w:rsidR="009D63C8" w:rsidRPr="00CE017B" w:rsidRDefault="009D63C8">
      <w:pPr>
        <w:jc w:val="center"/>
        <w:rPr>
          <w:b/>
          <w:sz w:val="52"/>
        </w:rPr>
      </w:pPr>
    </w:p>
    <w:p w14:paraId="1EBAE136" w14:textId="4FAED3AC" w:rsidR="009D63C8" w:rsidRPr="00D059D7" w:rsidRDefault="009713AD">
      <w:pPr>
        <w:jc w:val="center"/>
        <w:rPr>
          <w:b/>
          <w:sz w:val="48"/>
        </w:rPr>
      </w:pPr>
      <w:bookmarkStart w:id="0" w:name="_Toc123112223"/>
      <w:bookmarkStart w:id="1" w:name="_Toc123112262"/>
      <w:bookmarkStart w:id="2" w:name="_Toc123701382"/>
      <w:bookmarkStart w:id="3" w:name="_Toc139991725"/>
      <w:bookmarkStart w:id="4" w:name="_Toc139992300"/>
      <w:r w:rsidRPr="00BB778B">
        <w:rPr>
          <w:rFonts w:ascii="宋体" w:hAnsi="宋体"/>
          <w:b/>
          <w:noProof/>
          <w:sz w:val="48"/>
        </w:rPr>
        <w:t>汇添富中证全指指数增强型证券投资基金</w:t>
      </w:r>
      <w:r w:rsidRPr="00BB778B">
        <w:rPr>
          <w:rFonts w:ascii="宋体" w:hAnsi="宋体" w:hint="eastAsia"/>
          <w:b/>
          <w:sz w:val="48"/>
        </w:rPr>
        <w:t>基金合同</w:t>
      </w:r>
      <w:bookmarkEnd w:id="0"/>
      <w:bookmarkEnd w:id="1"/>
      <w:bookmarkEnd w:id="2"/>
      <w:bookmarkEnd w:id="3"/>
      <w:bookmarkEnd w:id="4"/>
    </w:p>
    <w:p w14:paraId="025E9CED" w14:textId="77777777" w:rsidR="009D63C8" w:rsidRPr="00C92A27" w:rsidRDefault="009D63C8">
      <w:pPr>
        <w:jc w:val="center"/>
        <w:rPr>
          <w:b/>
          <w:sz w:val="52"/>
        </w:rPr>
      </w:pPr>
    </w:p>
    <w:p w14:paraId="02B6EE71" w14:textId="77777777" w:rsidR="006F0EAB" w:rsidRPr="00CE017B" w:rsidRDefault="006F0EAB">
      <w:pPr>
        <w:jc w:val="center"/>
        <w:rPr>
          <w:b/>
          <w:sz w:val="52"/>
        </w:rPr>
      </w:pPr>
    </w:p>
    <w:p w14:paraId="3EE61D53" w14:textId="77777777" w:rsidR="000A0044" w:rsidRPr="00CE017B" w:rsidRDefault="009713AD" w:rsidP="00BB778B">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1CFFD370" w14:textId="77777777" w:rsidR="009D63C8" w:rsidRPr="00E8685D" w:rsidRDefault="009713AD">
      <w:pPr>
        <w:jc w:val="center"/>
        <w:rPr>
          <w:b/>
          <w:sz w:val="32"/>
        </w:rPr>
      </w:pPr>
      <w:bookmarkStart w:id="5" w:name="_Toc139992301"/>
      <w:bookmarkStart w:id="6" w:name="_Toc139991726"/>
      <w:bookmarkStart w:id="7" w:name="_Toc123701383"/>
      <w:bookmarkStart w:id="8" w:name="_Toc123112263"/>
      <w:bookmarkStart w:id="9" w:name="_Toc123112224"/>
      <w:r w:rsidRPr="00E8685D">
        <w:rPr>
          <w:rFonts w:hint="eastAsia"/>
          <w:b/>
          <w:sz w:val="32"/>
        </w:rPr>
        <w:t>基金管理人：</w:t>
      </w:r>
      <w:bookmarkEnd w:id="5"/>
      <w:bookmarkEnd w:id="6"/>
      <w:bookmarkEnd w:id="7"/>
      <w:bookmarkEnd w:id="8"/>
      <w:bookmarkEnd w:id="9"/>
      <w:r w:rsidR="00990F3B">
        <w:rPr>
          <w:b/>
          <w:noProof/>
          <w:sz w:val="32"/>
        </w:rPr>
        <w:t>汇添富基金管理股份有限公司</w:t>
      </w:r>
    </w:p>
    <w:p w14:paraId="1D5F3D2A" w14:textId="77777777" w:rsidR="009D63C8" w:rsidRPr="00E8685D" w:rsidRDefault="009713AD">
      <w:pPr>
        <w:jc w:val="center"/>
        <w:rPr>
          <w:b/>
          <w:sz w:val="32"/>
        </w:rPr>
      </w:pPr>
      <w:bookmarkStart w:id="10" w:name="_Toc123112225"/>
      <w:bookmarkStart w:id="11" w:name="_Toc123112264"/>
      <w:bookmarkStart w:id="12" w:name="_Toc123701384"/>
      <w:bookmarkStart w:id="13" w:name="_Toc139991727"/>
      <w:bookmarkStart w:id="14" w:name="_Toc139992302"/>
      <w:r w:rsidRPr="00E8685D">
        <w:rPr>
          <w:rFonts w:hint="eastAsia"/>
          <w:b/>
          <w:sz w:val="32"/>
        </w:rPr>
        <w:t>基金托管人：</w:t>
      </w:r>
      <w:bookmarkEnd w:id="10"/>
      <w:bookmarkEnd w:id="11"/>
      <w:bookmarkEnd w:id="12"/>
      <w:bookmarkEnd w:id="13"/>
      <w:bookmarkEnd w:id="14"/>
      <w:r w:rsidR="00990F3B">
        <w:rPr>
          <w:b/>
          <w:noProof/>
          <w:sz w:val="32"/>
        </w:rPr>
        <w:t>中国建设银行股份有限公司</w:t>
      </w:r>
    </w:p>
    <w:p w14:paraId="69BA470D" w14:textId="77777777" w:rsidR="00CC22D6" w:rsidRPr="00D059D7" w:rsidRDefault="00CC22D6">
      <w:pPr>
        <w:jc w:val="center"/>
        <w:rPr>
          <w:b/>
          <w:sz w:val="30"/>
        </w:rPr>
      </w:pPr>
      <w:bookmarkStart w:id="15" w:name="_Toc123112227"/>
      <w:bookmarkStart w:id="16" w:name="_Toc123112266"/>
      <w:bookmarkStart w:id="17" w:name="_Toc123701386"/>
      <w:bookmarkStart w:id="18" w:name="_Toc139991729"/>
    </w:p>
    <w:p w14:paraId="2A44B2EA" w14:textId="77777777" w:rsidR="006F0EAB" w:rsidRPr="00D059D7" w:rsidRDefault="006F0EAB">
      <w:pPr>
        <w:jc w:val="center"/>
        <w:rPr>
          <w:b/>
          <w:sz w:val="30"/>
        </w:rPr>
      </w:pPr>
    </w:p>
    <w:p w14:paraId="289071C8" w14:textId="77777777" w:rsidR="00CC22D6" w:rsidRDefault="00CC22D6">
      <w:pPr>
        <w:jc w:val="center"/>
        <w:rPr>
          <w:b/>
          <w:bCs/>
          <w:sz w:val="30"/>
        </w:rPr>
      </w:pPr>
    </w:p>
    <w:p w14:paraId="1F6B0B6D" w14:textId="77777777" w:rsidR="00EE4A7D" w:rsidRPr="00EE4A7D" w:rsidRDefault="00EE4A7D" w:rsidP="00AF30BD">
      <w:pPr>
        <w:jc w:val="center"/>
        <w:rPr>
          <w:rFonts w:ascii="宋体"/>
          <w:b/>
          <w:bCs/>
          <w:sz w:val="30"/>
        </w:rPr>
      </w:pPr>
    </w:p>
    <w:p w14:paraId="68A20CF1" w14:textId="77777777" w:rsidR="00B034AA" w:rsidRPr="00EB4987" w:rsidRDefault="00B034AA" w:rsidP="00AF30BD">
      <w:pPr>
        <w:jc w:val="center"/>
        <w:rPr>
          <w:rFonts w:ascii="宋体"/>
          <w:b/>
          <w:bCs/>
          <w:sz w:val="30"/>
        </w:rPr>
        <w:sectPr w:rsidR="00B034AA" w:rsidRPr="00EB4987" w:rsidSect="003D4BDD">
          <w:footerReference w:type="default" r:id="rId9"/>
          <w:pgSz w:w="11906" w:h="16838"/>
          <w:pgMar w:top="1440" w:right="1800" w:bottom="1440" w:left="1800" w:header="851" w:footer="992" w:gutter="0"/>
          <w:cols w:space="720"/>
          <w:docGrid w:type="lines" w:linePitch="312"/>
        </w:sectPr>
      </w:pP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bookmarkEnd w:id="15"/>
      <w:bookmarkEnd w:id="16"/>
      <w:bookmarkEnd w:id="17"/>
      <w:bookmarkEnd w:id="18"/>
    </w:p>
    <w:p w14:paraId="2BD76A2B" w14:textId="77777777" w:rsidR="00B034AA" w:rsidRPr="00085549" w:rsidRDefault="009713AD" w:rsidP="0008554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14:paraId="0210CDB0" w14:textId="7308C27B" w:rsidR="000A052A" w:rsidRDefault="009713AD">
      <w:pPr>
        <w:pStyle w:val="11"/>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c"/>
            <w:noProof/>
          </w:rPr>
          <w:t>第一部分</w:t>
        </w:r>
        <w:r w:rsidRPr="009E26D0">
          <w:rPr>
            <w:rStyle w:val="ac"/>
            <w:noProof/>
          </w:rPr>
          <w:t xml:space="preserve">  </w:t>
        </w:r>
        <w:r w:rsidRPr="009E26D0">
          <w:rPr>
            <w:rStyle w:val="ac"/>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855765">
          <w:rPr>
            <w:noProof/>
          </w:rPr>
          <w:t>1</w:t>
        </w:r>
        <w:r>
          <w:rPr>
            <w:noProof/>
          </w:rPr>
          <w:fldChar w:fldCharType="end"/>
        </w:r>
      </w:hyperlink>
    </w:p>
    <w:p w14:paraId="59AF9926" w14:textId="50C477A6" w:rsidR="000A052A" w:rsidRDefault="006D0015">
      <w:pPr>
        <w:pStyle w:val="11"/>
        <w:rPr>
          <w:rFonts w:asciiTheme="minorHAnsi" w:hAnsiTheme="minorHAnsi"/>
          <w:noProof/>
        </w:rPr>
      </w:pPr>
      <w:hyperlink w:anchor="_Toc256000001" w:history="1">
        <w:r w:rsidR="009713AD" w:rsidRPr="009E26D0">
          <w:rPr>
            <w:rStyle w:val="ac"/>
            <w:noProof/>
          </w:rPr>
          <w:t>第二部分</w:t>
        </w:r>
        <w:r w:rsidR="009713AD" w:rsidRPr="009E26D0">
          <w:rPr>
            <w:rStyle w:val="ac"/>
            <w:noProof/>
          </w:rPr>
          <w:t xml:space="preserve">  </w:t>
        </w:r>
        <w:r w:rsidR="009713AD" w:rsidRPr="009E26D0">
          <w:rPr>
            <w:rStyle w:val="ac"/>
            <w:noProof/>
          </w:rPr>
          <w:t>释义</w:t>
        </w:r>
        <w:r w:rsidR="009713AD">
          <w:rPr>
            <w:noProof/>
          </w:rPr>
          <w:tab/>
        </w:r>
        <w:r w:rsidR="009713AD">
          <w:rPr>
            <w:noProof/>
          </w:rPr>
          <w:fldChar w:fldCharType="begin"/>
        </w:r>
        <w:r w:rsidR="009713AD">
          <w:rPr>
            <w:noProof/>
          </w:rPr>
          <w:instrText xml:space="preserve"> PAGEREF _Toc256000001 \h </w:instrText>
        </w:r>
        <w:r w:rsidR="009713AD">
          <w:rPr>
            <w:noProof/>
          </w:rPr>
        </w:r>
        <w:r w:rsidR="009713AD">
          <w:rPr>
            <w:noProof/>
          </w:rPr>
          <w:fldChar w:fldCharType="separate"/>
        </w:r>
        <w:r w:rsidR="00855765">
          <w:rPr>
            <w:noProof/>
          </w:rPr>
          <w:t>4</w:t>
        </w:r>
        <w:r w:rsidR="009713AD">
          <w:rPr>
            <w:noProof/>
          </w:rPr>
          <w:fldChar w:fldCharType="end"/>
        </w:r>
      </w:hyperlink>
    </w:p>
    <w:p w14:paraId="40933A32" w14:textId="1F419B58" w:rsidR="000A052A" w:rsidRDefault="006D0015">
      <w:pPr>
        <w:pStyle w:val="11"/>
        <w:rPr>
          <w:rFonts w:asciiTheme="minorHAnsi" w:hAnsiTheme="minorHAnsi"/>
          <w:noProof/>
        </w:rPr>
      </w:pPr>
      <w:hyperlink w:anchor="_Toc256000002" w:history="1">
        <w:r w:rsidR="009713AD" w:rsidRPr="009E26D0">
          <w:rPr>
            <w:rStyle w:val="ac"/>
            <w:noProof/>
          </w:rPr>
          <w:t>第三部分</w:t>
        </w:r>
        <w:r w:rsidR="009713AD" w:rsidRPr="009E26D0">
          <w:rPr>
            <w:rStyle w:val="ac"/>
            <w:noProof/>
          </w:rPr>
          <w:t xml:space="preserve">  </w:t>
        </w:r>
        <w:r w:rsidR="009713AD" w:rsidRPr="009E26D0">
          <w:rPr>
            <w:rStyle w:val="ac"/>
            <w:noProof/>
          </w:rPr>
          <w:t>基金的基本情况</w:t>
        </w:r>
        <w:r w:rsidR="009713AD">
          <w:rPr>
            <w:noProof/>
          </w:rPr>
          <w:tab/>
        </w:r>
        <w:r w:rsidR="009713AD">
          <w:rPr>
            <w:noProof/>
          </w:rPr>
          <w:fldChar w:fldCharType="begin"/>
        </w:r>
        <w:r w:rsidR="009713AD">
          <w:rPr>
            <w:noProof/>
          </w:rPr>
          <w:instrText xml:space="preserve"> PAGEREF _Toc256000002 \h </w:instrText>
        </w:r>
        <w:r w:rsidR="009713AD">
          <w:rPr>
            <w:noProof/>
          </w:rPr>
        </w:r>
        <w:r w:rsidR="009713AD">
          <w:rPr>
            <w:noProof/>
          </w:rPr>
          <w:fldChar w:fldCharType="separate"/>
        </w:r>
        <w:r w:rsidR="00855765">
          <w:rPr>
            <w:noProof/>
          </w:rPr>
          <w:t>10</w:t>
        </w:r>
        <w:r w:rsidR="009713AD">
          <w:rPr>
            <w:noProof/>
          </w:rPr>
          <w:fldChar w:fldCharType="end"/>
        </w:r>
      </w:hyperlink>
    </w:p>
    <w:p w14:paraId="6B2C7684" w14:textId="3C0BF661" w:rsidR="000A052A" w:rsidRDefault="006D0015">
      <w:pPr>
        <w:pStyle w:val="11"/>
        <w:rPr>
          <w:rFonts w:asciiTheme="minorHAnsi" w:hAnsiTheme="minorHAnsi"/>
          <w:noProof/>
        </w:rPr>
      </w:pPr>
      <w:hyperlink w:anchor="_Toc256000003" w:history="1">
        <w:r w:rsidR="009713AD" w:rsidRPr="009E26D0">
          <w:rPr>
            <w:rStyle w:val="ac"/>
            <w:noProof/>
          </w:rPr>
          <w:t>第四部分</w:t>
        </w:r>
        <w:r w:rsidR="009713AD" w:rsidRPr="009E26D0">
          <w:rPr>
            <w:rStyle w:val="ac"/>
            <w:noProof/>
          </w:rPr>
          <w:t xml:space="preserve">  </w:t>
        </w:r>
        <w:r w:rsidR="009713AD" w:rsidRPr="009E26D0">
          <w:rPr>
            <w:rStyle w:val="ac"/>
            <w:noProof/>
          </w:rPr>
          <w:t>基金份额的发售</w:t>
        </w:r>
        <w:r w:rsidR="009713AD">
          <w:rPr>
            <w:noProof/>
          </w:rPr>
          <w:tab/>
        </w:r>
        <w:r w:rsidR="009713AD">
          <w:rPr>
            <w:noProof/>
          </w:rPr>
          <w:fldChar w:fldCharType="begin"/>
        </w:r>
        <w:r w:rsidR="009713AD">
          <w:rPr>
            <w:noProof/>
          </w:rPr>
          <w:instrText xml:space="preserve"> PAGEREF _Toc256000003 \h </w:instrText>
        </w:r>
        <w:r w:rsidR="009713AD">
          <w:rPr>
            <w:noProof/>
          </w:rPr>
        </w:r>
        <w:r w:rsidR="009713AD">
          <w:rPr>
            <w:noProof/>
          </w:rPr>
          <w:fldChar w:fldCharType="separate"/>
        </w:r>
        <w:r w:rsidR="00855765">
          <w:rPr>
            <w:noProof/>
          </w:rPr>
          <w:t>12</w:t>
        </w:r>
        <w:r w:rsidR="009713AD">
          <w:rPr>
            <w:noProof/>
          </w:rPr>
          <w:fldChar w:fldCharType="end"/>
        </w:r>
      </w:hyperlink>
    </w:p>
    <w:p w14:paraId="23CB8471" w14:textId="576AA872" w:rsidR="000A052A" w:rsidRDefault="006D0015">
      <w:pPr>
        <w:pStyle w:val="11"/>
        <w:rPr>
          <w:rFonts w:asciiTheme="minorHAnsi" w:hAnsiTheme="minorHAnsi"/>
          <w:noProof/>
        </w:rPr>
      </w:pPr>
      <w:hyperlink w:anchor="_Toc256000004" w:history="1">
        <w:r w:rsidR="009713AD" w:rsidRPr="009E26D0">
          <w:rPr>
            <w:rStyle w:val="ac"/>
            <w:noProof/>
          </w:rPr>
          <w:t>第五部分</w:t>
        </w:r>
        <w:r w:rsidR="009713AD" w:rsidRPr="009E26D0">
          <w:rPr>
            <w:rStyle w:val="ac"/>
            <w:noProof/>
          </w:rPr>
          <w:t xml:space="preserve">  </w:t>
        </w:r>
        <w:r w:rsidR="009713AD" w:rsidRPr="009E26D0">
          <w:rPr>
            <w:rStyle w:val="ac"/>
            <w:noProof/>
          </w:rPr>
          <w:t>基金备案</w:t>
        </w:r>
        <w:r w:rsidR="009713AD">
          <w:rPr>
            <w:noProof/>
          </w:rPr>
          <w:tab/>
        </w:r>
        <w:r w:rsidR="009713AD">
          <w:rPr>
            <w:noProof/>
          </w:rPr>
          <w:fldChar w:fldCharType="begin"/>
        </w:r>
        <w:r w:rsidR="009713AD">
          <w:rPr>
            <w:noProof/>
          </w:rPr>
          <w:instrText xml:space="preserve"> PAGEREF _Toc256000004 \h </w:instrText>
        </w:r>
        <w:r w:rsidR="009713AD">
          <w:rPr>
            <w:noProof/>
          </w:rPr>
        </w:r>
        <w:r w:rsidR="009713AD">
          <w:rPr>
            <w:noProof/>
          </w:rPr>
          <w:fldChar w:fldCharType="separate"/>
        </w:r>
        <w:r w:rsidR="00855765">
          <w:rPr>
            <w:noProof/>
          </w:rPr>
          <w:t>14</w:t>
        </w:r>
        <w:r w:rsidR="009713AD">
          <w:rPr>
            <w:noProof/>
          </w:rPr>
          <w:fldChar w:fldCharType="end"/>
        </w:r>
      </w:hyperlink>
    </w:p>
    <w:p w14:paraId="51A49879" w14:textId="6AC8D93E" w:rsidR="000A052A" w:rsidRDefault="006D0015">
      <w:pPr>
        <w:pStyle w:val="11"/>
        <w:rPr>
          <w:rFonts w:asciiTheme="minorHAnsi" w:hAnsiTheme="minorHAnsi"/>
          <w:noProof/>
        </w:rPr>
      </w:pPr>
      <w:hyperlink w:anchor="_Toc256000005" w:history="1">
        <w:r w:rsidR="009713AD" w:rsidRPr="009E26D0">
          <w:rPr>
            <w:rStyle w:val="ac"/>
            <w:noProof/>
          </w:rPr>
          <w:t>第六部分</w:t>
        </w:r>
        <w:r w:rsidR="009713AD" w:rsidRPr="009E26D0">
          <w:rPr>
            <w:rStyle w:val="ac"/>
            <w:noProof/>
          </w:rPr>
          <w:t xml:space="preserve">  </w:t>
        </w:r>
        <w:r w:rsidR="009713AD" w:rsidRPr="009E26D0">
          <w:rPr>
            <w:rStyle w:val="ac"/>
            <w:noProof/>
          </w:rPr>
          <w:t>基金份额的申购与赎回</w:t>
        </w:r>
        <w:r w:rsidR="009713AD">
          <w:rPr>
            <w:noProof/>
          </w:rPr>
          <w:tab/>
        </w:r>
        <w:r w:rsidR="009713AD">
          <w:rPr>
            <w:noProof/>
          </w:rPr>
          <w:fldChar w:fldCharType="begin"/>
        </w:r>
        <w:r w:rsidR="009713AD">
          <w:rPr>
            <w:noProof/>
          </w:rPr>
          <w:instrText xml:space="preserve"> PAGEREF _Toc256000005 \h </w:instrText>
        </w:r>
        <w:r w:rsidR="009713AD">
          <w:rPr>
            <w:noProof/>
          </w:rPr>
        </w:r>
        <w:r w:rsidR="009713AD">
          <w:rPr>
            <w:noProof/>
          </w:rPr>
          <w:fldChar w:fldCharType="separate"/>
        </w:r>
        <w:r w:rsidR="00855765">
          <w:rPr>
            <w:noProof/>
          </w:rPr>
          <w:t>15</w:t>
        </w:r>
        <w:r w:rsidR="009713AD">
          <w:rPr>
            <w:noProof/>
          </w:rPr>
          <w:fldChar w:fldCharType="end"/>
        </w:r>
      </w:hyperlink>
    </w:p>
    <w:p w14:paraId="327A475A" w14:textId="0060DD5F" w:rsidR="000A052A" w:rsidRDefault="006D0015">
      <w:pPr>
        <w:pStyle w:val="11"/>
        <w:rPr>
          <w:rFonts w:asciiTheme="minorHAnsi" w:hAnsiTheme="minorHAnsi"/>
          <w:noProof/>
        </w:rPr>
      </w:pPr>
      <w:hyperlink w:anchor="_Toc256000006" w:history="1">
        <w:r w:rsidR="009713AD" w:rsidRPr="009E26D0">
          <w:rPr>
            <w:rStyle w:val="ac"/>
            <w:noProof/>
          </w:rPr>
          <w:t>第七部分</w:t>
        </w:r>
        <w:r w:rsidR="009713AD" w:rsidRPr="009E26D0">
          <w:rPr>
            <w:rStyle w:val="ac"/>
            <w:noProof/>
          </w:rPr>
          <w:t xml:space="preserve">  </w:t>
        </w:r>
        <w:r w:rsidR="009713AD" w:rsidRPr="009E26D0">
          <w:rPr>
            <w:rStyle w:val="ac"/>
            <w:noProof/>
          </w:rPr>
          <w:t>基金合同</w:t>
        </w:r>
        <w:bookmarkStart w:id="35" w:name="_GoBack"/>
        <w:bookmarkEnd w:id="35"/>
        <w:r w:rsidR="009713AD" w:rsidRPr="009E26D0">
          <w:rPr>
            <w:rStyle w:val="ac"/>
            <w:noProof/>
          </w:rPr>
          <w:t>当事人及权利义务</w:t>
        </w:r>
        <w:r w:rsidR="009713AD">
          <w:rPr>
            <w:noProof/>
          </w:rPr>
          <w:tab/>
        </w:r>
        <w:r w:rsidR="009713AD">
          <w:rPr>
            <w:noProof/>
          </w:rPr>
          <w:fldChar w:fldCharType="begin"/>
        </w:r>
        <w:r w:rsidR="009713AD">
          <w:rPr>
            <w:noProof/>
          </w:rPr>
          <w:instrText xml:space="preserve"> PAGEREF _Toc256000006 \h </w:instrText>
        </w:r>
        <w:r w:rsidR="009713AD">
          <w:rPr>
            <w:noProof/>
          </w:rPr>
        </w:r>
        <w:r w:rsidR="009713AD">
          <w:rPr>
            <w:noProof/>
          </w:rPr>
          <w:fldChar w:fldCharType="separate"/>
        </w:r>
        <w:r w:rsidR="00855765">
          <w:rPr>
            <w:noProof/>
          </w:rPr>
          <w:t>25</w:t>
        </w:r>
        <w:r w:rsidR="009713AD">
          <w:rPr>
            <w:noProof/>
          </w:rPr>
          <w:fldChar w:fldCharType="end"/>
        </w:r>
      </w:hyperlink>
    </w:p>
    <w:p w14:paraId="18102908" w14:textId="0860A9DA" w:rsidR="000A052A" w:rsidRDefault="006D0015">
      <w:pPr>
        <w:pStyle w:val="11"/>
        <w:rPr>
          <w:rFonts w:asciiTheme="minorHAnsi" w:hAnsiTheme="minorHAnsi"/>
          <w:noProof/>
        </w:rPr>
      </w:pPr>
      <w:hyperlink w:anchor="_Toc256000007" w:history="1">
        <w:r w:rsidR="009713AD" w:rsidRPr="009E26D0">
          <w:rPr>
            <w:rStyle w:val="ac"/>
            <w:noProof/>
          </w:rPr>
          <w:t>第八部分</w:t>
        </w:r>
        <w:r w:rsidR="009713AD" w:rsidRPr="009E26D0">
          <w:rPr>
            <w:rStyle w:val="ac"/>
            <w:noProof/>
          </w:rPr>
          <w:t xml:space="preserve">  </w:t>
        </w:r>
        <w:r w:rsidR="009713AD" w:rsidRPr="009E26D0">
          <w:rPr>
            <w:rStyle w:val="ac"/>
            <w:noProof/>
          </w:rPr>
          <w:t>基金份额持有人大会</w:t>
        </w:r>
        <w:r w:rsidR="009713AD">
          <w:rPr>
            <w:noProof/>
          </w:rPr>
          <w:tab/>
        </w:r>
        <w:r w:rsidR="009713AD">
          <w:rPr>
            <w:noProof/>
          </w:rPr>
          <w:fldChar w:fldCharType="begin"/>
        </w:r>
        <w:r w:rsidR="009713AD">
          <w:rPr>
            <w:noProof/>
          </w:rPr>
          <w:instrText xml:space="preserve"> PAGEREF _Toc256000007 \h </w:instrText>
        </w:r>
        <w:r w:rsidR="009713AD">
          <w:rPr>
            <w:noProof/>
          </w:rPr>
        </w:r>
        <w:r w:rsidR="009713AD">
          <w:rPr>
            <w:noProof/>
          </w:rPr>
          <w:fldChar w:fldCharType="separate"/>
        </w:r>
        <w:r w:rsidR="00855765">
          <w:rPr>
            <w:noProof/>
          </w:rPr>
          <w:t>33</w:t>
        </w:r>
        <w:r w:rsidR="009713AD">
          <w:rPr>
            <w:noProof/>
          </w:rPr>
          <w:fldChar w:fldCharType="end"/>
        </w:r>
      </w:hyperlink>
    </w:p>
    <w:p w14:paraId="3F02C982" w14:textId="3E126FA3" w:rsidR="000A052A" w:rsidRDefault="006D0015">
      <w:pPr>
        <w:pStyle w:val="11"/>
        <w:rPr>
          <w:rFonts w:asciiTheme="minorHAnsi" w:hAnsiTheme="minorHAnsi"/>
          <w:noProof/>
        </w:rPr>
      </w:pPr>
      <w:hyperlink w:anchor="_Toc256000008" w:history="1">
        <w:r w:rsidR="009713AD" w:rsidRPr="009E26D0">
          <w:rPr>
            <w:rStyle w:val="ac"/>
            <w:noProof/>
          </w:rPr>
          <w:t>第九部分</w:t>
        </w:r>
        <w:r w:rsidR="009713AD" w:rsidRPr="009E26D0">
          <w:rPr>
            <w:rStyle w:val="ac"/>
            <w:noProof/>
          </w:rPr>
          <w:t xml:space="preserve">  </w:t>
        </w:r>
        <w:r w:rsidR="009713AD" w:rsidRPr="009E26D0">
          <w:rPr>
            <w:rStyle w:val="ac"/>
            <w:noProof/>
          </w:rPr>
          <w:t>基金管理人、基金托管人的更换条件和程序</w:t>
        </w:r>
        <w:r w:rsidR="009713AD">
          <w:rPr>
            <w:noProof/>
          </w:rPr>
          <w:tab/>
        </w:r>
        <w:r w:rsidR="009713AD">
          <w:rPr>
            <w:noProof/>
          </w:rPr>
          <w:fldChar w:fldCharType="begin"/>
        </w:r>
        <w:r w:rsidR="009713AD">
          <w:rPr>
            <w:noProof/>
          </w:rPr>
          <w:instrText xml:space="preserve"> PAGEREF _Toc256000008 \h </w:instrText>
        </w:r>
        <w:r w:rsidR="009713AD">
          <w:rPr>
            <w:noProof/>
          </w:rPr>
        </w:r>
        <w:r w:rsidR="009713AD">
          <w:rPr>
            <w:noProof/>
          </w:rPr>
          <w:fldChar w:fldCharType="separate"/>
        </w:r>
        <w:r w:rsidR="00855765">
          <w:rPr>
            <w:noProof/>
          </w:rPr>
          <w:t>42</w:t>
        </w:r>
        <w:r w:rsidR="009713AD">
          <w:rPr>
            <w:noProof/>
          </w:rPr>
          <w:fldChar w:fldCharType="end"/>
        </w:r>
      </w:hyperlink>
    </w:p>
    <w:p w14:paraId="68F96381" w14:textId="636A89DB" w:rsidR="000A052A" w:rsidRDefault="006D0015">
      <w:pPr>
        <w:pStyle w:val="11"/>
        <w:rPr>
          <w:rFonts w:asciiTheme="minorHAnsi" w:hAnsiTheme="minorHAnsi"/>
          <w:noProof/>
        </w:rPr>
      </w:pPr>
      <w:hyperlink w:anchor="_Toc256000009" w:history="1">
        <w:r w:rsidR="009713AD" w:rsidRPr="009E26D0">
          <w:rPr>
            <w:rStyle w:val="ac"/>
            <w:noProof/>
          </w:rPr>
          <w:t>第十部分</w:t>
        </w:r>
        <w:r w:rsidR="009713AD" w:rsidRPr="009E26D0">
          <w:rPr>
            <w:rStyle w:val="ac"/>
            <w:noProof/>
          </w:rPr>
          <w:t xml:space="preserve">  </w:t>
        </w:r>
        <w:r w:rsidR="009713AD" w:rsidRPr="009E26D0">
          <w:rPr>
            <w:rStyle w:val="ac"/>
            <w:noProof/>
          </w:rPr>
          <w:t>基金的托管</w:t>
        </w:r>
        <w:r w:rsidR="009713AD">
          <w:rPr>
            <w:noProof/>
          </w:rPr>
          <w:tab/>
        </w:r>
        <w:r w:rsidR="009713AD">
          <w:rPr>
            <w:noProof/>
          </w:rPr>
          <w:fldChar w:fldCharType="begin"/>
        </w:r>
        <w:r w:rsidR="009713AD">
          <w:rPr>
            <w:noProof/>
          </w:rPr>
          <w:instrText xml:space="preserve"> PAGEREF _Toc256000009 \h </w:instrText>
        </w:r>
        <w:r w:rsidR="009713AD">
          <w:rPr>
            <w:noProof/>
          </w:rPr>
        </w:r>
        <w:r w:rsidR="009713AD">
          <w:rPr>
            <w:noProof/>
          </w:rPr>
          <w:fldChar w:fldCharType="separate"/>
        </w:r>
        <w:r w:rsidR="00855765">
          <w:rPr>
            <w:noProof/>
          </w:rPr>
          <w:t>45</w:t>
        </w:r>
        <w:r w:rsidR="009713AD">
          <w:rPr>
            <w:noProof/>
          </w:rPr>
          <w:fldChar w:fldCharType="end"/>
        </w:r>
      </w:hyperlink>
    </w:p>
    <w:p w14:paraId="426B3F8E" w14:textId="2EA7AFD8" w:rsidR="000A052A" w:rsidRDefault="006D0015">
      <w:pPr>
        <w:pStyle w:val="11"/>
        <w:rPr>
          <w:rFonts w:asciiTheme="minorHAnsi" w:hAnsiTheme="minorHAnsi"/>
          <w:noProof/>
        </w:rPr>
      </w:pPr>
      <w:hyperlink w:anchor="_Toc256000010" w:history="1">
        <w:r w:rsidR="009713AD" w:rsidRPr="009E26D0">
          <w:rPr>
            <w:rStyle w:val="ac"/>
            <w:noProof/>
          </w:rPr>
          <w:t>第十一部分</w:t>
        </w:r>
        <w:r w:rsidR="009713AD" w:rsidRPr="009E26D0">
          <w:rPr>
            <w:rStyle w:val="ac"/>
            <w:noProof/>
          </w:rPr>
          <w:t xml:space="preserve">  </w:t>
        </w:r>
        <w:r w:rsidR="009713AD" w:rsidRPr="009E26D0">
          <w:rPr>
            <w:rStyle w:val="ac"/>
            <w:noProof/>
          </w:rPr>
          <w:t>基金份额的登记</w:t>
        </w:r>
        <w:r w:rsidR="009713AD">
          <w:rPr>
            <w:noProof/>
          </w:rPr>
          <w:tab/>
        </w:r>
        <w:r w:rsidR="009713AD">
          <w:rPr>
            <w:noProof/>
          </w:rPr>
          <w:fldChar w:fldCharType="begin"/>
        </w:r>
        <w:r w:rsidR="009713AD">
          <w:rPr>
            <w:noProof/>
          </w:rPr>
          <w:instrText xml:space="preserve"> PAGEREF _Toc256000010 \h </w:instrText>
        </w:r>
        <w:r w:rsidR="009713AD">
          <w:rPr>
            <w:noProof/>
          </w:rPr>
        </w:r>
        <w:r w:rsidR="009713AD">
          <w:rPr>
            <w:noProof/>
          </w:rPr>
          <w:fldChar w:fldCharType="separate"/>
        </w:r>
        <w:r w:rsidR="00855765">
          <w:rPr>
            <w:noProof/>
          </w:rPr>
          <w:t>46</w:t>
        </w:r>
        <w:r w:rsidR="009713AD">
          <w:rPr>
            <w:noProof/>
          </w:rPr>
          <w:fldChar w:fldCharType="end"/>
        </w:r>
      </w:hyperlink>
    </w:p>
    <w:p w14:paraId="2771EF72" w14:textId="0A9EBC4F" w:rsidR="000A052A" w:rsidRDefault="006D0015">
      <w:pPr>
        <w:pStyle w:val="11"/>
        <w:rPr>
          <w:rFonts w:asciiTheme="minorHAnsi" w:hAnsiTheme="minorHAnsi"/>
          <w:noProof/>
        </w:rPr>
      </w:pPr>
      <w:hyperlink w:anchor="_Toc256000011" w:history="1">
        <w:r w:rsidR="009713AD" w:rsidRPr="009E26D0">
          <w:rPr>
            <w:rStyle w:val="ac"/>
            <w:noProof/>
          </w:rPr>
          <w:t>第十二部分</w:t>
        </w:r>
        <w:r w:rsidR="009713AD" w:rsidRPr="009E26D0">
          <w:rPr>
            <w:rStyle w:val="ac"/>
            <w:noProof/>
          </w:rPr>
          <w:t xml:space="preserve">  </w:t>
        </w:r>
        <w:r w:rsidR="009713AD" w:rsidRPr="009E26D0">
          <w:rPr>
            <w:rStyle w:val="ac"/>
            <w:noProof/>
          </w:rPr>
          <w:t>基金的投资</w:t>
        </w:r>
        <w:r w:rsidR="009713AD">
          <w:rPr>
            <w:noProof/>
          </w:rPr>
          <w:tab/>
        </w:r>
        <w:r w:rsidR="009713AD">
          <w:rPr>
            <w:noProof/>
          </w:rPr>
          <w:fldChar w:fldCharType="begin"/>
        </w:r>
        <w:r w:rsidR="009713AD">
          <w:rPr>
            <w:noProof/>
          </w:rPr>
          <w:instrText xml:space="preserve"> PAGEREF _Toc256000011 \h </w:instrText>
        </w:r>
        <w:r w:rsidR="009713AD">
          <w:rPr>
            <w:noProof/>
          </w:rPr>
        </w:r>
        <w:r w:rsidR="009713AD">
          <w:rPr>
            <w:noProof/>
          </w:rPr>
          <w:fldChar w:fldCharType="separate"/>
        </w:r>
        <w:r w:rsidR="00855765">
          <w:rPr>
            <w:noProof/>
          </w:rPr>
          <w:t>48</w:t>
        </w:r>
        <w:r w:rsidR="009713AD">
          <w:rPr>
            <w:noProof/>
          </w:rPr>
          <w:fldChar w:fldCharType="end"/>
        </w:r>
      </w:hyperlink>
    </w:p>
    <w:p w14:paraId="58FBBF7B" w14:textId="0B7F72A4" w:rsidR="000A052A" w:rsidRDefault="006D0015">
      <w:pPr>
        <w:pStyle w:val="11"/>
        <w:rPr>
          <w:rFonts w:asciiTheme="minorHAnsi" w:hAnsiTheme="minorHAnsi"/>
          <w:noProof/>
        </w:rPr>
      </w:pPr>
      <w:hyperlink w:anchor="_Toc256000012" w:history="1">
        <w:r w:rsidR="009713AD" w:rsidRPr="009E26D0">
          <w:rPr>
            <w:rStyle w:val="ac"/>
            <w:noProof/>
          </w:rPr>
          <w:t>第十三部分</w:t>
        </w:r>
        <w:r w:rsidR="009713AD" w:rsidRPr="009E26D0">
          <w:rPr>
            <w:rStyle w:val="ac"/>
            <w:noProof/>
          </w:rPr>
          <w:t xml:space="preserve">  </w:t>
        </w:r>
        <w:r w:rsidR="009713AD" w:rsidRPr="009E26D0">
          <w:rPr>
            <w:rStyle w:val="ac"/>
            <w:noProof/>
          </w:rPr>
          <w:t>基金的财产</w:t>
        </w:r>
        <w:r w:rsidR="009713AD">
          <w:rPr>
            <w:noProof/>
          </w:rPr>
          <w:tab/>
        </w:r>
        <w:r w:rsidR="009713AD">
          <w:rPr>
            <w:noProof/>
          </w:rPr>
          <w:fldChar w:fldCharType="begin"/>
        </w:r>
        <w:r w:rsidR="009713AD">
          <w:rPr>
            <w:noProof/>
          </w:rPr>
          <w:instrText xml:space="preserve"> PAGEREF _Toc256000012 \h </w:instrText>
        </w:r>
        <w:r w:rsidR="009713AD">
          <w:rPr>
            <w:noProof/>
          </w:rPr>
        </w:r>
        <w:r w:rsidR="009713AD">
          <w:rPr>
            <w:noProof/>
          </w:rPr>
          <w:fldChar w:fldCharType="separate"/>
        </w:r>
        <w:r w:rsidR="00855765">
          <w:rPr>
            <w:noProof/>
          </w:rPr>
          <w:t>61</w:t>
        </w:r>
        <w:r w:rsidR="009713AD">
          <w:rPr>
            <w:noProof/>
          </w:rPr>
          <w:fldChar w:fldCharType="end"/>
        </w:r>
      </w:hyperlink>
    </w:p>
    <w:p w14:paraId="4CEDAE12" w14:textId="3774CAEE" w:rsidR="000A052A" w:rsidRDefault="006D0015">
      <w:pPr>
        <w:pStyle w:val="11"/>
        <w:rPr>
          <w:rFonts w:asciiTheme="minorHAnsi" w:hAnsiTheme="minorHAnsi"/>
          <w:noProof/>
        </w:rPr>
      </w:pPr>
      <w:hyperlink w:anchor="_Toc256000013" w:history="1">
        <w:r w:rsidR="009713AD" w:rsidRPr="009E26D0">
          <w:rPr>
            <w:rStyle w:val="ac"/>
            <w:noProof/>
          </w:rPr>
          <w:t>第十四部分</w:t>
        </w:r>
        <w:r w:rsidR="009713AD" w:rsidRPr="009E26D0">
          <w:rPr>
            <w:rStyle w:val="ac"/>
            <w:noProof/>
          </w:rPr>
          <w:t xml:space="preserve">  </w:t>
        </w:r>
        <w:r w:rsidR="009713AD" w:rsidRPr="009E26D0">
          <w:rPr>
            <w:rStyle w:val="ac"/>
            <w:noProof/>
          </w:rPr>
          <w:t>基金资产估值</w:t>
        </w:r>
        <w:r w:rsidR="009713AD">
          <w:rPr>
            <w:noProof/>
          </w:rPr>
          <w:tab/>
        </w:r>
        <w:r w:rsidR="009713AD">
          <w:rPr>
            <w:noProof/>
          </w:rPr>
          <w:fldChar w:fldCharType="begin"/>
        </w:r>
        <w:r w:rsidR="009713AD">
          <w:rPr>
            <w:noProof/>
          </w:rPr>
          <w:instrText xml:space="preserve"> PAGEREF _Toc256000013 \h </w:instrText>
        </w:r>
        <w:r w:rsidR="009713AD">
          <w:rPr>
            <w:noProof/>
          </w:rPr>
        </w:r>
        <w:r w:rsidR="009713AD">
          <w:rPr>
            <w:noProof/>
          </w:rPr>
          <w:fldChar w:fldCharType="separate"/>
        </w:r>
        <w:r w:rsidR="00855765">
          <w:rPr>
            <w:noProof/>
          </w:rPr>
          <w:t>62</w:t>
        </w:r>
        <w:r w:rsidR="009713AD">
          <w:rPr>
            <w:noProof/>
          </w:rPr>
          <w:fldChar w:fldCharType="end"/>
        </w:r>
      </w:hyperlink>
    </w:p>
    <w:p w14:paraId="553BC0F4" w14:textId="4D048F99" w:rsidR="000A052A" w:rsidRDefault="006D0015">
      <w:pPr>
        <w:pStyle w:val="11"/>
        <w:rPr>
          <w:rFonts w:asciiTheme="minorHAnsi" w:hAnsiTheme="minorHAnsi"/>
          <w:noProof/>
        </w:rPr>
      </w:pPr>
      <w:hyperlink w:anchor="_Toc256000014" w:history="1">
        <w:r w:rsidR="009713AD" w:rsidRPr="009E26D0">
          <w:rPr>
            <w:rStyle w:val="ac"/>
            <w:noProof/>
          </w:rPr>
          <w:t>第十五部分</w:t>
        </w:r>
        <w:r w:rsidR="009713AD" w:rsidRPr="009E26D0">
          <w:rPr>
            <w:rStyle w:val="ac"/>
            <w:noProof/>
          </w:rPr>
          <w:t xml:space="preserve">  </w:t>
        </w:r>
        <w:r w:rsidR="009713AD" w:rsidRPr="009E26D0">
          <w:rPr>
            <w:rStyle w:val="ac"/>
            <w:noProof/>
          </w:rPr>
          <w:t>基金费用与税收</w:t>
        </w:r>
        <w:r w:rsidR="009713AD">
          <w:rPr>
            <w:noProof/>
          </w:rPr>
          <w:tab/>
        </w:r>
        <w:r w:rsidR="009713AD">
          <w:rPr>
            <w:noProof/>
          </w:rPr>
          <w:fldChar w:fldCharType="begin"/>
        </w:r>
        <w:r w:rsidR="009713AD">
          <w:rPr>
            <w:noProof/>
          </w:rPr>
          <w:instrText xml:space="preserve"> PAGEREF _Toc256000014 \h </w:instrText>
        </w:r>
        <w:r w:rsidR="009713AD">
          <w:rPr>
            <w:noProof/>
          </w:rPr>
        </w:r>
        <w:r w:rsidR="009713AD">
          <w:rPr>
            <w:noProof/>
          </w:rPr>
          <w:fldChar w:fldCharType="separate"/>
        </w:r>
        <w:r w:rsidR="00855765">
          <w:rPr>
            <w:noProof/>
          </w:rPr>
          <w:t>69</w:t>
        </w:r>
        <w:r w:rsidR="009713AD">
          <w:rPr>
            <w:noProof/>
          </w:rPr>
          <w:fldChar w:fldCharType="end"/>
        </w:r>
      </w:hyperlink>
    </w:p>
    <w:p w14:paraId="7066375D" w14:textId="76493EF3" w:rsidR="000A052A" w:rsidRDefault="006D0015">
      <w:pPr>
        <w:pStyle w:val="11"/>
        <w:rPr>
          <w:rFonts w:asciiTheme="minorHAnsi" w:hAnsiTheme="minorHAnsi"/>
          <w:noProof/>
        </w:rPr>
      </w:pPr>
      <w:hyperlink w:anchor="_Toc256000015" w:history="1">
        <w:r w:rsidR="009713AD" w:rsidRPr="009E26D0">
          <w:rPr>
            <w:rStyle w:val="ac"/>
            <w:noProof/>
          </w:rPr>
          <w:t>第十六部分</w:t>
        </w:r>
        <w:r w:rsidR="009713AD" w:rsidRPr="009E26D0">
          <w:rPr>
            <w:rStyle w:val="ac"/>
            <w:noProof/>
          </w:rPr>
          <w:t xml:space="preserve">  </w:t>
        </w:r>
        <w:r w:rsidR="009713AD" w:rsidRPr="009E26D0">
          <w:rPr>
            <w:rStyle w:val="ac"/>
            <w:noProof/>
          </w:rPr>
          <w:t>基金的收益与分配</w:t>
        </w:r>
        <w:r w:rsidR="009713AD">
          <w:rPr>
            <w:noProof/>
          </w:rPr>
          <w:tab/>
        </w:r>
        <w:r w:rsidR="009713AD">
          <w:rPr>
            <w:noProof/>
          </w:rPr>
          <w:fldChar w:fldCharType="begin"/>
        </w:r>
        <w:r w:rsidR="009713AD">
          <w:rPr>
            <w:noProof/>
          </w:rPr>
          <w:instrText xml:space="preserve"> PAGEREF _Toc256000015 \h </w:instrText>
        </w:r>
        <w:r w:rsidR="009713AD">
          <w:rPr>
            <w:noProof/>
          </w:rPr>
        </w:r>
        <w:r w:rsidR="009713AD">
          <w:rPr>
            <w:noProof/>
          </w:rPr>
          <w:fldChar w:fldCharType="separate"/>
        </w:r>
        <w:r w:rsidR="00855765">
          <w:rPr>
            <w:noProof/>
          </w:rPr>
          <w:t>72</w:t>
        </w:r>
        <w:r w:rsidR="009713AD">
          <w:rPr>
            <w:noProof/>
          </w:rPr>
          <w:fldChar w:fldCharType="end"/>
        </w:r>
      </w:hyperlink>
    </w:p>
    <w:p w14:paraId="1C66EC1D" w14:textId="4402C39D" w:rsidR="000A052A" w:rsidRDefault="006D0015">
      <w:pPr>
        <w:pStyle w:val="11"/>
        <w:rPr>
          <w:rFonts w:asciiTheme="minorHAnsi" w:hAnsiTheme="minorHAnsi"/>
          <w:noProof/>
        </w:rPr>
      </w:pPr>
      <w:hyperlink w:anchor="_Toc256000016" w:history="1">
        <w:r w:rsidR="009713AD" w:rsidRPr="009E26D0">
          <w:rPr>
            <w:rStyle w:val="ac"/>
            <w:noProof/>
          </w:rPr>
          <w:t>第十七部分</w:t>
        </w:r>
        <w:r w:rsidR="009713AD" w:rsidRPr="009E26D0">
          <w:rPr>
            <w:rStyle w:val="ac"/>
            <w:noProof/>
          </w:rPr>
          <w:t xml:space="preserve">  </w:t>
        </w:r>
        <w:r w:rsidR="009713AD" w:rsidRPr="009E26D0">
          <w:rPr>
            <w:rStyle w:val="ac"/>
            <w:noProof/>
          </w:rPr>
          <w:t>基金的会计与审计</w:t>
        </w:r>
        <w:r w:rsidR="009713AD">
          <w:rPr>
            <w:noProof/>
          </w:rPr>
          <w:tab/>
        </w:r>
        <w:r w:rsidR="009713AD">
          <w:rPr>
            <w:noProof/>
          </w:rPr>
          <w:fldChar w:fldCharType="begin"/>
        </w:r>
        <w:r w:rsidR="009713AD">
          <w:rPr>
            <w:noProof/>
          </w:rPr>
          <w:instrText xml:space="preserve"> PAGEREF _Toc256000016 \h </w:instrText>
        </w:r>
        <w:r w:rsidR="009713AD">
          <w:rPr>
            <w:noProof/>
          </w:rPr>
        </w:r>
        <w:r w:rsidR="009713AD">
          <w:rPr>
            <w:noProof/>
          </w:rPr>
          <w:fldChar w:fldCharType="separate"/>
        </w:r>
        <w:r w:rsidR="00855765">
          <w:rPr>
            <w:noProof/>
          </w:rPr>
          <w:t>74</w:t>
        </w:r>
        <w:r w:rsidR="009713AD">
          <w:rPr>
            <w:noProof/>
          </w:rPr>
          <w:fldChar w:fldCharType="end"/>
        </w:r>
      </w:hyperlink>
    </w:p>
    <w:p w14:paraId="337CDBCB" w14:textId="0699ABA7" w:rsidR="000A052A" w:rsidRDefault="006D0015">
      <w:pPr>
        <w:pStyle w:val="11"/>
        <w:rPr>
          <w:rFonts w:asciiTheme="minorHAnsi" w:hAnsiTheme="minorHAnsi"/>
          <w:noProof/>
        </w:rPr>
      </w:pPr>
      <w:hyperlink w:anchor="_Toc256000017" w:history="1">
        <w:r w:rsidR="009713AD" w:rsidRPr="009E26D0">
          <w:rPr>
            <w:rStyle w:val="ac"/>
            <w:noProof/>
          </w:rPr>
          <w:t>第十八部分</w:t>
        </w:r>
        <w:r w:rsidR="009713AD" w:rsidRPr="009E26D0">
          <w:rPr>
            <w:rStyle w:val="ac"/>
            <w:noProof/>
          </w:rPr>
          <w:t xml:space="preserve">  </w:t>
        </w:r>
        <w:r w:rsidR="009713AD" w:rsidRPr="009E26D0">
          <w:rPr>
            <w:rStyle w:val="ac"/>
            <w:noProof/>
          </w:rPr>
          <w:t>基金的信息披露</w:t>
        </w:r>
        <w:r w:rsidR="009713AD">
          <w:rPr>
            <w:noProof/>
          </w:rPr>
          <w:tab/>
        </w:r>
        <w:r w:rsidR="009713AD">
          <w:rPr>
            <w:noProof/>
          </w:rPr>
          <w:fldChar w:fldCharType="begin"/>
        </w:r>
        <w:r w:rsidR="009713AD">
          <w:rPr>
            <w:noProof/>
          </w:rPr>
          <w:instrText xml:space="preserve"> PAGEREF _Toc256000017 \h </w:instrText>
        </w:r>
        <w:r w:rsidR="009713AD">
          <w:rPr>
            <w:noProof/>
          </w:rPr>
        </w:r>
        <w:r w:rsidR="009713AD">
          <w:rPr>
            <w:noProof/>
          </w:rPr>
          <w:fldChar w:fldCharType="separate"/>
        </w:r>
        <w:r w:rsidR="00855765">
          <w:rPr>
            <w:noProof/>
          </w:rPr>
          <w:t>75</w:t>
        </w:r>
        <w:r w:rsidR="009713AD">
          <w:rPr>
            <w:noProof/>
          </w:rPr>
          <w:fldChar w:fldCharType="end"/>
        </w:r>
      </w:hyperlink>
    </w:p>
    <w:p w14:paraId="5808CA9E" w14:textId="09B561BA" w:rsidR="000A052A" w:rsidRDefault="006D0015">
      <w:pPr>
        <w:pStyle w:val="11"/>
        <w:rPr>
          <w:rFonts w:asciiTheme="minorHAnsi" w:hAnsiTheme="minorHAnsi"/>
          <w:noProof/>
        </w:rPr>
      </w:pPr>
      <w:hyperlink w:anchor="_Toc256000018" w:history="1">
        <w:r w:rsidR="009713AD" w:rsidRPr="009E26D0">
          <w:rPr>
            <w:rStyle w:val="ac"/>
            <w:noProof/>
          </w:rPr>
          <w:t>第十九部分</w:t>
        </w:r>
        <w:r w:rsidR="009713AD" w:rsidRPr="009E26D0">
          <w:rPr>
            <w:rStyle w:val="ac"/>
            <w:noProof/>
          </w:rPr>
          <w:t xml:space="preserve">  </w:t>
        </w:r>
        <w:r w:rsidR="009713AD" w:rsidRPr="009E26D0">
          <w:rPr>
            <w:rStyle w:val="ac"/>
            <w:noProof/>
          </w:rPr>
          <w:t>基金合同的变更、终止与基金财产的清算</w:t>
        </w:r>
        <w:r w:rsidR="009713AD">
          <w:rPr>
            <w:noProof/>
          </w:rPr>
          <w:tab/>
        </w:r>
        <w:r w:rsidR="009713AD">
          <w:rPr>
            <w:noProof/>
          </w:rPr>
          <w:fldChar w:fldCharType="begin"/>
        </w:r>
        <w:r w:rsidR="009713AD">
          <w:rPr>
            <w:noProof/>
          </w:rPr>
          <w:instrText xml:space="preserve"> PAGEREF _Toc256000018 \h </w:instrText>
        </w:r>
        <w:r w:rsidR="009713AD">
          <w:rPr>
            <w:noProof/>
          </w:rPr>
        </w:r>
        <w:r w:rsidR="009713AD">
          <w:rPr>
            <w:noProof/>
          </w:rPr>
          <w:fldChar w:fldCharType="separate"/>
        </w:r>
        <w:r w:rsidR="00855765">
          <w:rPr>
            <w:noProof/>
          </w:rPr>
          <w:t>83</w:t>
        </w:r>
        <w:r w:rsidR="009713AD">
          <w:rPr>
            <w:noProof/>
          </w:rPr>
          <w:fldChar w:fldCharType="end"/>
        </w:r>
      </w:hyperlink>
    </w:p>
    <w:p w14:paraId="6452015D" w14:textId="2B09C23E" w:rsidR="000A052A" w:rsidRDefault="006D0015">
      <w:pPr>
        <w:pStyle w:val="11"/>
        <w:rPr>
          <w:rFonts w:asciiTheme="minorHAnsi" w:hAnsiTheme="minorHAnsi"/>
          <w:noProof/>
        </w:rPr>
      </w:pPr>
      <w:hyperlink w:anchor="_Toc256000019" w:history="1">
        <w:r w:rsidR="009713AD" w:rsidRPr="009E26D0">
          <w:rPr>
            <w:rStyle w:val="ac"/>
            <w:noProof/>
          </w:rPr>
          <w:t>第二十部分</w:t>
        </w:r>
        <w:r w:rsidR="009713AD" w:rsidRPr="009E26D0">
          <w:rPr>
            <w:rStyle w:val="ac"/>
            <w:noProof/>
          </w:rPr>
          <w:t xml:space="preserve">  </w:t>
        </w:r>
        <w:r w:rsidR="009713AD" w:rsidRPr="009E26D0">
          <w:rPr>
            <w:rStyle w:val="ac"/>
            <w:noProof/>
          </w:rPr>
          <w:t>违约责任</w:t>
        </w:r>
        <w:r w:rsidR="009713AD">
          <w:rPr>
            <w:noProof/>
          </w:rPr>
          <w:tab/>
        </w:r>
        <w:r w:rsidR="009713AD">
          <w:rPr>
            <w:noProof/>
          </w:rPr>
          <w:fldChar w:fldCharType="begin"/>
        </w:r>
        <w:r w:rsidR="009713AD">
          <w:rPr>
            <w:noProof/>
          </w:rPr>
          <w:instrText xml:space="preserve"> PAGEREF _Toc256000019 \h </w:instrText>
        </w:r>
        <w:r w:rsidR="009713AD">
          <w:rPr>
            <w:noProof/>
          </w:rPr>
        </w:r>
        <w:r w:rsidR="009713AD">
          <w:rPr>
            <w:noProof/>
          </w:rPr>
          <w:fldChar w:fldCharType="separate"/>
        </w:r>
        <w:r w:rsidR="00855765">
          <w:rPr>
            <w:noProof/>
          </w:rPr>
          <w:t>86</w:t>
        </w:r>
        <w:r w:rsidR="009713AD">
          <w:rPr>
            <w:noProof/>
          </w:rPr>
          <w:fldChar w:fldCharType="end"/>
        </w:r>
      </w:hyperlink>
    </w:p>
    <w:p w14:paraId="390B3131" w14:textId="3A78DF88" w:rsidR="000A052A" w:rsidRDefault="006D0015">
      <w:pPr>
        <w:pStyle w:val="11"/>
        <w:rPr>
          <w:rFonts w:asciiTheme="minorHAnsi" w:hAnsiTheme="minorHAnsi"/>
          <w:noProof/>
        </w:rPr>
      </w:pPr>
      <w:hyperlink w:anchor="_Toc256000020" w:history="1">
        <w:r w:rsidR="009713AD" w:rsidRPr="009E26D0">
          <w:rPr>
            <w:rStyle w:val="ac"/>
            <w:noProof/>
          </w:rPr>
          <w:t>第二十一部分</w:t>
        </w:r>
        <w:r w:rsidR="009713AD" w:rsidRPr="009E26D0">
          <w:rPr>
            <w:rStyle w:val="ac"/>
            <w:noProof/>
          </w:rPr>
          <w:t xml:space="preserve">  </w:t>
        </w:r>
        <w:r w:rsidR="009713AD" w:rsidRPr="009E26D0">
          <w:rPr>
            <w:rStyle w:val="ac"/>
            <w:noProof/>
          </w:rPr>
          <w:t>争议的处理和适用的法律</w:t>
        </w:r>
        <w:r w:rsidR="009713AD">
          <w:rPr>
            <w:noProof/>
          </w:rPr>
          <w:tab/>
        </w:r>
        <w:r w:rsidR="009713AD">
          <w:rPr>
            <w:noProof/>
          </w:rPr>
          <w:fldChar w:fldCharType="begin"/>
        </w:r>
        <w:r w:rsidR="009713AD">
          <w:rPr>
            <w:noProof/>
          </w:rPr>
          <w:instrText xml:space="preserve"> PAGEREF _Toc256000020 \h </w:instrText>
        </w:r>
        <w:r w:rsidR="009713AD">
          <w:rPr>
            <w:noProof/>
          </w:rPr>
        </w:r>
        <w:r w:rsidR="009713AD">
          <w:rPr>
            <w:noProof/>
          </w:rPr>
          <w:fldChar w:fldCharType="separate"/>
        </w:r>
        <w:r w:rsidR="00855765">
          <w:rPr>
            <w:noProof/>
          </w:rPr>
          <w:t>87</w:t>
        </w:r>
        <w:r w:rsidR="009713AD">
          <w:rPr>
            <w:noProof/>
          </w:rPr>
          <w:fldChar w:fldCharType="end"/>
        </w:r>
      </w:hyperlink>
    </w:p>
    <w:p w14:paraId="7D6AE78F" w14:textId="78580B46" w:rsidR="000A052A" w:rsidRDefault="006D0015">
      <w:pPr>
        <w:pStyle w:val="11"/>
        <w:rPr>
          <w:rFonts w:asciiTheme="minorHAnsi" w:hAnsiTheme="minorHAnsi"/>
          <w:noProof/>
        </w:rPr>
      </w:pPr>
      <w:hyperlink w:anchor="_Toc256000021" w:history="1">
        <w:r w:rsidR="009713AD" w:rsidRPr="009E26D0">
          <w:rPr>
            <w:rStyle w:val="ac"/>
            <w:noProof/>
          </w:rPr>
          <w:t>第二十二部分</w:t>
        </w:r>
        <w:r w:rsidR="009713AD" w:rsidRPr="009E26D0">
          <w:rPr>
            <w:rStyle w:val="ac"/>
            <w:noProof/>
          </w:rPr>
          <w:t xml:space="preserve">  </w:t>
        </w:r>
        <w:r w:rsidR="009713AD" w:rsidRPr="009E26D0">
          <w:rPr>
            <w:rStyle w:val="ac"/>
            <w:noProof/>
          </w:rPr>
          <w:t>基金合同的效力</w:t>
        </w:r>
        <w:r w:rsidR="009713AD">
          <w:rPr>
            <w:noProof/>
          </w:rPr>
          <w:tab/>
        </w:r>
        <w:r w:rsidR="009713AD">
          <w:rPr>
            <w:noProof/>
          </w:rPr>
          <w:fldChar w:fldCharType="begin"/>
        </w:r>
        <w:r w:rsidR="009713AD">
          <w:rPr>
            <w:noProof/>
          </w:rPr>
          <w:instrText xml:space="preserve"> PAGEREF _Toc256000021 \h </w:instrText>
        </w:r>
        <w:r w:rsidR="009713AD">
          <w:rPr>
            <w:noProof/>
          </w:rPr>
        </w:r>
        <w:r w:rsidR="009713AD">
          <w:rPr>
            <w:noProof/>
          </w:rPr>
          <w:fldChar w:fldCharType="separate"/>
        </w:r>
        <w:r w:rsidR="00855765">
          <w:rPr>
            <w:noProof/>
          </w:rPr>
          <w:t>88</w:t>
        </w:r>
        <w:r w:rsidR="009713AD">
          <w:rPr>
            <w:noProof/>
          </w:rPr>
          <w:fldChar w:fldCharType="end"/>
        </w:r>
      </w:hyperlink>
    </w:p>
    <w:p w14:paraId="09425316" w14:textId="2C59BA76" w:rsidR="000A052A" w:rsidRDefault="006D0015">
      <w:pPr>
        <w:pStyle w:val="11"/>
        <w:rPr>
          <w:rFonts w:asciiTheme="minorHAnsi" w:hAnsiTheme="minorHAnsi"/>
          <w:noProof/>
        </w:rPr>
      </w:pPr>
      <w:hyperlink w:anchor="_Toc256000022" w:history="1">
        <w:r w:rsidR="009713AD" w:rsidRPr="009E26D0">
          <w:rPr>
            <w:rStyle w:val="ac"/>
            <w:noProof/>
          </w:rPr>
          <w:t>第二十三部分</w:t>
        </w:r>
        <w:r w:rsidR="009713AD" w:rsidRPr="009E26D0">
          <w:rPr>
            <w:rStyle w:val="ac"/>
            <w:noProof/>
          </w:rPr>
          <w:t xml:space="preserve">  </w:t>
        </w:r>
        <w:r w:rsidR="009713AD" w:rsidRPr="009E26D0">
          <w:rPr>
            <w:rStyle w:val="ac"/>
            <w:noProof/>
          </w:rPr>
          <w:t>其他事项</w:t>
        </w:r>
        <w:r w:rsidR="009713AD">
          <w:rPr>
            <w:noProof/>
          </w:rPr>
          <w:tab/>
        </w:r>
        <w:r w:rsidR="009713AD">
          <w:rPr>
            <w:noProof/>
          </w:rPr>
          <w:fldChar w:fldCharType="begin"/>
        </w:r>
        <w:r w:rsidR="009713AD">
          <w:rPr>
            <w:noProof/>
          </w:rPr>
          <w:instrText xml:space="preserve"> PAGEREF _Toc256000022 \h </w:instrText>
        </w:r>
        <w:r w:rsidR="009713AD">
          <w:rPr>
            <w:noProof/>
          </w:rPr>
        </w:r>
        <w:r w:rsidR="009713AD">
          <w:rPr>
            <w:noProof/>
          </w:rPr>
          <w:fldChar w:fldCharType="separate"/>
        </w:r>
        <w:r w:rsidR="00855765">
          <w:rPr>
            <w:noProof/>
          </w:rPr>
          <w:t>89</w:t>
        </w:r>
        <w:r w:rsidR="009713AD">
          <w:rPr>
            <w:noProof/>
          </w:rPr>
          <w:fldChar w:fldCharType="end"/>
        </w:r>
      </w:hyperlink>
    </w:p>
    <w:p w14:paraId="507A2977" w14:textId="4A38DB99" w:rsidR="000A052A" w:rsidRDefault="006D0015">
      <w:pPr>
        <w:pStyle w:val="11"/>
        <w:rPr>
          <w:rFonts w:asciiTheme="minorHAnsi" w:hAnsiTheme="minorHAnsi"/>
          <w:noProof/>
        </w:rPr>
      </w:pPr>
      <w:hyperlink w:anchor="_Toc256000023" w:history="1">
        <w:r w:rsidR="009713AD" w:rsidRPr="009E26D0">
          <w:rPr>
            <w:rStyle w:val="ac"/>
            <w:noProof/>
          </w:rPr>
          <w:t>第二十四部分</w:t>
        </w:r>
        <w:r w:rsidR="009713AD" w:rsidRPr="009E26D0">
          <w:rPr>
            <w:rStyle w:val="ac"/>
            <w:noProof/>
          </w:rPr>
          <w:t xml:space="preserve">  </w:t>
        </w:r>
        <w:r w:rsidR="009713AD" w:rsidRPr="009E26D0">
          <w:rPr>
            <w:rStyle w:val="ac"/>
            <w:noProof/>
          </w:rPr>
          <w:t>基金合同内容摘要</w:t>
        </w:r>
        <w:r w:rsidR="009713AD">
          <w:rPr>
            <w:noProof/>
          </w:rPr>
          <w:tab/>
        </w:r>
        <w:r w:rsidR="009713AD">
          <w:rPr>
            <w:noProof/>
          </w:rPr>
          <w:fldChar w:fldCharType="begin"/>
        </w:r>
        <w:r w:rsidR="009713AD">
          <w:rPr>
            <w:noProof/>
          </w:rPr>
          <w:instrText xml:space="preserve"> PAGEREF _Toc256000023 \h </w:instrText>
        </w:r>
        <w:r w:rsidR="009713AD">
          <w:rPr>
            <w:noProof/>
          </w:rPr>
        </w:r>
        <w:r w:rsidR="009713AD">
          <w:rPr>
            <w:noProof/>
          </w:rPr>
          <w:fldChar w:fldCharType="separate"/>
        </w:r>
        <w:r w:rsidR="00855765">
          <w:rPr>
            <w:noProof/>
          </w:rPr>
          <w:t>90</w:t>
        </w:r>
        <w:r w:rsidR="009713AD">
          <w:rPr>
            <w:noProof/>
          </w:rPr>
          <w:fldChar w:fldCharType="end"/>
        </w:r>
      </w:hyperlink>
    </w:p>
    <w:p w14:paraId="79959617" w14:textId="77777777" w:rsidR="000028C2" w:rsidRPr="00657FE9" w:rsidRDefault="009713AD">
      <w:pPr>
        <w:jc w:val="left"/>
        <w:rPr>
          <w:rStyle w:val="read"/>
          <w:rFonts w:ascii="宋体" w:hAnsi="宋体" w:cs="宋体"/>
          <w:b/>
          <w:sz w:val="24"/>
        </w:rPr>
        <w:sectPr w:rsidR="000028C2" w:rsidRPr="00657FE9" w:rsidSect="0024488F">
          <w:headerReference w:type="default" r:id="rId10"/>
          <w:footerReference w:type="default" r:id="rId11"/>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36" w:name="_Toc452127896"/>
      <w:bookmarkStart w:id="37" w:name="_Toc2163435"/>
      <w:bookmarkStart w:id="38" w:name="_Toc11660"/>
    </w:p>
    <w:p w14:paraId="7AABE4B7" w14:textId="77777777" w:rsidR="009D63C8" w:rsidRDefault="009713AD" w:rsidP="009E26D0">
      <w:pPr>
        <w:pStyle w:val="1"/>
        <w:spacing w:before="0" w:after="0"/>
        <w:jc w:val="center"/>
        <w:rPr>
          <w:rFonts w:ascii="Times New Roman"/>
          <w:color w:val="auto"/>
          <w:sz w:val="30"/>
        </w:rPr>
      </w:pPr>
      <w:bookmarkStart w:id="39" w:name="_Toc139991731"/>
      <w:bookmarkStart w:id="40" w:name="_Toc256000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6"/>
      <w:bookmarkEnd w:id="37"/>
      <w:bookmarkEnd w:id="38"/>
      <w:bookmarkEnd w:id="39"/>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前言</w:t>
      </w:r>
      <w:bookmarkEnd w:id="40"/>
    </w:p>
    <w:p w14:paraId="2F724421" w14:textId="77777777" w:rsidR="007A2B34" w:rsidRPr="0017353E" w:rsidRDefault="007A2B34" w:rsidP="0090469D"/>
    <w:p w14:paraId="4DAC855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6E85701D"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102B0A3D"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Style w:val="custom"/>
          <w:rFonts w:ascii="宋体" w:hAnsi="宋体" w:cs="宋体"/>
          <w:kern w:val="0"/>
          <w:sz w:val="24"/>
          <w:szCs w:val="24"/>
        </w:rPr>
        <w:t>、《公开募集证券投资基金运作指引第3号——指数基金指引》（以下简称“《指数基金指引》”）</w:t>
      </w:r>
      <w:r>
        <w:rPr>
          <w:rFonts w:ascii="宋体" w:hAnsi="宋体" w:cs="宋体"/>
          <w:kern w:val="0"/>
          <w:sz w:val="24"/>
          <w:szCs w:val="24"/>
        </w:rPr>
        <w:t>和其他有关法律法规。</w:t>
      </w:r>
    </w:p>
    <w:p w14:paraId="5E3489D2"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209817F4"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5DBBD3E"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F79F94"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三、汇添富中证全指指数增强型证券投资基金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0BB1E97B"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4356B8B3"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70F87A86"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投资者应当认真阅读基金招募说明书、基金合同、基金产品资料概要等信</w:t>
      </w:r>
      <w:r>
        <w:rPr>
          <w:rFonts w:ascii="宋体" w:hAnsi="宋体" w:cs="宋体"/>
          <w:kern w:val="0"/>
          <w:sz w:val="24"/>
          <w:szCs w:val="24"/>
        </w:rPr>
        <w:lastRenderedPageBreak/>
        <w:t>息披露文件，自主判断基金的投资价值，自主做出投资决策，自行承担投资风险。</w:t>
      </w:r>
    </w:p>
    <w:p w14:paraId="07815C2C"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08B9B04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14:paraId="56AC07F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试点（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w:t>
      </w:r>
    </w:p>
    <w:p w14:paraId="20BA010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1AC5ED7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3632CC9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14:paraId="579B655D" w14:textId="77777777" w:rsidR="003A3FA4"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九、本基金为股票型指数增强基金，投资者投资于本基金面临跟踪误差控制未达约定目标、指数编制机构停止服务、成份股停牌等潜在风险，详见本基金招募说明书。</w:t>
      </w:r>
    </w:p>
    <w:p w14:paraId="1EC9DA3F" w14:textId="77777777" w:rsidR="003A3FA4" w:rsidRPr="003A3FA4" w:rsidRDefault="003A3FA4" w:rsidP="003A3FA4">
      <w:pPr>
        <w:pStyle w:val="div"/>
        <w:spacing w:line="360" w:lineRule="auto"/>
        <w:ind w:firstLine="420"/>
        <w:rPr>
          <w:rFonts w:ascii="宋体" w:hAnsi="宋体" w:cs="宋体"/>
          <w:kern w:val="0"/>
          <w:sz w:val="24"/>
          <w:szCs w:val="24"/>
        </w:rPr>
      </w:pPr>
      <w:r>
        <w:rPr>
          <w:rStyle w:val="custom"/>
          <w:rFonts w:ascii="宋体" w:hAnsi="宋体" w:cs="宋体" w:hint="eastAsia"/>
          <w:kern w:val="0"/>
          <w:sz w:val="24"/>
          <w:szCs w:val="24"/>
        </w:rPr>
        <w:lastRenderedPageBreak/>
        <w:t>十、</w:t>
      </w:r>
      <w:r w:rsidRPr="003A3FA4">
        <w:rPr>
          <w:rFonts w:ascii="宋体" w:hAnsi="宋体" w:cs="宋体" w:hint="eastAsia"/>
          <w:kern w:val="0"/>
          <w:sz w:val="24"/>
          <w:szCs w:val="24"/>
        </w:rPr>
        <w:t>对于投资者通过直销机构认/申购C类基金份额计提的销售服务费、通过其他销售机构认/申购的C类基金份额持续持有期限超过一年</w:t>
      </w:r>
      <w:r w:rsidRPr="003A3FA4">
        <w:rPr>
          <w:rFonts w:ascii="宋体" w:hAnsi="宋体" w:cs="宋体" w:hint="eastAsia"/>
          <w:bCs/>
          <w:kern w:val="0"/>
          <w:sz w:val="24"/>
          <w:szCs w:val="24"/>
          <w:lang w:bidi="en-US"/>
        </w:rPr>
        <w:t>（即</w:t>
      </w:r>
      <w:r w:rsidRPr="003A3FA4">
        <w:rPr>
          <w:rFonts w:ascii="宋体" w:hAnsi="宋体" w:cs="宋体"/>
          <w:bCs/>
          <w:kern w:val="0"/>
          <w:sz w:val="24"/>
          <w:szCs w:val="24"/>
          <w:lang w:bidi="en-US"/>
        </w:rPr>
        <w:t>365</w:t>
      </w:r>
      <w:r w:rsidRPr="003A3FA4">
        <w:rPr>
          <w:rFonts w:ascii="宋体" w:hAnsi="宋体" w:cs="宋体" w:hint="eastAsia"/>
          <w:bCs/>
          <w:kern w:val="0"/>
          <w:sz w:val="24"/>
          <w:szCs w:val="24"/>
          <w:lang w:bidi="en-US"/>
        </w:rPr>
        <w:t>天）</w:t>
      </w:r>
      <w:r w:rsidRPr="003A3FA4">
        <w:rPr>
          <w:rFonts w:ascii="宋体" w:hAnsi="宋体" w:cs="宋体" w:hint="eastAsia"/>
          <w:kern w:val="0"/>
          <w:sz w:val="24"/>
          <w:szCs w:val="24"/>
        </w:rPr>
        <w:t xml:space="preserve">以后继续计提的销售服务费采取先收后返模式，基金投资者实际收到的赎回款项或清算款项的金额可能与按披露的C类基金份额净值计算的结果存在差异。投资者的实际赎回金额和清算资金以登记机构确认数据为准。 </w:t>
      </w:r>
    </w:p>
    <w:p w14:paraId="55E05E3A" w14:textId="4A82C6B8"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br w:type="page"/>
      </w:r>
    </w:p>
    <w:p w14:paraId="1B8BC3F2" w14:textId="77777777" w:rsidR="009D63C8" w:rsidRDefault="009713AD" w:rsidP="009E26D0">
      <w:pPr>
        <w:pStyle w:val="1"/>
        <w:spacing w:before="0" w:after="0"/>
        <w:jc w:val="center"/>
        <w:rPr>
          <w:rFonts w:ascii="Times New Roman"/>
          <w:color w:val="auto"/>
          <w:sz w:val="30"/>
        </w:rPr>
      </w:pPr>
      <w:bookmarkStart w:id="41"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41"/>
    </w:p>
    <w:p w14:paraId="5BE8CB77" w14:textId="77777777" w:rsidR="007A2B34" w:rsidRPr="0017353E" w:rsidRDefault="007A2B34" w:rsidP="0090469D"/>
    <w:p w14:paraId="0CD2890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03E04BA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基金或本基金：指</w:t>
      </w:r>
      <w:r>
        <w:rPr>
          <w:rStyle w:val="custom"/>
          <w:rFonts w:ascii="宋体" w:hAnsi="宋体" w:cs="宋体"/>
          <w:kern w:val="0"/>
          <w:sz w:val="24"/>
          <w:szCs w:val="24"/>
        </w:rPr>
        <w:t>汇添富中证全指指数增强型证券投资基金</w:t>
      </w:r>
    </w:p>
    <w:p w14:paraId="4EC32BA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基金管理人：指汇添富基金管理股份有限公司</w:t>
      </w:r>
    </w:p>
    <w:p w14:paraId="306E3AF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中国建设银行股份有限公司</w:t>
      </w:r>
    </w:p>
    <w:p w14:paraId="0FD8463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汇添富中证全指指数增强型证券投资基金</w:t>
      </w:r>
      <w:r>
        <w:rPr>
          <w:rFonts w:ascii="宋体" w:hAnsi="宋体" w:cs="宋体"/>
          <w:kern w:val="0"/>
          <w:sz w:val="24"/>
          <w:szCs w:val="24"/>
        </w:rPr>
        <w:t>基金合同》及对本基金合同的任何有效修订和补充</w:t>
      </w:r>
    </w:p>
    <w:p w14:paraId="770B29F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汇添富中证全指指数增强型证券投资基金</w:t>
      </w:r>
      <w:r>
        <w:rPr>
          <w:rFonts w:ascii="宋体" w:hAnsi="宋体" w:cs="宋体"/>
          <w:kern w:val="0"/>
          <w:sz w:val="24"/>
          <w:szCs w:val="24"/>
        </w:rPr>
        <w:t>托管协议》及对该托管协议的任何有效修订和补充</w:t>
      </w:r>
    </w:p>
    <w:p w14:paraId="02569F9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汇添富中证全指指数增强型证券投资基金</w:t>
      </w:r>
      <w:r>
        <w:rPr>
          <w:rFonts w:ascii="宋体" w:hAnsi="宋体" w:cs="宋体"/>
          <w:kern w:val="0"/>
          <w:sz w:val="24"/>
          <w:szCs w:val="24"/>
        </w:rPr>
        <w:t>招募说明书》及其更新</w:t>
      </w:r>
    </w:p>
    <w:p w14:paraId="5035EF4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汇添富中证全指指数增强型证券投资基金</w:t>
      </w:r>
      <w:r>
        <w:rPr>
          <w:rFonts w:ascii="宋体" w:hAnsi="宋体" w:cs="宋体"/>
          <w:kern w:val="0"/>
          <w:sz w:val="24"/>
          <w:szCs w:val="24"/>
        </w:rPr>
        <w:t>基金产品资料概要》及其更新</w:t>
      </w:r>
    </w:p>
    <w:p w14:paraId="402934D6"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基金份额发售公告：指《汇添富中证全指指数增强型证券投资基金基金份额发售公告》</w:t>
      </w:r>
    </w:p>
    <w:p w14:paraId="07DCCF8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3D1178E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62591FF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14:paraId="102C615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《信息披露办法》：指中国证监会2019年7月26日颁布、同年9月1</w:t>
      </w:r>
      <w:r>
        <w:rPr>
          <w:rFonts w:ascii="宋体" w:hAnsi="宋体" w:cs="宋体"/>
          <w:kern w:val="0"/>
          <w:sz w:val="24"/>
          <w:szCs w:val="24"/>
        </w:rPr>
        <w:lastRenderedPageBreak/>
        <w:t>日实施的，并经2020年3月20日中国证监会《关于修改部分证券期货规章的决定》修正的《公开募集证券投资基金信息披露管理办法》及颁布机关对其不时做出的修订</w:t>
      </w:r>
    </w:p>
    <w:p w14:paraId="119DE2F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71194B0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72609DA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15、《指数基金指引》：指中国证监会2021年1月18日颁布、同年2月1日实施的《公开募集证券投资基金运作指引第3号——指数基金指引》及颁布机关对其不时做出的修订</w:t>
      </w:r>
    </w:p>
    <w:p w14:paraId="7F8C82B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16、标的指数：指中证全指指数</w:t>
      </w:r>
    </w:p>
    <w:p w14:paraId="4C7F236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中国证监会：指中国证券监督管理委员会</w:t>
      </w:r>
    </w:p>
    <w:p w14:paraId="447E3BE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18、银行业监督管理机构：指中国人民银行和/或国家金融监督管理总局</w:t>
      </w:r>
    </w:p>
    <w:p w14:paraId="39CCCE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0122BBA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个人投资者：指依据有关法律法规规定可投资于证券投资基金的自然人</w:t>
      </w:r>
    </w:p>
    <w:p w14:paraId="2C862E4B"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32AABC4E"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B06BF2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23、投资人、投资者：指个人投资者、机构投资者、合格境外投资者以及法律法规或中国证监会允许购买证券投资基金的其他投资人的合称</w:t>
      </w:r>
    </w:p>
    <w:p w14:paraId="2CDF65C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基金份额持有人：指依基金合同和招募说明书合法取得基金份额的投资人</w:t>
      </w:r>
    </w:p>
    <w:p w14:paraId="1150BDD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25、</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14:paraId="6190AC1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26、销售机构：指汇添富基金管理股份有限公司以及符合《销售办法》和中国证监会规定的其他条件，取得基金销售业务资格并与基金管理人签订了基金销售服务协议，办理基金销售业务的机构</w:t>
      </w:r>
    </w:p>
    <w:p w14:paraId="0625C76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260130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14:paraId="6AC71ED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29、基金账户：指登记机构为投资人开立的、记录其持有的、基金管理人所管理的基金份额余额及其变动情况的账户</w:t>
      </w:r>
    </w:p>
    <w:p w14:paraId="73F68DD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54AC87C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79E20EA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7058CDF8"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33、</w:t>
      </w:r>
      <w:r>
        <w:rPr>
          <w:rStyle w:val="custom"/>
          <w:rFonts w:ascii="宋体" w:hAnsi="宋体" w:cs="宋体"/>
          <w:kern w:val="0"/>
          <w:sz w:val="24"/>
          <w:szCs w:val="24"/>
        </w:rPr>
        <w:t>基金募集期：指自基金份额发售之日起至发售结束之日止的期间，最长不得超过3个月</w:t>
      </w:r>
    </w:p>
    <w:p w14:paraId="19E2910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存续期：指基金合同生效至终止之间的不定期期限</w:t>
      </w:r>
    </w:p>
    <w:p w14:paraId="23E20BE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工作日：指上海证券交易所、深圳证券交易所的正常交易日</w:t>
      </w:r>
    </w:p>
    <w:p w14:paraId="31EFD21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36、</w:t>
      </w:r>
      <w:r>
        <w:rPr>
          <w:rFonts w:ascii="宋体" w:hAnsi="宋体" w:cs="宋体"/>
          <w:kern w:val="0"/>
          <w:sz w:val="24"/>
          <w:szCs w:val="24"/>
        </w:rPr>
        <w:t>T日：指销售机构在规定时间受理投资人申购、赎回或其他业务申请的开放日</w:t>
      </w:r>
    </w:p>
    <w:p w14:paraId="585BC48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37、</w:t>
      </w:r>
      <w:r>
        <w:rPr>
          <w:rFonts w:ascii="宋体" w:hAnsi="宋体" w:cs="宋体"/>
          <w:kern w:val="0"/>
          <w:sz w:val="24"/>
          <w:szCs w:val="24"/>
        </w:rPr>
        <w:t>T+n日：指自T日起第n个工作日(不包含T日)</w:t>
      </w:r>
    </w:p>
    <w:p w14:paraId="538E3DE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38、开放日：指为投资人办理基金份额申购、赎回或其他业务的工作日（如</w:t>
      </w:r>
      <w:r>
        <w:rPr>
          <w:rStyle w:val="custom"/>
          <w:rFonts w:ascii="宋体" w:hAnsi="宋体" w:cs="宋体"/>
          <w:kern w:val="0"/>
          <w:sz w:val="24"/>
          <w:szCs w:val="24"/>
        </w:rPr>
        <w:lastRenderedPageBreak/>
        <w:t>遇香港联合交易所法定节假日或因其他原因暂停营业或港股通暂停交易的情形，基金管理人有权暂停办理基金份额的申购和赎回业务）</w:t>
      </w:r>
    </w:p>
    <w:p w14:paraId="12EA049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39、</w:t>
      </w:r>
      <w:r>
        <w:rPr>
          <w:rFonts w:ascii="宋体" w:hAnsi="宋体" w:cs="宋体"/>
          <w:kern w:val="0"/>
          <w:sz w:val="24"/>
          <w:szCs w:val="24"/>
        </w:rPr>
        <w:t>开放时间：指开放日基金接受申购、赎回或其他交易的时间段</w:t>
      </w:r>
    </w:p>
    <w:p w14:paraId="36BDD7E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40、《业务规则》：指《汇添富基金管理股份有限公司开放式基金业务规则》，是规范基金管理人所管理的开放式证券投资基金登记方面的业务规则，由基金管理人和投资人共同遵守</w:t>
      </w:r>
    </w:p>
    <w:p w14:paraId="2C0FF58F"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41、</w:t>
      </w:r>
      <w:r>
        <w:rPr>
          <w:rStyle w:val="custom"/>
          <w:rFonts w:ascii="宋体" w:hAnsi="宋体" w:cs="宋体"/>
          <w:kern w:val="0"/>
          <w:sz w:val="24"/>
          <w:szCs w:val="24"/>
        </w:rPr>
        <w:t>认购：指在基金募集期内，投资人根据基金合同和招募说明书的规定申请购买基金份额的行为</w:t>
      </w:r>
    </w:p>
    <w:p w14:paraId="7B4C3D7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42、申购：指基金合同生效后，投资人根据基金合同和招募说明书的规定申请购买基金份额的行为</w:t>
      </w:r>
    </w:p>
    <w:p w14:paraId="36DF329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43、赎回：指基金合同生效后，基金份额持有人按基金合同和招募说明书规定的条件要求将基金份额兑换为现金的行为</w:t>
      </w:r>
    </w:p>
    <w:p w14:paraId="2BA4601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44、</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C0608C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45、转托管：指基金份额持有人在本基金的不同销售机构之间实施的变更所持基金份额销售机构的操作</w:t>
      </w:r>
    </w:p>
    <w:p w14:paraId="6E8C62C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AB68958"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47、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67BFC404"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48、</w:t>
      </w:r>
      <w:r>
        <w:rPr>
          <w:rFonts w:ascii="宋体" w:hAnsi="宋体" w:cs="宋体"/>
          <w:kern w:val="0"/>
          <w:sz w:val="24"/>
          <w:szCs w:val="24"/>
        </w:rPr>
        <w:t>收益评价日：指基金管理人计算本基金相对业绩比较基准的超额收益率和/或基金可供分配利润金额之日</w:t>
      </w:r>
    </w:p>
    <w:p w14:paraId="42CFBF7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元：指人民币元</w:t>
      </w:r>
    </w:p>
    <w:p w14:paraId="36F2302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50、基金收益：指基金投资所得红利、股息、债券利息、买卖证券价差、银行存款利息、已实现的其他合法收入及因运用基金财产带来的成本和费用的节约</w:t>
      </w:r>
    </w:p>
    <w:p w14:paraId="042DE07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51、基金资产总值：指基金拥有的各类有价证券及票据价值、银行存款本息、基金应收申购款及其他资产的价值总和</w:t>
      </w:r>
    </w:p>
    <w:p w14:paraId="6F08498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基金资产净值：指基金资产总值减去基金负债后的价值</w:t>
      </w:r>
    </w:p>
    <w:p w14:paraId="2BFACC1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53、</w:t>
      </w:r>
      <w:r>
        <w:rPr>
          <w:rFonts w:ascii="宋体" w:hAnsi="宋体" w:cs="宋体"/>
          <w:kern w:val="0"/>
          <w:sz w:val="24"/>
          <w:szCs w:val="24"/>
        </w:rPr>
        <w:t>基金份额净值：指计算日基金资产净值除以计算日基金份额总数</w:t>
      </w:r>
    </w:p>
    <w:p w14:paraId="4F75545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54、</w:t>
      </w:r>
      <w:r>
        <w:rPr>
          <w:rFonts w:ascii="宋体" w:hAnsi="宋体" w:cs="宋体"/>
          <w:kern w:val="0"/>
          <w:sz w:val="24"/>
          <w:szCs w:val="24"/>
        </w:rPr>
        <w:t>基金资产估值：指计算评估基金资产和负债的价值，以确定基金资产净值和基金份额净值的过程</w:t>
      </w:r>
    </w:p>
    <w:p w14:paraId="6332803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55、</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236D0D81" w14:textId="77777777"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56、基金份额类别：根据认购/申购费用、销售服务费收取方式等事项的不同，将基金份额分为不同的类别，各基金份额类别分别设置代码、计算公告基金份额净值和基金份额累计净值</w:t>
      </w:r>
    </w:p>
    <w:p w14:paraId="29ABD3B3" w14:textId="45808FD1"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57、A类基金份额：指在投资者</w:t>
      </w:r>
      <w:r w:rsidR="000C2F1C">
        <w:rPr>
          <w:rFonts w:hint="eastAsia"/>
          <w:bCs/>
          <w:sz w:val="24"/>
        </w:rPr>
        <w:t>通过直销机构</w:t>
      </w:r>
      <w:r w:rsidR="00A126B2">
        <w:rPr>
          <w:rFonts w:hint="eastAsia"/>
          <w:bCs/>
          <w:kern w:val="0"/>
          <w:sz w:val="24"/>
          <w:szCs w:val="24"/>
          <w:lang w:bidi="en-US"/>
        </w:rPr>
        <w:t>（含基金管理人及其销售子公司，下同）</w:t>
      </w:r>
      <w:r w:rsidR="000C2F1C">
        <w:rPr>
          <w:rFonts w:hint="eastAsia"/>
          <w:bCs/>
          <w:sz w:val="24"/>
        </w:rPr>
        <w:t>以外的其他销售机构</w:t>
      </w:r>
      <w:r>
        <w:rPr>
          <w:rStyle w:val="custom"/>
          <w:rFonts w:ascii="宋体" w:hAnsi="宋体" w:cs="宋体"/>
          <w:kern w:val="0"/>
          <w:sz w:val="24"/>
          <w:szCs w:val="24"/>
        </w:rPr>
        <w:t>认购、申购时收取认购、申购费用，在赎回时根据持有期限收取赎回费用，但不从本类别基金财产中计提销售服务费的基金份额</w:t>
      </w:r>
      <w:r w:rsidR="006B6543">
        <w:rPr>
          <w:rStyle w:val="custom"/>
          <w:rFonts w:ascii="宋体" w:hAnsi="宋体" w:cs="宋体" w:hint="eastAsia"/>
          <w:kern w:val="0"/>
          <w:sz w:val="24"/>
          <w:szCs w:val="24"/>
        </w:rPr>
        <w:t>；</w:t>
      </w:r>
      <w:r w:rsidR="006B6543">
        <w:rPr>
          <w:rFonts w:hint="eastAsia"/>
          <w:bCs/>
          <w:kern w:val="0"/>
          <w:sz w:val="24"/>
          <w:szCs w:val="24"/>
          <w:lang w:bidi="en-US"/>
        </w:rPr>
        <w:t>投资者通过直销机构认购</w:t>
      </w:r>
      <w:r w:rsidR="006B6543">
        <w:rPr>
          <w:bCs/>
          <w:kern w:val="0"/>
          <w:sz w:val="24"/>
          <w:szCs w:val="24"/>
          <w:lang w:bidi="en-US"/>
        </w:rPr>
        <w:t>/</w:t>
      </w:r>
      <w:r w:rsidR="006B6543">
        <w:rPr>
          <w:rFonts w:hint="eastAsia"/>
          <w:bCs/>
          <w:kern w:val="0"/>
          <w:sz w:val="24"/>
          <w:szCs w:val="24"/>
          <w:lang w:bidi="en-US"/>
        </w:rPr>
        <w:t>申购</w:t>
      </w:r>
      <w:r w:rsidR="006B6543">
        <w:rPr>
          <w:rFonts w:hint="eastAsia"/>
          <w:bCs/>
          <w:kern w:val="0"/>
          <w:sz w:val="24"/>
          <w:szCs w:val="24"/>
          <w:lang w:bidi="en-US"/>
        </w:rPr>
        <w:t>A</w:t>
      </w:r>
      <w:r w:rsidR="006B6543">
        <w:rPr>
          <w:rFonts w:hint="eastAsia"/>
          <w:bCs/>
          <w:kern w:val="0"/>
          <w:sz w:val="24"/>
          <w:szCs w:val="24"/>
          <w:lang w:bidi="en-US"/>
        </w:rPr>
        <w:t>类基金份额时不收取认购</w:t>
      </w:r>
      <w:r w:rsidR="006B6543">
        <w:rPr>
          <w:bCs/>
          <w:kern w:val="0"/>
          <w:sz w:val="24"/>
          <w:szCs w:val="24"/>
          <w:lang w:bidi="en-US"/>
        </w:rPr>
        <w:t>/</w:t>
      </w:r>
      <w:r w:rsidR="006B6543">
        <w:rPr>
          <w:rFonts w:hint="eastAsia"/>
          <w:bCs/>
          <w:kern w:val="0"/>
          <w:sz w:val="24"/>
          <w:szCs w:val="24"/>
          <w:lang w:bidi="en-US"/>
        </w:rPr>
        <w:t>申购费用</w:t>
      </w:r>
    </w:p>
    <w:p w14:paraId="3FE53898" w14:textId="4705490F"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58、C类基金份额：指从</w:t>
      </w:r>
      <w:r w:rsidR="006B6543">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本类别基金财产中计提销售服务费而不收取认购、申购费用，在赎回时根据持有期限收取赎回费用的基金份额</w:t>
      </w:r>
      <w:r w:rsidR="006B6543" w:rsidRPr="006B6543">
        <w:rPr>
          <w:rStyle w:val="custom"/>
          <w:rFonts w:ascii="宋体" w:hAnsi="宋体" w:cs="宋体" w:hint="eastAsia"/>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赎回款或清算款一并返还给投资者</w:t>
      </w:r>
    </w:p>
    <w:p w14:paraId="57B8EC6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59、销售服务费：指从基金财产中计提的，用于本基金市场推广、销售以及基金份额持有人服务的费用</w:t>
      </w:r>
    </w:p>
    <w:p w14:paraId="6C51BBF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60、</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w:t>
      </w:r>
      <w:r>
        <w:rPr>
          <w:rFonts w:ascii="宋体" w:hAnsi="宋体" w:cs="宋体"/>
          <w:kern w:val="0"/>
          <w:sz w:val="24"/>
          <w:szCs w:val="24"/>
        </w:rPr>
        <w:lastRenderedPageBreak/>
        <w:t>未来法律法规变动，基金管理人在履行适当程序后，可对上述流动性受限资产范围进行调整</w:t>
      </w:r>
    </w:p>
    <w:p w14:paraId="16A5452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61、</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5D59DEA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62、</w:t>
      </w:r>
      <w:r>
        <w:rPr>
          <w:rFonts w:ascii="宋体" w:hAnsi="宋体" w:cs="宋体"/>
          <w:kern w:val="0"/>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BBE7F95"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63、</w:t>
      </w:r>
      <w:r>
        <w:rPr>
          <w:rFonts w:ascii="宋体" w:hAnsi="宋体" w:cs="宋体"/>
          <w:kern w:val="0"/>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63160B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64、转融通证券出借业务：指本基金以一定费率通过证券交易所综合业务平台向中国证券金融股份有限公司出借证券，中国证券金融股份有限公司到期归还所借证券及相应权益补偿并支付费用的业务</w:t>
      </w:r>
    </w:p>
    <w:p w14:paraId="1F57B09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65、港股通标的股票：指内地投资者委托内地证券公司，经由内地证券交易所设立的证券交易服务公司，向香港联合交易所进行申报，买卖规定范围内的香港联合交易所上市的股票</w:t>
      </w:r>
    </w:p>
    <w:p w14:paraId="021F14A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66、</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7D675B05" w14:textId="77777777" w:rsidR="009D63C8" w:rsidRDefault="009713AD" w:rsidP="009E26D0">
      <w:pPr>
        <w:pStyle w:val="1"/>
        <w:spacing w:before="0" w:after="0"/>
        <w:jc w:val="center"/>
        <w:rPr>
          <w:rFonts w:ascii="Times New Roman"/>
          <w:color w:val="auto"/>
          <w:sz w:val="30"/>
        </w:rPr>
      </w:pPr>
      <w:bookmarkStart w:id="42"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基金的基本情况</w:t>
      </w:r>
      <w:bookmarkEnd w:id="42"/>
    </w:p>
    <w:p w14:paraId="011BDCAA" w14:textId="77777777" w:rsidR="007A2B34" w:rsidRPr="0017353E" w:rsidRDefault="007A2B34" w:rsidP="0090469D"/>
    <w:p w14:paraId="24ED03F5"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33BD8933"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汇添富中证全指指数增强型证券投资基金</w:t>
      </w:r>
    </w:p>
    <w:p w14:paraId="09453B8A"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4009DC56" w14:textId="77777777" w:rsidR="00A71A93" w:rsidRDefault="009713AD">
      <w:pPr>
        <w:pStyle w:val="div"/>
        <w:spacing w:line="360" w:lineRule="auto"/>
        <w:ind w:firstLine="480"/>
        <w:rPr>
          <w:rFonts w:eastAsia="Times New Roman"/>
          <w:kern w:val="0"/>
          <w:sz w:val="24"/>
          <w:szCs w:val="24"/>
        </w:rPr>
      </w:pPr>
      <w:r>
        <w:rPr>
          <w:rStyle w:val="custom"/>
          <w:rFonts w:ascii="宋体" w:hAnsi="宋体" w:cs="宋体"/>
          <w:kern w:val="0"/>
          <w:sz w:val="24"/>
          <w:szCs w:val="24"/>
        </w:rPr>
        <w:t>股票型证券投资基金</w:t>
      </w:r>
    </w:p>
    <w:p w14:paraId="55569E1A"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76FC3F48" w14:textId="77777777" w:rsidR="00A71A93" w:rsidRDefault="009713AD">
      <w:pPr>
        <w:pStyle w:val="div"/>
        <w:spacing w:line="360" w:lineRule="auto"/>
        <w:ind w:firstLine="480"/>
        <w:rPr>
          <w:rFonts w:eastAsia="Times New Roman"/>
          <w:kern w:val="0"/>
          <w:sz w:val="24"/>
          <w:szCs w:val="24"/>
        </w:rPr>
      </w:pPr>
      <w:r>
        <w:rPr>
          <w:rStyle w:val="custom"/>
          <w:rFonts w:ascii="宋体" w:hAnsi="宋体" w:cs="宋体"/>
          <w:kern w:val="0"/>
          <w:sz w:val="24"/>
          <w:szCs w:val="24"/>
        </w:rPr>
        <w:t>契约型开放式</w:t>
      </w:r>
    </w:p>
    <w:p w14:paraId="4614A651"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213D4054"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p>
    <w:p w14:paraId="45D9944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五、基金的标的指数</w:t>
      </w:r>
    </w:p>
    <w:p w14:paraId="4719753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中证全指指数</w:t>
      </w:r>
    </w:p>
    <w:p w14:paraId="36B3165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六、基金的最低募集份额总额</w:t>
      </w:r>
    </w:p>
    <w:p w14:paraId="0F6C495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本基金的最低募集份额总额为2亿份。</w:t>
      </w:r>
    </w:p>
    <w:p w14:paraId="48466A9E" w14:textId="77777777" w:rsidR="00A71A93" w:rsidRDefault="009713AD">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七、</w:t>
      </w:r>
      <w:r>
        <w:rPr>
          <w:rStyle w:val="custom"/>
          <w:rFonts w:ascii="宋体" w:hAnsi="宋体" w:cs="宋体"/>
          <w:kern w:val="0"/>
          <w:sz w:val="24"/>
          <w:szCs w:val="24"/>
        </w:rPr>
        <w:t>基金份额发售面值和认购费用</w:t>
      </w:r>
    </w:p>
    <w:p w14:paraId="50750B56" w14:textId="77777777" w:rsidR="00A71A93" w:rsidRDefault="009713AD">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本基金基金份额发售面值为人民币1.00元。</w:t>
      </w:r>
    </w:p>
    <w:p w14:paraId="3540B736" w14:textId="77777777"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本基金C类基金份额不收取认购费，A类基金份额的认购费率按招募说明书及基金产品资料概要的规定执行。</w:t>
      </w:r>
    </w:p>
    <w:p w14:paraId="0EC16BB6"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基金存续期限</w:t>
      </w:r>
    </w:p>
    <w:p w14:paraId="2D4DD778" w14:textId="77777777" w:rsidR="00A71A93" w:rsidRDefault="009713AD">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1E4FF2D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九、基金份额类别设置</w:t>
      </w:r>
    </w:p>
    <w:p w14:paraId="7C239FD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14:paraId="5E70FE4B" w14:textId="77777777" w:rsidR="006B6543" w:rsidRDefault="009713AD" w:rsidP="006B6543">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sidR="006B6543">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认购、申购时收取认购、申购费用，在赎回时根据持有期限收取赎回费用，但不从本类别基金财产中计提销售服务费；</w:t>
      </w:r>
      <w:r w:rsidR="006B6543">
        <w:rPr>
          <w:rFonts w:hint="eastAsia"/>
          <w:bCs/>
          <w:kern w:val="0"/>
          <w:sz w:val="24"/>
          <w:szCs w:val="24"/>
          <w:lang w:bidi="en-US"/>
        </w:rPr>
        <w:t>投资者通过直销机构认购</w:t>
      </w:r>
      <w:r w:rsidR="006B6543">
        <w:rPr>
          <w:bCs/>
          <w:kern w:val="0"/>
          <w:sz w:val="24"/>
          <w:szCs w:val="24"/>
          <w:lang w:bidi="en-US"/>
        </w:rPr>
        <w:t>/</w:t>
      </w:r>
      <w:r w:rsidR="006B6543">
        <w:rPr>
          <w:rFonts w:hint="eastAsia"/>
          <w:bCs/>
          <w:kern w:val="0"/>
          <w:sz w:val="24"/>
          <w:szCs w:val="24"/>
          <w:lang w:bidi="en-US"/>
        </w:rPr>
        <w:t>申购</w:t>
      </w:r>
      <w:r w:rsidR="006B6543">
        <w:rPr>
          <w:bCs/>
          <w:kern w:val="0"/>
          <w:sz w:val="24"/>
          <w:szCs w:val="24"/>
          <w:lang w:bidi="en-US"/>
        </w:rPr>
        <w:t>A</w:t>
      </w:r>
      <w:r w:rsidR="006B6543">
        <w:rPr>
          <w:rFonts w:hint="eastAsia"/>
          <w:bCs/>
          <w:kern w:val="0"/>
          <w:sz w:val="24"/>
          <w:szCs w:val="24"/>
          <w:lang w:bidi="en-US"/>
        </w:rPr>
        <w:t>类基金份额时不收取认购</w:t>
      </w:r>
      <w:r w:rsidR="006B6543">
        <w:rPr>
          <w:bCs/>
          <w:kern w:val="0"/>
          <w:sz w:val="24"/>
          <w:szCs w:val="24"/>
          <w:lang w:bidi="en-US"/>
        </w:rPr>
        <w:t>/</w:t>
      </w:r>
      <w:r w:rsidR="006B6543">
        <w:rPr>
          <w:rFonts w:hint="eastAsia"/>
          <w:bCs/>
          <w:kern w:val="0"/>
          <w:sz w:val="24"/>
          <w:szCs w:val="24"/>
          <w:lang w:bidi="en-US"/>
        </w:rPr>
        <w:t>申购费用。</w:t>
      </w:r>
    </w:p>
    <w:p w14:paraId="7DB88386" w14:textId="42E6B858"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C类基金份额从</w:t>
      </w:r>
      <w:r w:rsidR="00C51F13">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本类别基金财产中计提销售服务费而不收取认购、申购费用，在赎回时根据持有期限收取赎回费用。</w:t>
      </w:r>
      <w:r w:rsidR="00C51F13">
        <w:rPr>
          <w:rFonts w:hint="eastAsia"/>
          <w:bCs/>
          <w:kern w:val="0"/>
          <w:sz w:val="24"/>
          <w:szCs w:val="24"/>
          <w:lang w:bidi="en-US"/>
        </w:rPr>
        <w:t>其中，对于投资者通过直销机构认购</w:t>
      </w:r>
      <w:r w:rsidR="00C51F13">
        <w:rPr>
          <w:bCs/>
          <w:kern w:val="0"/>
          <w:sz w:val="24"/>
          <w:szCs w:val="24"/>
          <w:lang w:bidi="en-US"/>
        </w:rPr>
        <w:t>/</w:t>
      </w:r>
      <w:r w:rsidR="00C51F13">
        <w:rPr>
          <w:rFonts w:hint="eastAsia"/>
          <w:bCs/>
          <w:kern w:val="0"/>
          <w:sz w:val="24"/>
          <w:szCs w:val="24"/>
          <w:lang w:bidi="en-US"/>
        </w:rPr>
        <w:t>申购的</w:t>
      </w:r>
      <w:bookmarkStart w:id="43" w:name="_Hlk218688264"/>
      <w:r w:rsidR="00C51F13">
        <w:rPr>
          <w:rFonts w:hint="eastAsia"/>
          <w:bCs/>
          <w:sz w:val="24"/>
          <w:lang w:bidi="en-US"/>
        </w:rPr>
        <w:t>C</w:t>
      </w:r>
      <w:r w:rsidR="00C51F13">
        <w:rPr>
          <w:rFonts w:hint="eastAsia"/>
          <w:bCs/>
          <w:sz w:val="24"/>
          <w:lang w:bidi="en-US"/>
        </w:rPr>
        <w:t>类基金份额所计提的销售服务费</w:t>
      </w:r>
      <w:bookmarkEnd w:id="43"/>
      <w:r w:rsidR="00C51F13">
        <w:rPr>
          <w:rFonts w:hint="eastAsia"/>
          <w:bCs/>
          <w:kern w:val="0"/>
          <w:sz w:val="24"/>
          <w:szCs w:val="24"/>
          <w:lang w:bidi="en-US"/>
        </w:rPr>
        <w:t>或者通过其他销售机构认购</w:t>
      </w:r>
      <w:r w:rsidR="00C51F13">
        <w:rPr>
          <w:bCs/>
          <w:kern w:val="0"/>
          <w:sz w:val="24"/>
          <w:szCs w:val="24"/>
          <w:lang w:bidi="en-US"/>
        </w:rPr>
        <w:t>/</w:t>
      </w:r>
      <w:r w:rsidR="00C51F13">
        <w:rPr>
          <w:rFonts w:hint="eastAsia"/>
          <w:bCs/>
          <w:kern w:val="0"/>
          <w:sz w:val="24"/>
          <w:szCs w:val="24"/>
          <w:lang w:bidi="en-US"/>
        </w:rPr>
        <w:t>申购且持续持有期限超过一年（</w:t>
      </w:r>
      <w:r w:rsidR="00C51F13" w:rsidRPr="00CD09AD">
        <w:rPr>
          <w:rFonts w:hint="eastAsia"/>
          <w:bCs/>
          <w:kern w:val="0"/>
          <w:sz w:val="24"/>
          <w:szCs w:val="24"/>
          <w:lang w:bidi="en-US"/>
        </w:rPr>
        <w:t>即</w:t>
      </w:r>
      <w:r w:rsidR="00C51F13" w:rsidRPr="00CD09AD">
        <w:rPr>
          <w:rFonts w:hint="eastAsia"/>
          <w:bCs/>
          <w:kern w:val="0"/>
          <w:sz w:val="24"/>
          <w:szCs w:val="24"/>
          <w:lang w:bidi="en-US"/>
        </w:rPr>
        <w:t>365</w:t>
      </w:r>
      <w:r w:rsidR="00C51F13" w:rsidRPr="00CD09AD">
        <w:rPr>
          <w:rFonts w:hint="eastAsia"/>
          <w:bCs/>
          <w:kern w:val="0"/>
          <w:sz w:val="24"/>
          <w:szCs w:val="24"/>
          <w:lang w:bidi="en-US"/>
        </w:rPr>
        <w:t>天</w:t>
      </w:r>
      <w:r w:rsidR="00C51F13">
        <w:rPr>
          <w:rFonts w:hint="eastAsia"/>
          <w:bCs/>
          <w:kern w:val="0"/>
          <w:sz w:val="24"/>
          <w:szCs w:val="24"/>
          <w:lang w:bidi="en-US"/>
        </w:rPr>
        <w:t>）</w:t>
      </w:r>
      <w:r w:rsidR="00C51F13" w:rsidRPr="00CD09AD">
        <w:rPr>
          <w:rFonts w:hint="eastAsia"/>
          <w:bCs/>
          <w:kern w:val="0"/>
          <w:sz w:val="24"/>
          <w:szCs w:val="24"/>
          <w:lang w:bidi="en-US"/>
        </w:rPr>
        <w:t>以后继续计提</w:t>
      </w:r>
      <w:r w:rsidR="00C51F13">
        <w:rPr>
          <w:rFonts w:hint="eastAsia"/>
          <w:bCs/>
          <w:kern w:val="0"/>
          <w:sz w:val="24"/>
          <w:szCs w:val="24"/>
          <w:lang w:bidi="en-US"/>
        </w:rPr>
        <w:t>的</w:t>
      </w:r>
      <w:r w:rsidR="00C51F13">
        <w:rPr>
          <w:bCs/>
          <w:kern w:val="0"/>
          <w:sz w:val="24"/>
          <w:szCs w:val="24"/>
          <w:lang w:bidi="en-US"/>
        </w:rPr>
        <w:t>C</w:t>
      </w:r>
      <w:r w:rsidR="00C51F13">
        <w:rPr>
          <w:rFonts w:hint="eastAsia"/>
          <w:bCs/>
          <w:kern w:val="0"/>
          <w:sz w:val="24"/>
          <w:szCs w:val="24"/>
          <w:lang w:bidi="en-US"/>
        </w:rPr>
        <w:t>类基金份额销售服务费，将在投资者赎回相应基金份额或基金合同终止时随赎回款或清算款一并返还给投资者。</w:t>
      </w:r>
    </w:p>
    <w:p w14:paraId="2A9AAC5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14:paraId="0AD20E1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3772B689" w14:textId="77777777"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十、未来条件许可情况下的基金模式转换</w:t>
      </w:r>
    </w:p>
    <w:p w14:paraId="46D1721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若本基金管理人同时管理同一标的指数的增强</w:t>
      </w:r>
      <w:r w:rsidR="00AE6103">
        <w:rPr>
          <w:rStyle w:val="custom"/>
          <w:rFonts w:ascii="宋体" w:hAnsi="宋体" w:cs="宋体" w:hint="eastAsia"/>
          <w:kern w:val="0"/>
          <w:sz w:val="24"/>
          <w:szCs w:val="24"/>
        </w:rPr>
        <w:t>策略</w:t>
      </w:r>
      <w:r>
        <w:rPr>
          <w:rStyle w:val="custom"/>
          <w:rFonts w:ascii="宋体" w:hAnsi="宋体" w:cs="宋体"/>
          <w:kern w:val="0"/>
          <w:sz w:val="24"/>
          <w:szCs w:val="24"/>
        </w:rPr>
        <w:t>交易型开放式指数基金（</w:t>
      </w:r>
      <w:r w:rsidR="00AE6103">
        <w:rPr>
          <w:rStyle w:val="custom"/>
          <w:rFonts w:ascii="宋体" w:hAnsi="宋体" w:cs="宋体" w:hint="eastAsia"/>
          <w:kern w:val="0"/>
          <w:sz w:val="24"/>
          <w:szCs w:val="24"/>
        </w:rPr>
        <w:t>增强策略</w:t>
      </w:r>
      <w:r>
        <w:rPr>
          <w:rStyle w:val="custom"/>
          <w:rFonts w:ascii="宋体" w:hAnsi="宋体" w:cs="宋体"/>
          <w:kern w:val="0"/>
          <w:sz w:val="24"/>
          <w:szCs w:val="24"/>
        </w:rPr>
        <w:t>ETF），则基金管理人在履行适当程序后可使本基金采取</w:t>
      </w:r>
      <w:r w:rsidR="00AE6103">
        <w:rPr>
          <w:rStyle w:val="custom"/>
          <w:rFonts w:ascii="宋体" w:hAnsi="宋体" w:cs="宋体" w:hint="eastAsia"/>
          <w:kern w:val="0"/>
          <w:sz w:val="24"/>
          <w:szCs w:val="24"/>
        </w:rPr>
        <w:t>增强策略</w:t>
      </w:r>
      <w:r>
        <w:rPr>
          <w:rStyle w:val="custom"/>
          <w:rFonts w:ascii="宋体" w:hAnsi="宋体" w:cs="宋体"/>
          <w:kern w:val="0"/>
          <w:sz w:val="24"/>
          <w:szCs w:val="24"/>
        </w:rPr>
        <w:t>ETF联接基金模式并相应修改《基金合同》，届时无需召开基金份额持有人大会。</w:t>
      </w:r>
      <w:r>
        <w:rPr>
          <w:rStyle w:val="custom"/>
          <w:rFonts w:ascii="宋体" w:hAnsi="宋体" w:cs="宋体"/>
          <w:kern w:val="0"/>
          <w:sz w:val="24"/>
          <w:szCs w:val="24"/>
        </w:rPr>
        <w:br w:type="page"/>
      </w:r>
    </w:p>
    <w:p w14:paraId="6C13EC9F" w14:textId="77777777" w:rsidR="009D63C8" w:rsidRDefault="009713AD" w:rsidP="009E26D0">
      <w:pPr>
        <w:pStyle w:val="1"/>
        <w:spacing w:before="0" w:after="0"/>
        <w:jc w:val="center"/>
        <w:rPr>
          <w:rFonts w:ascii="Times New Roman"/>
          <w:color w:val="auto"/>
          <w:sz w:val="30"/>
        </w:rPr>
      </w:pPr>
      <w:bookmarkStart w:id="44"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基金份额的发售</w:t>
      </w:r>
      <w:bookmarkEnd w:id="44"/>
    </w:p>
    <w:p w14:paraId="5369760A" w14:textId="77777777" w:rsidR="007A2B34" w:rsidRPr="0017353E" w:rsidRDefault="007A2B34" w:rsidP="0090469D"/>
    <w:p w14:paraId="0FE2353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7420B281"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14:paraId="256D072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62B872F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14:paraId="591EEA4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120EBEB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14:paraId="5AB78EA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4EE7A502"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27B2147F"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14:paraId="75C90CA6"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14:paraId="3CF7253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14:paraId="705B211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731264F2"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14:paraId="23B78B3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53651EE3"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14:paraId="695EDD1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14:paraId="77552B33"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14:paraId="19672DE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w:t>
      </w:r>
      <w:r>
        <w:rPr>
          <w:rFonts w:ascii="宋体" w:hAnsi="宋体" w:cs="宋体"/>
          <w:kern w:val="0"/>
          <w:sz w:val="24"/>
          <w:szCs w:val="24"/>
        </w:rPr>
        <w:lastRenderedPageBreak/>
        <w:t>生的任何损失由投资者自行承担。</w:t>
      </w:r>
    </w:p>
    <w:p w14:paraId="2659B43E"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5A646B8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14:paraId="597D7B3F"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14:paraId="3DEE06FD"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14:paraId="6F8EEF59"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14:paraId="5981288F"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14:paraId="4AFDE046"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ascii="宋体" w:hAnsi="宋体" w:cs="宋体"/>
          <w:kern w:val="0"/>
          <w:sz w:val="24"/>
          <w:szCs w:val="24"/>
        </w:rPr>
        <w:br w:type="page"/>
      </w:r>
    </w:p>
    <w:p w14:paraId="0891AD9B" w14:textId="77777777" w:rsidR="009D63C8" w:rsidRDefault="009713AD" w:rsidP="009E26D0">
      <w:pPr>
        <w:pStyle w:val="1"/>
        <w:spacing w:before="0" w:after="0"/>
        <w:jc w:val="center"/>
        <w:rPr>
          <w:rFonts w:ascii="Times New Roman"/>
          <w:color w:val="auto"/>
          <w:sz w:val="30"/>
        </w:rPr>
      </w:pPr>
      <w:bookmarkStart w:id="45"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基金备案</w:t>
      </w:r>
      <w:bookmarkEnd w:id="45"/>
    </w:p>
    <w:p w14:paraId="57BDD46C" w14:textId="77777777" w:rsidR="007A2B34" w:rsidRPr="0017353E" w:rsidRDefault="007A2B34" w:rsidP="0090469D"/>
    <w:p w14:paraId="288B0728"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789E4DCA"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6C1B2A6D"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937951A"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145FE9E1"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3E9C11A3"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14:paraId="045D7D33"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14:paraId="1198BEFC" w14:textId="77777777" w:rsidR="00A71A93" w:rsidRDefault="009713AD">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2BE3788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14:paraId="5093A89C"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4BB8532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法律法规或中国证监会另有规定时，从其规定。</w:t>
      </w:r>
      <w:r>
        <w:rPr>
          <w:rStyle w:val="custom"/>
          <w:rFonts w:ascii="宋体" w:hAnsi="宋体" w:cs="宋体"/>
          <w:kern w:val="0"/>
          <w:sz w:val="24"/>
          <w:szCs w:val="24"/>
        </w:rPr>
        <w:br w:type="page"/>
      </w:r>
    </w:p>
    <w:p w14:paraId="795A908C" w14:textId="77777777" w:rsidR="009D63C8" w:rsidRDefault="009713AD" w:rsidP="009E26D0">
      <w:pPr>
        <w:pStyle w:val="1"/>
        <w:spacing w:before="0" w:after="0"/>
        <w:jc w:val="center"/>
        <w:rPr>
          <w:rFonts w:ascii="Times New Roman"/>
          <w:color w:val="auto"/>
          <w:sz w:val="30"/>
        </w:rPr>
      </w:pPr>
      <w:bookmarkStart w:id="46"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46"/>
    </w:p>
    <w:p w14:paraId="22685075" w14:textId="77777777" w:rsidR="007A2B34" w:rsidRPr="0017353E" w:rsidRDefault="007A2B34" w:rsidP="0090469D"/>
    <w:p w14:paraId="16E36D4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2DE2F47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76C82B6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7835E98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14:paraId="474CDB7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14:paraId="6A8BAAE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0B28883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14:paraId="2CFE31BF"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2EC733B8"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2B17F0B0"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5079576B"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赎回或者转换。投资人在基金合同约定之外的日期和时间提出申购、赎回或转换申请且登记机构确认接受的，其基金份额申购、赎回价格为下一开放日相应类别的基金份额申购、赎回的价格。</w:t>
      </w:r>
    </w:p>
    <w:p w14:paraId="5A1B88A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6D562DE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14:paraId="1E2C02D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14:paraId="19749DD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14:paraId="29D7DE0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14:paraId="596D90B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14:paraId="5B5615C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108E1D7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370DB54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14:paraId="23F0241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4EA60C4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14:paraId="5332E6C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62CC1CF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14:paraId="4B80CE5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w:t>
      </w:r>
      <w:r w:rsidR="0044015A" w:rsidRPr="00F11A44">
        <w:rPr>
          <w:rFonts w:ascii="宋体" w:hAnsi="宋体" w:cs="宋体" w:hint="eastAsia"/>
          <w:sz w:val="24"/>
          <w:szCs w:val="24"/>
        </w:rPr>
        <w:t>、港股通交易系统</w:t>
      </w:r>
      <w:r w:rsidR="0044015A">
        <w:rPr>
          <w:rFonts w:ascii="宋体" w:hAnsi="宋体" w:cs="宋体" w:hint="eastAsia"/>
          <w:sz w:val="24"/>
          <w:szCs w:val="24"/>
        </w:rPr>
        <w:t>故障</w:t>
      </w:r>
      <w:r w:rsidR="0044015A" w:rsidRPr="00F11A44">
        <w:rPr>
          <w:rFonts w:ascii="宋体" w:hAnsi="宋体" w:cs="宋体" w:hint="eastAsia"/>
          <w:sz w:val="24"/>
          <w:szCs w:val="24"/>
        </w:rPr>
        <w:t>或港股通资金交收规则限制</w:t>
      </w:r>
      <w:r>
        <w:rPr>
          <w:rFonts w:ascii="宋体" w:hAnsi="宋体" w:cs="宋体"/>
          <w:kern w:val="0"/>
          <w:sz w:val="24"/>
          <w:szCs w:val="24"/>
        </w:rPr>
        <w:t>或其他非基金管理人及基金托管人所能控制的因素影响业务处理流程，则赎回款项顺延至上述情形消除后的下一个工作日划出。</w:t>
      </w:r>
    </w:p>
    <w:p w14:paraId="2778641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50A50F6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14:paraId="674C2FE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70D713E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0622597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6ECFAD1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3030D47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5C53327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14:paraId="7EC4E92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14:paraId="6330A3A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C022F1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14:paraId="5AD4F91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3763E31C"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0E0C6C2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本基金A类、C类基金份额将分别计算基金份额净值。</w:t>
      </w:r>
    </w:p>
    <w:p w14:paraId="0D9E233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06B9789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145394D1" w14:textId="74F2EAFA"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sidR="00C51F13">
        <w:rPr>
          <w:rFonts w:hint="eastAsia"/>
          <w:bCs/>
          <w:sz w:val="24"/>
        </w:rPr>
        <w:t>通过直销机构</w:t>
      </w:r>
      <w:r w:rsidR="00C51F13">
        <w:rPr>
          <w:rFonts w:hint="eastAsia"/>
          <w:bCs/>
          <w:kern w:val="0"/>
          <w:sz w:val="24"/>
          <w:szCs w:val="24"/>
          <w:lang w:bidi="en-US"/>
        </w:rPr>
        <w:t>以外的其他销售机构申购</w:t>
      </w:r>
      <w:r>
        <w:rPr>
          <w:rStyle w:val="custom"/>
          <w:rFonts w:ascii="宋体" w:hAnsi="宋体" w:cs="宋体"/>
          <w:kern w:val="0"/>
          <w:sz w:val="24"/>
          <w:szCs w:val="24"/>
        </w:rPr>
        <w:t>A类基金份额的</w:t>
      </w:r>
      <w:r w:rsidR="00C51F13">
        <w:rPr>
          <w:rStyle w:val="custom"/>
          <w:rFonts w:ascii="宋体" w:hAnsi="宋体" w:cs="宋体" w:hint="eastAsia"/>
          <w:kern w:val="0"/>
          <w:sz w:val="24"/>
          <w:szCs w:val="24"/>
        </w:rPr>
        <w:t>，</w:t>
      </w:r>
      <w:r>
        <w:rPr>
          <w:rStyle w:val="custom"/>
          <w:rFonts w:ascii="宋体" w:hAnsi="宋体" w:cs="宋体"/>
          <w:kern w:val="0"/>
          <w:sz w:val="24"/>
          <w:szCs w:val="24"/>
        </w:rPr>
        <w:t>申购费用由申购A类基金份额的投资人承担，不列入基金财产</w:t>
      </w:r>
      <w:r w:rsidR="002D0108">
        <w:rPr>
          <w:rStyle w:val="custom"/>
          <w:rFonts w:ascii="宋体" w:hAnsi="宋体" w:cs="宋体" w:hint="eastAsia"/>
          <w:kern w:val="0"/>
          <w:sz w:val="24"/>
          <w:szCs w:val="24"/>
        </w:rPr>
        <w:t>；</w:t>
      </w:r>
      <w:r>
        <w:rPr>
          <w:rStyle w:val="custom"/>
          <w:rFonts w:ascii="宋体" w:hAnsi="宋体" w:cs="宋体"/>
          <w:kern w:val="0"/>
          <w:sz w:val="24"/>
          <w:szCs w:val="24"/>
        </w:rPr>
        <w:t>C类基金份额不收取申购费</w:t>
      </w:r>
      <w:r w:rsidR="002D0108">
        <w:rPr>
          <w:rStyle w:val="custom"/>
          <w:rFonts w:ascii="宋体" w:hAnsi="宋体" w:cs="宋体" w:hint="eastAsia"/>
          <w:kern w:val="0"/>
          <w:sz w:val="24"/>
          <w:szCs w:val="24"/>
        </w:rPr>
        <w:t>，</w:t>
      </w:r>
      <w:r w:rsidR="002D0108">
        <w:rPr>
          <w:rFonts w:hint="eastAsia"/>
          <w:bCs/>
          <w:sz w:val="24"/>
        </w:rPr>
        <w:t>而是从</w:t>
      </w:r>
      <w:r w:rsidR="002D0108">
        <w:rPr>
          <w:rFonts w:hint="eastAsia"/>
          <w:bCs/>
          <w:kern w:val="0"/>
          <w:sz w:val="24"/>
          <w:szCs w:val="24"/>
          <w:lang w:bidi="en-US"/>
        </w:rPr>
        <w:t>直销机构以外的其他销售机构保有的</w:t>
      </w:r>
      <w:r w:rsidR="002D0108">
        <w:rPr>
          <w:rFonts w:hint="eastAsia"/>
          <w:bCs/>
          <w:sz w:val="24"/>
        </w:rPr>
        <w:t>该类别基金资产中计提销售服务费；其中，</w:t>
      </w:r>
      <w:r w:rsidR="002D0108">
        <w:rPr>
          <w:rFonts w:hint="eastAsia"/>
          <w:bCs/>
          <w:kern w:val="0"/>
          <w:sz w:val="24"/>
          <w:szCs w:val="24"/>
          <w:lang w:bidi="en-US"/>
        </w:rPr>
        <w:t>对于投资者通过直销机构认购</w:t>
      </w:r>
      <w:r w:rsidR="002D0108">
        <w:rPr>
          <w:bCs/>
          <w:kern w:val="0"/>
          <w:sz w:val="24"/>
          <w:szCs w:val="24"/>
          <w:lang w:bidi="en-US"/>
        </w:rPr>
        <w:t>/</w:t>
      </w:r>
      <w:r w:rsidR="002D0108">
        <w:rPr>
          <w:rFonts w:hint="eastAsia"/>
          <w:bCs/>
          <w:kern w:val="0"/>
          <w:sz w:val="24"/>
          <w:szCs w:val="24"/>
          <w:lang w:bidi="en-US"/>
        </w:rPr>
        <w:t>申购的</w:t>
      </w:r>
      <w:r w:rsidR="002D0108" w:rsidRPr="00CD09AD">
        <w:rPr>
          <w:rFonts w:hint="eastAsia"/>
          <w:bCs/>
          <w:kern w:val="0"/>
          <w:sz w:val="24"/>
          <w:szCs w:val="24"/>
          <w:lang w:bidi="en-US"/>
        </w:rPr>
        <w:t>C</w:t>
      </w:r>
      <w:r w:rsidR="002D0108" w:rsidRPr="00CD09AD">
        <w:rPr>
          <w:rFonts w:hint="eastAsia"/>
          <w:bCs/>
          <w:kern w:val="0"/>
          <w:sz w:val="24"/>
          <w:szCs w:val="24"/>
          <w:lang w:bidi="en-US"/>
        </w:rPr>
        <w:t>类基金份额所计提的销售服务费</w:t>
      </w:r>
      <w:r w:rsidR="002D0108">
        <w:rPr>
          <w:rFonts w:hint="eastAsia"/>
          <w:bCs/>
          <w:kern w:val="0"/>
          <w:sz w:val="24"/>
          <w:szCs w:val="24"/>
          <w:lang w:bidi="en-US"/>
        </w:rPr>
        <w:t>或者通过其他销售机构认购</w:t>
      </w:r>
      <w:r w:rsidR="002D0108">
        <w:rPr>
          <w:bCs/>
          <w:kern w:val="0"/>
          <w:sz w:val="24"/>
          <w:szCs w:val="24"/>
          <w:lang w:bidi="en-US"/>
        </w:rPr>
        <w:t>/</w:t>
      </w:r>
      <w:r w:rsidR="002D0108">
        <w:rPr>
          <w:rFonts w:hint="eastAsia"/>
          <w:bCs/>
          <w:kern w:val="0"/>
          <w:sz w:val="24"/>
          <w:szCs w:val="24"/>
          <w:lang w:bidi="en-US"/>
        </w:rPr>
        <w:t>申购且持续持有期限超过一年</w:t>
      </w:r>
      <w:bookmarkStart w:id="47" w:name="_Hlk218688781"/>
      <w:r w:rsidR="002D0108">
        <w:rPr>
          <w:rFonts w:hint="eastAsia"/>
          <w:bCs/>
          <w:kern w:val="0"/>
          <w:sz w:val="24"/>
          <w:szCs w:val="24"/>
          <w:lang w:bidi="en-US"/>
        </w:rPr>
        <w:t>（</w:t>
      </w:r>
      <w:r w:rsidR="002D0108" w:rsidRPr="00CD09AD">
        <w:rPr>
          <w:rFonts w:hint="eastAsia"/>
          <w:bCs/>
          <w:kern w:val="0"/>
          <w:sz w:val="24"/>
          <w:szCs w:val="24"/>
          <w:lang w:bidi="en-US"/>
        </w:rPr>
        <w:t>即</w:t>
      </w:r>
      <w:r w:rsidR="002D0108" w:rsidRPr="00CD09AD">
        <w:rPr>
          <w:rFonts w:hint="eastAsia"/>
          <w:bCs/>
          <w:kern w:val="0"/>
          <w:sz w:val="24"/>
          <w:szCs w:val="24"/>
          <w:lang w:bidi="en-US"/>
        </w:rPr>
        <w:t>365</w:t>
      </w:r>
      <w:r w:rsidR="002D0108" w:rsidRPr="00CD09AD">
        <w:rPr>
          <w:rFonts w:hint="eastAsia"/>
          <w:bCs/>
          <w:kern w:val="0"/>
          <w:sz w:val="24"/>
          <w:szCs w:val="24"/>
          <w:lang w:bidi="en-US"/>
        </w:rPr>
        <w:t>天</w:t>
      </w:r>
      <w:r w:rsidR="002D0108">
        <w:rPr>
          <w:rFonts w:hint="eastAsia"/>
          <w:bCs/>
          <w:kern w:val="0"/>
          <w:sz w:val="24"/>
          <w:szCs w:val="24"/>
          <w:lang w:bidi="en-US"/>
        </w:rPr>
        <w:t>）</w:t>
      </w:r>
      <w:r w:rsidR="002D0108" w:rsidRPr="00CD09AD">
        <w:rPr>
          <w:rFonts w:hint="eastAsia"/>
          <w:bCs/>
          <w:kern w:val="0"/>
          <w:sz w:val="24"/>
          <w:szCs w:val="24"/>
          <w:lang w:bidi="en-US"/>
        </w:rPr>
        <w:t>以后继续计提</w:t>
      </w:r>
      <w:bookmarkEnd w:id="47"/>
      <w:r w:rsidR="002D0108">
        <w:rPr>
          <w:rFonts w:hint="eastAsia"/>
          <w:bCs/>
          <w:kern w:val="0"/>
          <w:sz w:val="24"/>
          <w:szCs w:val="24"/>
          <w:lang w:bidi="en-US"/>
        </w:rPr>
        <w:t>的</w:t>
      </w:r>
      <w:r w:rsidR="002D0108">
        <w:rPr>
          <w:bCs/>
          <w:kern w:val="0"/>
          <w:sz w:val="24"/>
          <w:szCs w:val="24"/>
          <w:lang w:bidi="en-US"/>
        </w:rPr>
        <w:t>C</w:t>
      </w:r>
      <w:r w:rsidR="002D0108">
        <w:rPr>
          <w:rFonts w:hint="eastAsia"/>
          <w:bCs/>
          <w:kern w:val="0"/>
          <w:sz w:val="24"/>
          <w:szCs w:val="24"/>
          <w:lang w:bidi="en-US"/>
        </w:rPr>
        <w:t>类基金份额销售服务费，将在投资者赎回相应基金份额时随赎回款</w:t>
      </w:r>
      <w:r w:rsidR="002D0108">
        <w:rPr>
          <w:rFonts w:hint="eastAsia"/>
          <w:bCs/>
          <w:kern w:val="0"/>
          <w:sz w:val="24"/>
          <w:szCs w:val="24"/>
          <w:lang w:bidi="en-US"/>
        </w:rPr>
        <w:lastRenderedPageBreak/>
        <w:t>一并返还给投资者</w:t>
      </w:r>
      <w:r>
        <w:rPr>
          <w:rStyle w:val="custom"/>
          <w:rFonts w:ascii="宋体" w:hAnsi="宋体" w:cs="宋体"/>
          <w:kern w:val="0"/>
          <w:sz w:val="24"/>
          <w:szCs w:val="24"/>
        </w:rPr>
        <w:t>。</w:t>
      </w:r>
    </w:p>
    <w:p w14:paraId="6580E19A" w14:textId="6098FF3A" w:rsidR="00A71A93" w:rsidRDefault="009713AD">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5、赎回费用由赎回基金份额的基金份额持有人承担，在基金份额持有人赎回基金份额时收取。赎回费用全额计入基金财产。</w:t>
      </w:r>
    </w:p>
    <w:p w14:paraId="1C5BBC5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654546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6C37D41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34D0E8F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4D86784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3AC194F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14:paraId="2F7B7DC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14:paraId="2F95E74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24D7804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接受某笔或某些申购申请可能会影响或损害现有基金份额持有人利益时。</w:t>
      </w:r>
    </w:p>
    <w:p w14:paraId="7A607D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14:paraId="62C9FE0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7A230B8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2D7F75E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8、基金管理人接受某笔或者某些申购申请有可能导致单一投资者持有基金份额的比例达到或者超过50%，或者变相规避50%集中度的情形。</w:t>
      </w:r>
    </w:p>
    <w:p w14:paraId="0DDB93B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3BBE70B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10、指数编制机构或指数发布机构因异常情况使指数数据无法正常计算、计算错误或发布异常时。</w:t>
      </w:r>
    </w:p>
    <w:p w14:paraId="13F67D1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11、基金参与港股通交易且港股通交易每日额度不足。</w:t>
      </w:r>
    </w:p>
    <w:p w14:paraId="72298A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法律法规规定或中国证监会认定的其他情形。</w:t>
      </w:r>
    </w:p>
    <w:p w14:paraId="3EBB3A2A" w14:textId="77777777" w:rsidR="00A71A93" w:rsidRDefault="009713AD">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r>
        <w:rPr>
          <w:rFonts w:ascii="宋体" w:hAnsi="宋体" w:cs="宋体"/>
          <w:kern w:val="0"/>
          <w:sz w:val="24"/>
          <w:szCs w:val="24"/>
        </w:rPr>
        <w:t>且基金管理人决定暂停接受投资人申购申请时，基金管理人应当根据有关规定在规定媒介上刊登暂停申购公告。如果投资人的申购申请被全部或部分拒绝的，被拒绝的申购款项将退还给投资人。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2FB3333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08C0127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4B91C23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14:paraId="31D38C8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14:paraId="1BC399E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39F4BC0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14:paraId="7CDDB1A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w:t>
      </w:r>
      <w:r>
        <w:rPr>
          <w:rFonts w:ascii="宋体" w:hAnsi="宋体" w:cs="宋体"/>
          <w:kern w:val="0"/>
          <w:sz w:val="24"/>
          <w:szCs w:val="24"/>
        </w:rPr>
        <w:lastRenderedPageBreak/>
        <w:t>管理人可暂停接受基金份额持有人的赎回申请。</w:t>
      </w:r>
    </w:p>
    <w:p w14:paraId="5FF5497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600FD5A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14:paraId="5A848B2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9DB8AC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6667907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14:paraId="2E1E0A76"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5184138D"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14:paraId="52EEFB63"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352EE5C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14:paraId="6331AA7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w:t>
      </w:r>
      <w:r>
        <w:rPr>
          <w:rStyle w:val="custom"/>
          <w:rFonts w:ascii="宋体" w:hAnsi="宋体" w:cs="宋体"/>
          <w:kern w:val="0"/>
          <w:sz w:val="24"/>
          <w:szCs w:val="24"/>
        </w:rPr>
        <w:lastRenderedPageBreak/>
        <w:t>动转入下一个开放日继续赎回，直到全部赎回为止；选择取消赎回的，当日未获受理的部分赎回申请将被撤销。</w:t>
      </w:r>
    </w:p>
    <w:p w14:paraId="03660A74"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7CABA87A"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如投资人在提交赎回申请时未作明确选择，投资人未能赎回部分作自动延期赎回处理。</w:t>
      </w:r>
    </w:p>
    <w:p w14:paraId="606B5431" w14:textId="77777777" w:rsidR="00A71A93" w:rsidRPr="0068377D"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sidRPr="0068377D">
        <w:rPr>
          <w:rStyle w:val="custom"/>
          <w:rFonts w:ascii="宋体" w:hAnsi="宋体" w:cs="宋体"/>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14:paraId="1089D00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11FDF8B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573BD82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2DE02F2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14:paraId="0C7EB77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74518CE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77973BA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14:paraId="7FD774D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w:t>
      </w:r>
      <w:r>
        <w:rPr>
          <w:rFonts w:ascii="宋体" w:hAnsi="宋体" w:cs="宋体"/>
          <w:kern w:val="0"/>
          <w:sz w:val="24"/>
          <w:szCs w:val="24"/>
        </w:rPr>
        <w:lastRenderedPageBreak/>
        <w:t>另行发布重新开放的公告。</w:t>
      </w:r>
    </w:p>
    <w:p w14:paraId="07AB395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4EC3D6E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A19733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4D66613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6BAB8EE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基金的非交易过户</w:t>
      </w:r>
    </w:p>
    <w:p w14:paraId="2F97438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5905C69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DA06C1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1E5EA08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2F40C7B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定期定额投资计划</w:t>
      </w:r>
    </w:p>
    <w:p w14:paraId="633A703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w:t>
      </w:r>
      <w:r>
        <w:rPr>
          <w:rFonts w:ascii="宋体" w:hAnsi="宋体" w:cs="宋体"/>
          <w:kern w:val="0"/>
          <w:sz w:val="24"/>
          <w:szCs w:val="24"/>
        </w:rPr>
        <w:lastRenderedPageBreak/>
        <w:t>可自行约定每期扣款金额，每期扣款金额必须不低于基金管理人在相关公告或更新的招募说明书中所规定的定期定额投资计划最低申购金额。</w:t>
      </w:r>
    </w:p>
    <w:p w14:paraId="53EF419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1CB55C9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74ADA89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4529178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实施侧袋机制期间本基金的申购与赎回</w:t>
      </w:r>
    </w:p>
    <w:p w14:paraId="5479315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本基金实施侧袋机制的，本基金的申购和赎回安排详见招募说明书或相关公告。</w:t>
      </w:r>
    </w:p>
    <w:p w14:paraId="4866F4D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14:paraId="30CC410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26E6E68F" w14:textId="77777777" w:rsidR="009D63C8" w:rsidRDefault="009713AD" w:rsidP="009E26D0">
      <w:pPr>
        <w:pStyle w:val="1"/>
        <w:spacing w:before="0" w:after="0"/>
        <w:jc w:val="center"/>
        <w:rPr>
          <w:rFonts w:ascii="Times New Roman"/>
          <w:color w:val="auto"/>
          <w:sz w:val="30"/>
        </w:rPr>
      </w:pPr>
      <w:bookmarkStart w:id="48" w:name="_Toc256000006"/>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基金合同当事人及权利义务</w:t>
      </w:r>
      <w:bookmarkEnd w:id="48"/>
    </w:p>
    <w:p w14:paraId="0327C6F5" w14:textId="77777777" w:rsidR="007A2B34" w:rsidRPr="0017353E" w:rsidRDefault="007A2B34" w:rsidP="0090469D"/>
    <w:p w14:paraId="280851A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6231A42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2572476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2C2A03D9" w14:textId="63DE1385"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住所：</w:t>
      </w:r>
      <w:r w:rsidR="004B3B51" w:rsidRPr="004B3B51">
        <w:rPr>
          <w:rFonts w:ascii="宋体" w:hAnsi="宋体" w:cs="宋体" w:hint="eastAsia"/>
          <w:kern w:val="0"/>
          <w:sz w:val="24"/>
          <w:szCs w:val="24"/>
        </w:rPr>
        <w:t>上海市黄浦区外马路728号9楼</w:t>
      </w:r>
    </w:p>
    <w:p w14:paraId="62E275F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法定代表人：</w:t>
      </w:r>
      <w:r w:rsidR="00C03454">
        <w:rPr>
          <w:rFonts w:ascii="宋体" w:hAnsi="宋体" w:cs="宋体" w:hint="eastAsia"/>
          <w:kern w:val="0"/>
          <w:sz w:val="24"/>
          <w:szCs w:val="24"/>
        </w:rPr>
        <w:t>鲁伟铭</w:t>
      </w:r>
    </w:p>
    <w:p w14:paraId="24D498A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14:paraId="0AF0947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批准设立机关及批准设立文号：中国证监会证监基金字【2005】5号</w:t>
      </w:r>
    </w:p>
    <w:p w14:paraId="4A7D28C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3E91F19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14:paraId="7FEE40D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723B46A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67129C4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50025CB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05AC655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41B7F08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4892460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2E963B9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5479B62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5C4EA26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4FB9434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1155D56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24E9950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3006427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7B30E02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1D13AA2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16739BB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（13）在法律法规允许的前提下，为基金的利益依法为基金进行融资及转融通证券出借业务；</w:t>
      </w:r>
    </w:p>
    <w:p w14:paraId="6C29BDD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1865568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02B41B2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（16）在符合有关法律、法规的前提下，制订和调整有关基金认购、申购、赎回、转换、定期定额投资、转托管和非交易过户等业务规则；</w:t>
      </w:r>
    </w:p>
    <w:p w14:paraId="528393C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14:paraId="1CC8C12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14:paraId="5CA7358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15BCA07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006569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4D9B6C0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5E8BFE1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3BA0A84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1D6399E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1114406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14:paraId="50F6C70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263EC9D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51D2E71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22F86C5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2F604F2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1CC9119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68B57F5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14:paraId="15E2F52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3EE312F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285B39A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BF0CF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1262198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587A452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w:t>
      </w:r>
      <w:r>
        <w:rPr>
          <w:rFonts w:ascii="宋体" w:hAnsi="宋体" w:cs="宋体"/>
          <w:kern w:val="0"/>
          <w:sz w:val="24"/>
          <w:szCs w:val="24"/>
        </w:rPr>
        <w:lastRenderedPageBreak/>
        <w:t>法权益时，应当承担赔偿责任，其赔偿责任不因其退任而免除；</w:t>
      </w:r>
    </w:p>
    <w:p w14:paraId="65BBE5B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7467D98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4F10A6D2"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4CDCA885" w14:textId="77777777" w:rsidR="00A71A93" w:rsidRDefault="009713AD">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14:paraId="4839D52D"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6DB3F78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2C2C3AF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37DE89F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6F5FB51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45B28CC4"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名称：中国建设银行股份有限公司</w:t>
      </w:r>
    </w:p>
    <w:p w14:paraId="6DCF2693"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住所：北京市西城区金融大街25号</w:t>
      </w:r>
    </w:p>
    <w:p w14:paraId="3F07BA68"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sidR="00E165B0">
        <w:rPr>
          <w:rFonts w:ascii="宋体" w:hAnsi="宋体" w:cs="宋体" w:hint="eastAsia"/>
          <w:kern w:val="0"/>
          <w:sz w:val="24"/>
          <w:szCs w:val="24"/>
        </w:rPr>
        <w:t>张金良</w:t>
      </w:r>
    </w:p>
    <w:p w14:paraId="2686FBED"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成立时间：2004年09月17日</w:t>
      </w:r>
    </w:p>
    <w:p w14:paraId="237B8C44"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批准设立机关及批准设立文号：中国银行业监督管理委员会银监复【2004】143号</w:t>
      </w:r>
    </w:p>
    <w:p w14:paraId="55C0C606"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5F79AC4B"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注册资本：人民币贰仟伍佰亿壹仟零玖拾柒万柒仟肆佰捌拾陆元整</w:t>
      </w:r>
    </w:p>
    <w:p w14:paraId="59D3AA76"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283F5C51"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基金托管资格批文及文号：中国证监会证监基字</w:t>
      </w:r>
      <w:r>
        <w:rPr>
          <w:rFonts w:eastAsia="Times New Roman"/>
          <w:kern w:val="0"/>
          <w:sz w:val="24"/>
          <w:szCs w:val="24"/>
        </w:rPr>
        <w:t>[1998]12</w:t>
      </w:r>
      <w:r>
        <w:rPr>
          <w:rFonts w:ascii="宋体" w:hAnsi="宋体" w:cs="宋体"/>
          <w:kern w:val="0"/>
          <w:sz w:val="24"/>
          <w:szCs w:val="24"/>
        </w:rPr>
        <w:t>号</w:t>
      </w:r>
    </w:p>
    <w:p w14:paraId="21C5550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2A5C0A4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2803B8C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w:t>
      </w:r>
      <w:r>
        <w:rPr>
          <w:rFonts w:ascii="宋体" w:hAnsi="宋体" w:cs="宋体"/>
          <w:kern w:val="0"/>
          <w:sz w:val="24"/>
          <w:szCs w:val="24"/>
        </w:rPr>
        <w:t>自《基金合同》生效之日起，依法律法规和《基金合同》的规定安全保管基金财产；</w:t>
      </w:r>
    </w:p>
    <w:p w14:paraId="31D4D32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4CB6759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EC9C83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w:t>
      </w:r>
      <w:r w:rsidR="009239A3">
        <w:rPr>
          <w:rStyle w:val="custom"/>
          <w:rFonts w:ascii="宋体" w:hAnsi="宋体" w:cs="宋体" w:hint="eastAsia"/>
          <w:kern w:val="0"/>
          <w:sz w:val="24"/>
          <w:szCs w:val="24"/>
        </w:rPr>
        <w:t>、</w:t>
      </w:r>
      <w:r>
        <w:rPr>
          <w:rStyle w:val="custom"/>
          <w:rFonts w:ascii="宋体" w:hAnsi="宋体" w:cs="宋体"/>
          <w:kern w:val="0"/>
          <w:sz w:val="24"/>
          <w:szCs w:val="24"/>
        </w:rPr>
        <w:t>证券账户等投资所需账户，为基金办理证券、期货交易资金清算；</w:t>
      </w:r>
    </w:p>
    <w:p w14:paraId="6E12E62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66156AB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5EACFAE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2D23324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3A4BF7D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0F7032E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5E5E619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5D2161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47A5B04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3A68FB7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w:t>
      </w:r>
      <w:r w:rsidR="0086073C">
        <w:rPr>
          <w:rFonts w:ascii="宋体" w:hAnsi="宋体" w:cs="宋体" w:hint="eastAsia"/>
          <w:kern w:val="0"/>
          <w:sz w:val="24"/>
          <w:szCs w:val="24"/>
        </w:rPr>
        <w:t>、</w:t>
      </w:r>
      <w:r>
        <w:rPr>
          <w:rFonts w:ascii="宋体" w:hAnsi="宋体" w:cs="宋体"/>
          <w:kern w:val="0"/>
          <w:sz w:val="24"/>
          <w:szCs w:val="24"/>
        </w:rPr>
        <w:t>证券账户等投资所需账户，按照《基金合同》的约定，根据基金管理人的投资指令，及时办理清算、交割事宜；</w:t>
      </w:r>
    </w:p>
    <w:p w14:paraId="68841C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w:t>
      </w:r>
      <w:r>
        <w:rPr>
          <w:rFonts w:ascii="宋体" w:hAnsi="宋体" w:cs="宋体"/>
          <w:kern w:val="0"/>
          <w:sz w:val="24"/>
          <w:szCs w:val="24"/>
        </w:rPr>
        <w:lastRenderedPageBreak/>
        <w:t>有规定外，在基金信息公开披露前予以保密，不得向他人泄露，但应监管机构、司法机关等有权机关的要求，或因审计、法律等外部专业顾问提供服务需要提供的情况除外；</w:t>
      </w:r>
    </w:p>
    <w:p w14:paraId="2F4E3E1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67B0FF9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0C4A8B7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2D529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66B44173" w14:textId="77777777" w:rsidR="00A71A93" w:rsidRPr="00335397" w:rsidRDefault="009713AD">
      <w:pPr>
        <w:pStyle w:val="div"/>
        <w:spacing w:line="360" w:lineRule="auto"/>
        <w:ind w:firstLine="420"/>
        <w:jc w:val="left"/>
        <w:rPr>
          <w:rFonts w:ascii="宋体" w:hAnsi="宋体" w:cs="宋体"/>
          <w:kern w:val="0"/>
          <w:sz w:val="24"/>
          <w:szCs w:val="24"/>
        </w:rPr>
      </w:pPr>
      <w:r>
        <w:rPr>
          <w:rStyle w:val="custom"/>
          <w:rFonts w:ascii="宋体" w:hAnsi="宋体" w:cs="宋体"/>
          <w:kern w:val="0"/>
          <w:sz w:val="24"/>
          <w:szCs w:val="24"/>
        </w:rPr>
        <w:t>（12）</w:t>
      </w:r>
      <w:r w:rsidR="007F29DF" w:rsidRPr="00335397">
        <w:rPr>
          <w:rFonts w:ascii="宋体" w:hAnsi="宋体" w:cs="宋体" w:hint="eastAsia"/>
          <w:kern w:val="0"/>
          <w:sz w:val="24"/>
          <w:szCs w:val="24"/>
        </w:rPr>
        <w:t>从基金管理人或其委托的登记机构处接收</w:t>
      </w:r>
      <w:r>
        <w:rPr>
          <w:rFonts w:ascii="宋体" w:hAnsi="宋体" w:cs="宋体"/>
          <w:kern w:val="0"/>
          <w:sz w:val="24"/>
          <w:szCs w:val="24"/>
        </w:rPr>
        <w:t>并保存基金份额持有人名册；</w:t>
      </w:r>
    </w:p>
    <w:p w14:paraId="2C3FD92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2879A69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5DF90CB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366A30E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22E31F5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7E36AF2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12EBA91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75C1C8E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2645ADB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（21）</w:t>
      </w:r>
      <w:r>
        <w:rPr>
          <w:rFonts w:ascii="宋体" w:hAnsi="宋体" w:cs="宋体"/>
          <w:kern w:val="0"/>
          <w:sz w:val="24"/>
          <w:szCs w:val="24"/>
        </w:rPr>
        <w:t>执行生效的基金份额持有人大会的决议；</w:t>
      </w:r>
    </w:p>
    <w:p w14:paraId="5A27523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法律法规及中国证监会规定的和《基金合同》约定的其他义务。</w:t>
      </w:r>
    </w:p>
    <w:p w14:paraId="318A4CB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21AEEE6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EFD26BB"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60C3C60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5191ACB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14:paraId="5C9B2FE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14:paraId="4889D22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14:paraId="6A506AE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2A21EAF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7241129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14:paraId="457463B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14:paraId="1D22F47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6108886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1F65290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06E42DC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7ABC767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2B19B14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13B21EE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14:paraId="335822F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w:t>
      </w:r>
      <w:r>
        <w:rPr>
          <w:rFonts w:ascii="宋体" w:hAnsi="宋体" w:cs="宋体"/>
          <w:kern w:val="0"/>
          <w:sz w:val="24"/>
          <w:szCs w:val="24"/>
        </w:rPr>
        <w:t>在其持有的基金份额范围内，承担基金亏损或者《基金合同》终止的有限责任；</w:t>
      </w:r>
    </w:p>
    <w:p w14:paraId="574132A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7B41B00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220AB13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0F3D7F7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4550EFE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遵守基金管理人、基金托管人、销售机构和登记机构的相关交易及业务规则；</w:t>
      </w:r>
    </w:p>
    <w:p w14:paraId="4D1100D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2059CBE4" w14:textId="77777777" w:rsidR="009D63C8" w:rsidRDefault="009713AD" w:rsidP="009E26D0">
      <w:pPr>
        <w:pStyle w:val="1"/>
        <w:spacing w:before="0" w:after="0"/>
        <w:jc w:val="center"/>
        <w:rPr>
          <w:rFonts w:ascii="Times New Roman"/>
          <w:color w:val="auto"/>
          <w:sz w:val="30"/>
        </w:rPr>
      </w:pPr>
      <w:bookmarkStart w:id="49"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基金份额持有人大会</w:t>
      </w:r>
      <w:bookmarkEnd w:id="49"/>
    </w:p>
    <w:p w14:paraId="2FEF9B82" w14:textId="77777777" w:rsidR="007A2B34" w:rsidRPr="0017353E" w:rsidRDefault="007A2B34" w:rsidP="0090469D"/>
    <w:p w14:paraId="162D8E1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CB1B7B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78E2B94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2CE9EC8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2523988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619FA10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43F15A8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14:paraId="1D2B478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14:paraId="20641FB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14:paraId="3C21C49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767F9A2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184A17C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6D7ECA9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342EDD8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04F5091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47698B2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370CE11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0423FB7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73738C8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14:paraId="32E1FD24" w14:textId="69B6FAAD"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14:paraId="22B9249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14:paraId="33BEB9B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（4）因相应的法律法规发生变动而应当对《基金合同》进行修改；</w:t>
      </w:r>
    </w:p>
    <w:p w14:paraId="36E8303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（5）基金管理人和基金登记机构等调整或修改《业务规则》，包括但不限于有关基金认购、申购、赎回、转换、非交易过户、转托管等内容；</w:t>
      </w:r>
    </w:p>
    <w:p w14:paraId="048DD24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4FC86E5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sidR="00A6741A">
        <w:rPr>
          <w:rStyle w:val="custom"/>
          <w:rFonts w:ascii="宋体" w:hAnsi="宋体" w:cs="宋体" w:hint="eastAsia"/>
          <w:kern w:val="0"/>
          <w:sz w:val="24"/>
          <w:szCs w:val="24"/>
        </w:rPr>
        <w:t>在履行适当程序后，</w:t>
      </w:r>
      <w:r>
        <w:rPr>
          <w:rFonts w:ascii="宋体" w:hAnsi="宋体" w:cs="宋体"/>
          <w:kern w:val="0"/>
          <w:sz w:val="24"/>
          <w:szCs w:val="24"/>
        </w:rPr>
        <w:t>基金推出新业务或服务；</w:t>
      </w:r>
    </w:p>
    <w:p w14:paraId="573CFDA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sidR="00335397">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按照法律法规和《基金合同》规定不需召开基金份额持有人大会的其他情形。</w:t>
      </w:r>
    </w:p>
    <w:p w14:paraId="59DCD76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0840401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23E6A81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62CC358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F2D6EF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w:t>
      </w:r>
      <w:r>
        <w:rPr>
          <w:rFonts w:ascii="宋体" w:hAnsi="宋体" w:cs="宋体"/>
          <w:kern w:val="0"/>
          <w:sz w:val="24"/>
          <w:szCs w:val="24"/>
        </w:rPr>
        <w:lastRenderedPageBreak/>
        <w:t>书面决定之日起60日内召开并告知基金管理人，基金管理人应当配合。</w:t>
      </w:r>
    </w:p>
    <w:p w14:paraId="1D065F5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885024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41B5E81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7A9582F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14:paraId="54CDF19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14:paraId="7BB9AF4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会议拟审议的事项、议事程序和表决方式；</w:t>
      </w:r>
    </w:p>
    <w:p w14:paraId="1D8621F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3DD0EAC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12CC828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14:paraId="4AB9516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14:paraId="4274079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14:paraId="7854611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81E318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960126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14:paraId="15AE5F3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14:paraId="5D86C4F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63F6D0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47A1C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9172F0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19732B0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72469A6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14:paraId="199F8DE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914DC2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本人直接出具书面意见或授权他人代表出具书面意见的，基金份额持</w:t>
      </w:r>
      <w:r>
        <w:rPr>
          <w:rFonts w:ascii="宋体" w:hAnsi="宋体" w:cs="宋体"/>
          <w:kern w:val="0"/>
          <w:sz w:val="24"/>
          <w:szCs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504F4F5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DA4724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78C129A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2567719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14:paraId="0C7D6ED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311344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060F2DE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0F61EEC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议事程序</w:t>
      </w:r>
    </w:p>
    <w:p w14:paraId="3B11668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259687D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w:t>
      </w:r>
      <w:r>
        <w:rPr>
          <w:rFonts w:ascii="宋体" w:hAnsi="宋体" w:cs="宋体"/>
          <w:kern w:val="0"/>
          <w:sz w:val="24"/>
          <w:szCs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1AE6B55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FC7FA8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55E3467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0B1418C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1D067AC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1CA210B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1069360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F4B28D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14:paraId="716AF967"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除《基金合同》另有约定外，转换基金运作方式、更换基金管理人或者基金托管人、终止《基金合同》、本基金与其他基金合并以特别决议通过方为有效。</w:t>
      </w:r>
    </w:p>
    <w:p w14:paraId="2FEEC5D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76280E9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Pr>
          <w:rFonts w:ascii="宋体" w:hAnsi="宋体" w:cs="宋体"/>
          <w:kern w:val="0"/>
          <w:sz w:val="24"/>
          <w:szCs w:val="24"/>
        </w:rPr>
        <w:lastRenderedPageBreak/>
        <w:t>总数。</w:t>
      </w:r>
    </w:p>
    <w:p w14:paraId="79C46FA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7FFC278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0784E8A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10DEA96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4914F67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443FC8E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E0A72E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51E6B18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1A34747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963A69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14:paraId="2EFB71C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7F49E27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基金份额持有人大会的决议自表决通过之日起生效。</w:t>
      </w:r>
    </w:p>
    <w:p w14:paraId="50811DD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基金份额持有人大会决议自生效之日起2日内在规定媒介上公告。如果采用通讯方式进行表决，在公告基金份额持有人大会决议时，必须将公证书全文、公证机构、公证员姓名等一同公告。</w:t>
      </w:r>
    </w:p>
    <w:p w14:paraId="046350E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1224D9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实施侧袋机制期间基金份额持有人大会的特殊约定</w:t>
      </w:r>
    </w:p>
    <w:p w14:paraId="4C072D6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A65FEB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14:paraId="45E9B00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现场开会的到会者在权益登记日代表的基金份额不少于本基金在权益登记日相关基金份额的二分之一（含二分之一）；</w:t>
      </w:r>
    </w:p>
    <w:p w14:paraId="311419C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通讯开会的直接出具书面意见或授权他人代表出具书面意见的基金份额持有人所持有的基金份额不小于在权益登记日相关基金份额的二分之一（含二分之一）；</w:t>
      </w:r>
    </w:p>
    <w:p w14:paraId="6B2D911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E2479E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14:paraId="686626B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31E89F2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w:t>
      </w:r>
      <w:r>
        <w:rPr>
          <w:rFonts w:ascii="宋体" w:hAnsi="宋体" w:cs="宋体"/>
          <w:kern w:val="0"/>
          <w:sz w:val="24"/>
          <w:szCs w:val="24"/>
        </w:rPr>
        <w:lastRenderedPageBreak/>
        <w:t>分之二以上（含三分之二）通过。</w:t>
      </w:r>
    </w:p>
    <w:p w14:paraId="442ECFD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同一主侧袋账户内的每份基金份额具有平等的表决权。</w:t>
      </w:r>
    </w:p>
    <w:p w14:paraId="52E782A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168C38EE" w14:textId="77777777" w:rsidR="009D63C8" w:rsidRDefault="009713AD" w:rsidP="009E26D0">
      <w:pPr>
        <w:pStyle w:val="1"/>
        <w:spacing w:before="0" w:after="0"/>
        <w:jc w:val="center"/>
        <w:rPr>
          <w:rFonts w:ascii="Times New Roman"/>
          <w:color w:val="auto"/>
          <w:sz w:val="30"/>
        </w:rPr>
      </w:pPr>
      <w:bookmarkStart w:id="50" w:name="_Toc256000008"/>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基金管理人、基金托管人的更换条件和程序</w:t>
      </w:r>
      <w:bookmarkEnd w:id="50"/>
    </w:p>
    <w:p w14:paraId="1C70CA65" w14:textId="77777777" w:rsidR="007A2B34" w:rsidRPr="0017353E" w:rsidRDefault="007A2B34" w:rsidP="0090469D"/>
    <w:p w14:paraId="2E11468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67CC827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14:paraId="2BB5D0A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7912135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14:paraId="457DFDA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0D78B6E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6B0E71F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2437291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732F08E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6E765C3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14:paraId="4DBB937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30147FE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1D7C056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39E73E1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7746E39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7596A1E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提名：新任基金管理人由基金托管人或由单独或合计持有10%以上（含10%）基金份额的基金份额持有人提名；</w:t>
      </w:r>
    </w:p>
    <w:p w14:paraId="2ECEDB3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0BD7A6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临时基金管理人：新任基金管理人产生之前，由中国证监会指定临时基金管理人；</w:t>
      </w:r>
    </w:p>
    <w:p w14:paraId="100E2AB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14:paraId="0A8AACF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14:paraId="051B4A5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w:t>
      </w:r>
      <w:r>
        <w:rPr>
          <w:rFonts w:ascii="宋体" w:hAnsi="宋体" w:cs="宋体"/>
          <w:kern w:val="0"/>
          <w:sz w:val="24"/>
          <w:szCs w:val="24"/>
        </w:rPr>
        <w:lastRenderedPageBreak/>
        <w:t>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02FEC83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0352AD3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基金名称变更：基金管理人更换后，如果原任或新任基金管理人要求，应按其要求替换或删除基金名称中与原任基金管理人有关的名称字样。</w:t>
      </w:r>
    </w:p>
    <w:p w14:paraId="15CBA6F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40D0507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提名：新任基金托管人由基金管理人或由单独或合计持有10%以上（含10%）基金份额的基金份额持有人提名；</w:t>
      </w:r>
    </w:p>
    <w:p w14:paraId="12AC1D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002DB8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临时基金托管人：新任基金托管人产生之前，由中国证监会指定临时基金托管人；</w:t>
      </w:r>
    </w:p>
    <w:p w14:paraId="38ADFE3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14:paraId="05FDD11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14:paraId="754BC5D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14:paraId="76F1721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27B2C3F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1015561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w:t>
      </w:r>
      <w:r>
        <w:rPr>
          <w:rFonts w:ascii="宋体" w:hAnsi="宋体" w:cs="宋体"/>
          <w:kern w:val="0"/>
          <w:sz w:val="24"/>
          <w:szCs w:val="24"/>
        </w:rPr>
        <w:lastRenderedPageBreak/>
        <w:t>总份额10%以上（含10%）的基金份额持有人提名新的基金管理人和基金托管人；</w:t>
      </w:r>
    </w:p>
    <w:p w14:paraId="1D957FE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14:paraId="0B57E9C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公告：新任基金管理人和新任基金托管人应在更换基金管理人和基金托管人的基金份额持有人大会决议生效后2日内在规定媒介上联合公告。</w:t>
      </w:r>
    </w:p>
    <w:p w14:paraId="46B0479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73B8477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7F99D274" w14:textId="77777777" w:rsidR="009D63C8" w:rsidRDefault="009713AD" w:rsidP="009E26D0">
      <w:pPr>
        <w:pStyle w:val="1"/>
        <w:spacing w:before="0" w:after="0"/>
        <w:jc w:val="center"/>
        <w:rPr>
          <w:rFonts w:ascii="Times New Roman"/>
          <w:color w:val="auto"/>
          <w:sz w:val="30"/>
        </w:rPr>
      </w:pPr>
      <w:bookmarkStart w:id="51" w:name="_Toc256000009"/>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基金的托管</w:t>
      </w:r>
      <w:bookmarkEnd w:id="51"/>
    </w:p>
    <w:p w14:paraId="4B2B97AA" w14:textId="77777777" w:rsidR="007A2B34" w:rsidRPr="0017353E" w:rsidRDefault="007A2B34" w:rsidP="0090469D"/>
    <w:p w14:paraId="6266216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031C8C0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79344B3E" w14:textId="77777777" w:rsidR="009D63C8" w:rsidRDefault="009713AD" w:rsidP="009E26D0">
      <w:pPr>
        <w:pStyle w:val="1"/>
        <w:spacing w:before="0" w:after="0"/>
        <w:jc w:val="center"/>
        <w:rPr>
          <w:rFonts w:ascii="Times New Roman"/>
          <w:color w:val="auto"/>
          <w:sz w:val="30"/>
        </w:rPr>
      </w:pPr>
      <w:bookmarkStart w:id="52"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基金份额的登记</w:t>
      </w:r>
      <w:bookmarkEnd w:id="52"/>
    </w:p>
    <w:p w14:paraId="663788E7" w14:textId="77777777" w:rsidR="007A2B34" w:rsidRPr="0017353E" w:rsidRDefault="007A2B34" w:rsidP="0090469D"/>
    <w:p w14:paraId="7B8BEEB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4252CD49"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D9A307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1F4292B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14:paraId="58021FC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648B390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4C18239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14:paraId="551AA528"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7A3EE40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14:paraId="59BF652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14:paraId="1E980CB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14:paraId="4A2BAA6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0834416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57BDD10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14:paraId="2809C84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14:paraId="1A5401A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14:paraId="23CFA182" w14:textId="77777777" w:rsidR="00A71A93" w:rsidRDefault="009713AD">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6F73C32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按《基金合同》及招募说明书规定为投资者办理非交易过户业务、提供其他必要的服务；</w:t>
      </w:r>
    </w:p>
    <w:p w14:paraId="4712A19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14:paraId="30CDB90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5F412573" w14:textId="77777777" w:rsidR="009D63C8" w:rsidRDefault="009713AD" w:rsidP="009E26D0">
      <w:pPr>
        <w:pStyle w:val="1"/>
        <w:spacing w:before="0" w:after="0"/>
        <w:jc w:val="center"/>
        <w:rPr>
          <w:rFonts w:ascii="Times New Roman"/>
          <w:color w:val="auto"/>
          <w:sz w:val="30"/>
        </w:rPr>
      </w:pPr>
      <w:bookmarkStart w:id="53"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基金的投资</w:t>
      </w:r>
      <w:bookmarkEnd w:id="53"/>
    </w:p>
    <w:p w14:paraId="6146A509" w14:textId="77777777" w:rsidR="007A2B34" w:rsidRPr="0017353E" w:rsidRDefault="007A2B34" w:rsidP="0090469D"/>
    <w:p w14:paraId="6E36389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3124D48A"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p>
    <w:p w14:paraId="6CFA7F1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60EA375F"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w:t>
      </w:r>
      <w:r w:rsidR="00ED4B30">
        <w:rPr>
          <w:rStyle w:val="custom"/>
          <w:rFonts w:ascii="宋体" w:hAnsi="宋体" w:cs="宋体" w:hint="eastAsia"/>
          <w:kern w:val="0"/>
          <w:sz w:val="24"/>
          <w:szCs w:val="24"/>
        </w:rPr>
        <w:t>科创板、</w:t>
      </w:r>
      <w:r>
        <w:rPr>
          <w:rStyle w:val="custom"/>
          <w:rFonts w:ascii="宋体" w:hAnsi="宋体" w:cs="宋体"/>
          <w:kern w:val="0"/>
          <w:sz w:val="24"/>
          <w:szCs w:val="24"/>
        </w:rPr>
        <w:t>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145B2356"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本基金还可根据法律法规参与融资及转融通证券出借业务。</w:t>
      </w:r>
    </w:p>
    <w:p w14:paraId="07675C5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234DE44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w:t>
      </w:r>
      <w:r>
        <w:rPr>
          <w:rStyle w:val="custom"/>
          <w:rFonts w:ascii="宋体" w:hAnsi="宋体" w:cs="宋体"/>
          <w:kern w:val="0"/>
          <w:sz w:val="24"/>
          <w:szCs w:val="24"/>
        </w:rPr>
        <w:t>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14:paraId="7E3C130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61B297B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1B73D6F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本基金采用指数增强型投资策略，以中证全指指数作为基金投资组合的标的</w:t>
      </w:r>
      <w:r>
        <w:rPr>
          <w:rStyle w:val="custom"/>
          <w:rFonts w:ascii="宋体" w:hAnsi="宋体" w:cs="宋体"/>
          <w:kern w:val="0"/>
          <w:sz w:val="24"/>
          <w:szCs w:val="24"/>
        </w:rPr>
        <w:lastRenderedPageBreak/>
        <w:t>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w:t>
      </w:r>
    </w:p>
    <w:p w14:paraId="4609DEF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股票投资策略为本基金的核心策略。本基金股票投资以个股精选策略为主。在本基金的投资过程中，将控制股票投资组合与标的指数的结构性偏离，以期在长期实现持续超越标的指数收益率的投资目标。</w:t>
      </w:r>
    </w:p>
    <w:p w14:paraId="03BBE73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5AA25DB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sidR="00C6148C">
        <w:rPr>
          <w:rStyle w:val="custom"/>
          <w:rFonts w:ascii="宋体" w:hAnsi="宋体" w:cs="宋体" w:hint="eastAsia"/>
          <w:kern w:val="0"/>
          <w:sz w:val="24"/>
          <w:szCs w:val="24"/>
        </w:rPr>
        <w:t>、</w:t>
      </w:r>
      <w:r>
        <w:rPr>
          <w:rStyle w:val="custom"/>
          <w:rFonts w:ascii="宋体" w:hAnsi="宋体" w:cs="宋体"/>
          <w:kern w:val="0"/>
          <w:sz w:val="24"/>
          <w:szCs w:val="24"/>
        </w:rPr>
        <w:t>资产配置策略</w:t>
      </w:r>
    </w:p>
    <w:p w14:paraId="21F1C71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以追求基金资产收益长期增长为目标，根据宏观经济趋势、市场政策、资产估值水平、外围主要经济体宏观经济和资本市场的运行状况等因素的变化在本基金的投资范围内进行适度动态配置，在控制基金跟踪误差的前提下，谋求在偏离风险和超额收益间的最佳配置。</w:t>
      </w:r>
    </w:p>
    <w:p w14:paraId="536F8B2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sidR="00C6148C">
        <w:rPr>
          <w:rStyle w:val="custom"/>
          <w:rFonts w:ascii="宋体" w:hAnsi="宋体" w:cs="宋体" w:hint="eastAsia"/>
          <w:kern w:val="0"/>
          <w:sz w:val="24"/>
          <w:szCs w:val="24"/>
        </w:rPr>
        <w:t>、</w:t>
      </w:r>
      <w:r>
        <w:rPr>
          <w:rStyle w:val="custom"/>
          <w:rFonts w:ascii="宋体" w:hAnsi="宋体" w:cs="宋体"/>
          <w:kern w:val="0"/>
          <w:sz w:val="24"/>
          <w:szCs w:val="24"/>
        </w:rPr>
        <w:t>股票投资策略</w:t>
      </w:r>
    </w:p>
    <w:p w14:paraId="79395FA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通过主动精选个股，选取并持有基本面良好的股票构成投资组合，在控制组合跟踪误差的基础上，力争实现超越业绩比较基准的投资回报。本基金所跟踪的标的指数为中证全指指数，在满足投资比例要求基础上，本基金将在允许的投资范围内，进行成份股优化增强、非成份股优选增强对组合进行优化。具体来说，股票投资采用定量和定性分析相结合的策略选取基本面良好的股票，在保持对</w:t>
      </w:r>
      <w:r w:rsidR="005F4650">
        <w:rPr>
          <w:rStyle w:val="custom"/>
          <w:rFonts w:ascii="宋体" w:hAnsi="宋体" w:cs="宋体" w:hint="eastAsia"/>
          <w:kern w:val="0"/>
          <w:sz w:val="24"/>
          <w:szCs w:val="24"/>
        </w:rPr>
        <w:t>标的</w:t>
      </w:r>
      <w:r>
        <w:rPr>
          <w:rStyle w:val="custom"/>
          <w:rFonts w:ascii="宋体" w:hAnsi="宋体" w:cs="宋体"/>
          <w:kern w:val="0"/>
          <w:sz w:val="24"/>
          <w:szCs w:val="24"/>
        </w:rPr>
        <w:t>指数有效跟踪的同时，力争实现对</w:t>
      </w:r>
      <w:r w:rsidR="005F4650">
        <w:rPr>
          <w:rStyle w:val="custom"/>
          <w:rFonts w:ascii="宋体" w:hAnsi="宋体" w:cs="宋体" w:hint="eastAsia"/>
          <w:kern w:val="0"/>
          <w:sz w:val="24"/>
          <w:szCs w:val="24"/>
        </w:rPr>
        <w:t>标的</w:t>
      </w:r>
      <w:r>
        <w:rPr>
          <w:rStyle w:val="custom"/>
          <w:rFonts w:ascii="宋体" w:hAnsi="宋体" w:cs="宋体"/>
          <w:kern w:val="0"/>
          <w:sz w:val="24"/>
          <w:szCs w:val="24"/>
        </w:rPr>
        <w:t>指数的长期超越。</w:t>
      </w:r>
    </w:p>
    <w:p w14:paraId="291794BD"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1）定性分析</w:t>
      </w:r>
    </w:p>
    <w:p w14:paraId="08B1CEE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在定性分析方面，本基金将精选公司治理优良、竞争优势突出、行业前景光明、盈利稳定增长的优质上市公司。具体而言，主要考虑以下几方面因素：</w:t>
      </w:r>
    </w:p>
    <w:p w14:paraId="285C6A1D"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①治理结构、公司管理层和财务状况评价</w:t>
      </w:r>
    </w:p>
    <w:p w14:paraId="7C5F925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14:paraId="797E934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本基金将致力于寻找中国优秀的企业家以及其管理的企业。优秀的企业家具备出色的经营才能，而且怀着清晰、长期的愿景，充满激情，不懈努力，执行力强。</w:t>
      </w:r>
    </w:p>
    <w:p w14:paraId="07E441E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本基金投资标的的财务状况应当健康和稳健。通过对目标企业的资产负债、损益、现金流量的分析，评估企业盈利能力、营运能力、偿债能力及增长能力等财务状况。</w:t>
      </w:r>
    </w:p>
    <w:p w14:paraId="5AC0857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②企业竞争优势评估</w:t>
      </w:r>
    </w:p>
    <w:p w14:paraId="26CE1F6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4C98343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③行业背景和商业模式分析</w:t>
      </w:r>
    </w:p>
    <w:p w14:paraId="06192FB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14:paraId="0F47C59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14:paraId="4F72EF7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2）定量分析</w:t>
      </w:r>
    </w:p>
    <w:p w14:paraId="075A87D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在定量分析方面，本基金使用多因子量化选股模型挖掘影响个股超额收益的因素；通过风险</w:t>
      </w:r>
      <w:r w:rsidR="00C6148C">
        <w:rPr>
          <w:rStyle w:val="custom"/>
          <w:rFonts w:ascii="宋体" w:hAnsi="宋体" w:cs="宋体" w:hint="eastAsia"/>
          <w:kern w:val="0"/>
          <w:sz w:val="24"/>
          <w:szCs w:val="24"/>
        </w:rPr>
        <w:t>控制</w:t>
      </w:r>
      <w:r>
        <w:rPr>
          <w:rStyle w:val="custom"/>
          <w:rFonts w:ascii="宋体" w:hAnsi="宋体" w:cs="宋体"/>
          <w:kern w:val="0"/>
          <w:sz w:val="24"/>
          <w:szCs w:val="24"/>
        </w:rPr>
        <w:t>模型衡量和控制组合相对基准的跟踪误差，降低个股投资风险；通过交易成本控制模型减少交易成本；通过组合构建模型结合定性分析和量化模型的结论，综合获利机会、风险、交易成本等各方面因素，动态</w:t>
      </w:r>
      <w:r w:rsidR="002E4136">
        <w:rPr>
          <w:rStyle w:val="custom"/>
          <w:rFonts w:ascii="宋体" w:hAnsi="宋体" w:cs="宋体" w:hint="eastAsia"/>
          <w:kern w:val="0"/>
          <w:sz w:val="24"/>
          <w:szCs w:val="24"/>
        </w:rPr>
        <w:t>构建</w:t>
      </w:r>
      <w:r>
        <w:rPr>
          <w:rStyle w:val="custom"/>
          <w:rFonts w:ascii="宋体" w:hAnsi="宋体" w:cs="宋体"/>
          <w:kern w:val="0"/>
          <w:sz w:val="24"/>
          <w:szCs w:val="24"/>
        </w:rPr>
        <w:t>组合。</w:t>
      </w:r>
    </w:p>
    <w:p w14:paraId="371B3A5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①使用多因子</w:t>
      </w:r>
      <w:r w:rsidR="008025B8">
        <w:rPr>
          <w:rStyle w:val="custom"/>
          <w:rFonts w:ascii="宋体" w:hAnsi="宋体" w:cs="宋体" w:hint="eastAsia"/>
          <w:kern w:val="0"/>
          <w:sz w:val="24"/>
          <w:szCs w:val="24"/>
        </w:rPr>
        <w:t>量化选股</w:t>
      </w:r>
      <w:r>
        <w:rPr>
          <w:rStyle w:val="custom"/>
          <w:rFonts w:ascii="宋体" w:hAnsi="宋体" w:cs="宋体"/>
          <w:kern w:val="0"/>
          <w:sz w:val="24"/>
          <w:szCs w:val="24"/>
        </w:rPr>
        <w:t>模型发掘定价偏离</w:t>
      </w:r>
    </w:p>
    <w:p w14:paraId="2A9A34F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本基金基金管理人</w:t>
      </w:r>
      <w:r w:rsidR="00751CC2">
        <w:rPr>
          <w:rStyle w:val="custom"/>
          <w:rFonts w:ascii="宋体" w:hAnsi="宋体" w:cs="宋体"/>
          <w:kern w:val="0"/>
          <w:sz w:val="24"/>
          <w:szCs w:val="24"/>
        </w:rPr>
        <w:t>开发的多因子量化选股模型，通过数量技术对历史数据进行深入研究，发掘影响证券价格的各类因子，在投资中利用这些因子对股票进行综合评分，选入预期收益较高的股票，剔除可能存在下行风险的股票。</w:t>
      </w:r>
    </w:p>
    <w:p w14:paraId="78EF7A6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使用的因子主要包括公司基本面信息、市场一致预期和微观价格数据等，主要集中在质量、成长、预期、价值、市场面这几个大类，每一类因子由多个选股指标组成，各选股指标以投资逻辑为基础，经过反复提炼和验证，具备一定的选股能力。</w:t>
      </w:r>
    </w:p>
    <w:p w14:paraId="163830A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②通过风险控制模型衡量和控制风险</w:t>
      </w:r>
    </w:p>
    <w:p w14:paraId="04AFC2D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通过风险控制模型衡量和控制组合相对业绩比较基准在子行业、风格、个股方面的风险暴露，努力控制相对业绩比较基准的跟踪误差，力争避免在某些市场环境下较大幅落后于标的指数，通过使用个股风险筛查模型降低个股投资风险。</w:t>
      </w:r>
    </w:p>
    <w:p w14:paraId="65D2D78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③使用定量技术减少交易成本</w:t>
      </w:r>
    </w:p>
    <w:p w14:paraId="64A3F21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在组合构建时将分析个股的流动性，在此基础上限制个股的权重；本基金在组合调整时将综合比较组合调整带来的潜在收益和组合调整的成本，避免不必要的交易；本基金在交易时将利用交易技术尽可能减少市场冲击，降低交易成本。</w:t>
      </w:r>
    </w:p>
    <w:p w14:paraId="008B739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④综合衡量获利机会、风险因素、交易成本，动态</w:t>
      </w:r>
      <w:r w:rsidR="005073F9">
        <w:rPr>
          <w:rStyle w:val="custom"/>
          <w:rFonts w:ascii="宋体" w:hAnsi="宋体" w:cs="宋体" w:hint="eastAsia"/>
          <w:kern w:val="0"/>
          <w:sz w:val="24"/>
          <w:szCs w:val="24"/>
        </w:rPr>
        <w:t>构建</w:t>
      </w:r>
      <w:r>
        <w:rPr>
          <w:rStyle w:val="custom"/>
          <w:rFonts w:ascii="宋体" w:hAnsi="宋体" w:cs="宋体"/>
          <w:kern w:val="0"/>
          <w:sz w:val="24"/>
          <w:szCs w:val="24"/>
        </w:rPr>
        <w:t>组合</w:t>
      </w:r>
    </w:p>
    <w:p w14:paraId="00DD23E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除了在价格发现、风险控制、交易技术等方面进行深入挖掘外，本基金将综合这些因素之间的相互联系，进行整体考虑后动态</w:t>
      </w:r>
      <w:r w:rsidR="0016555B">
        <w:rPr>
          <w:rStyle w:val="custom"/>
          <w:rFonts w:ascii="宋体" w:hAnsi="宋体" w:cs="宋体" w:hint="eastAsia"/>
          <w:kern w:val="0"/>
          <w:sz w:val="24"/>
          <w:szCs w:val="24"/>
        </w:rPr>
        <w:t>构建</w:t>
      </w:r>
      <w:r>
        <w:rPr>
          <w:rStyle w:val="custom"/>
          <w:rFonts w:ascii="宋体" w:hAnsi="宋体" w:cs="宋体"/>
          <w:kern w:val="0"/>
          <w:sz w:val="24"/>
          <w:szCs w:val="24"/>
        </w:rPr>
        <w:t>组合。</w:t>
      </w:r>
    </w:p>
    <w:p w14:paraId="3EB7C89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3、港股通标的股票的投资策略</w:t>
      </w:r>
    </w:p>
    <w:p w14:paraId="2B96FC2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sidR="009E420A">
        <w:rPr>
          <w:rStyle w:val="custom"/>
          <w:rFonts w:ascii="宋体" w:hAnsi="宋体" w:cs="宋体" w:hint="eastAsia"/>
          <w:kern w:val="0"/>
          <w:sz w:val="24"/>
          <w:szCs w:val="24"/>
        </w:rPr>
        <w:t>港股通标的</w:t>
      </w:r>
      <w:r>
        <w:rPr>
          <w:rStyle w:val="custom"/>
          <w:rFonts w:ascii="宋体" w:hAnsi="宋体" w:cs="宋体"/>
          <w:kern w:val="0"/>
          <w:sz w:val="24"/>
          <w:szCs w:val="24"/>
        </w:rPr>
        <w:t>股票。</w:t>
      </w:r>
    </w:p>
    <w:p w14:paraId="5A53D3E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4、存托凭证的投资策略</w:t>
      </w:r>
    </w:p>
    <w:p w14:paraId="5CF55B8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4BC5014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5、债券投资策略</w:t>
      </w:r>
    </w:p>
    <w:p w14:paraId="5FCE628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0BA679D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6、可转债及可交换债投资策略</w:t>
      </w:r>
    </w:p>
    <w:p w14:paraId="0C9CC15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对于本基金中可转债的投资，本基金主要采用可转债相对价值分析策略。</w:t>
      </w:r>
    </w:p>
    <w:p w14:paraId="74B1DBB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6647667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5C3261F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13E4CA7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7、资产支持证券投资策略</w:t>
      </w:r>
    </w:p>
    <w:p w14:paraId="4B384EF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4A3A066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w:t>
      </w:r>
      <w:r>
        <w:rPr>
          <w:rStyle w:val="custom"/>
          <w:rFonts w:ascii="宋体" w:hAnsi="宋体" w:cs="宋体"/>
          <w:kern w:val="0"/>
          <w:sz w:val="24"/>
          <w:szCs w:val="24"/>
        </w:rPr>
        <w:lastRenderedPageBreak/>
        <w:t>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2F13E7B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8、股指期货投资策略</w:t>
      </w:r>
    </w:p>
    <w:p w14:paraId="29AC687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14:paraId="562F632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9、国债期货投资策略</w:t>
      </w:r>
    </w:p>
    <w:p w14:paraId="72FCDB6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6979529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10、股票期权投资策略</w:t>
      </w:r>
    </w:p>
    <w:p w14:paraId="6E62147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43B7059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5F5F853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11、融资投资策略</w:t>
      </w:r>
    </w:p>
    <w:p w14:paraId="6E85A03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17610C2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12、参与转融通证券出借业务策略</w:t>
      </w:r>
    </w:p>
    <w:p w14:paraId="011C968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40C788C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未来，随着投资工具的发展和丰富，本基金可在不改变投资目标和风险收益特征的前提下，相应调整和更新相关投资策略，并在招募说明书更新中公告。</w:t>
      </w:r>
    </w:p>
    <w:p w14:paraId="41D6AB3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6373EE8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14:paraId="71932AD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35DFDDA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（1）本基金投资于股票的资产不低于基金资产的80%，投资于标的指数成份股及其备选成份股的比例不低于非现金基金资产的80%；其中，投资于港股通标的股票的比例不超过股票资产的50%；</w:t>
      </w:r>
    </w:p>
    <w:p w14:paraId="68478EF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其中现金不包括结算备付金、存出保证金和应收申购款等；</w:t>
      </w:r>
    </w:p>
    <w:p w14:paraId="1C4442C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01C32DE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37C4CDB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（5）本基金投资于同一原始权益人的各类资产支持证券的比例，不得超过基金资产净值的10%；</w:t>
      </w:r>
    </w:p>
    <w:p w14:paraId="1413997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（6）本基金持有的全部资产支持证券，其市值不得超过基金资产净值的20%；</w:t>
      </w:r>
    </w:p>
    <w:p w14:paraId="4EF2D0A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（7）本基金持有的同一(指同一信用级别)资产支持证券的比例，不得超过该资产支持证券规模的10%；</w:t>
      </w:r>
    </w:p>
    <w:p w14:paraId="543C7F5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（8）本基金管理人管理的全部基金投资于同一原始权益人的各类资产支持证券，不得超过其各类资产支持证券合计规模的10%；</w:t>
      </w:r>
    </w:p>
    <w:p w14:paraId="2FEF4963" w14:textId="77777777" w:rsidR="00A71A93" w:rsidRDefault="009713AD">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（9）本基金应投资于信用级别评级为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14:paraId="09DF27B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（10）基金财产参与股票发行申购，本基金所申报的金额不超过本基金的总</w:t>
      </w:r>
      <w:r>
        <w:rPr>
          <w:rStyle w:val="custom"/>
          <w:rFonts w:ascii="宋体" w:hAnsi="宋体" w:cs="宋体"/>
          <w:kern w:val="0"/>
          <w:sz w:val="24"/>
          <w:szCs w:val="24"/>
        </w:rPr>
        <w:lastRenderedPageBreak/>
        <w:t>资产，本基金所申报的股票数量不超过拟发行股票公司本次发行股票的总量；</w:t>
      </w:r>
    </w:p>
    <w:p w14:paraId="51028B24"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69A0B5B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5569602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14:paraId="469A134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本基金资产总值不超过基金资产净值的140%；</w:t>
      </w:r>
    </w:p>
    <w:p w14:paraId="1FE3631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（15）本基金参与股指期货和国债期货交易的，应当遵守下列要求：</w:t>
      </w:r>
    </w:p>
    <w:p w14:paraId="715D3554" w14:textId="77777777" w:rsidR="00A71A93" w:rsidRDefault="009713AD">
      <w:pPr>
        <w:pStyle w:val="div"/>
        <w:spacing w:line="360" w:lineRule="auto"/>
        <w:ind w:firstLine="420"/>
        <w:jc w:val="left"/>
        <w:rPr>
          <w:rStyle w:val="custom"/>
          <w:rFonts w:ascii="宋体" w:hAnsi="宋体" w:cs="宋体"/>
          <w:kern w:val="0"/>
          <w:sz w:val="24"/>
          <w:szCs w:val="24"/>
        </w:rPr>
      </w:pPr>
      <w:r>
        <w:rPr>
          <w:rStyle w:val="custom"/>
          <w:rFonts w:eastAsia="Times New Roman"/>
          <w:kern w:val="0"/>
          <w:sz w:val="24"/>
          <w:szCs w:val="24"/>
        </w:rPr>
        <w:t>1</w:t>
      </w:r>
      <w:r>
        <w:rPr>
          <w:rStyle w:val="custom"/>
          <w:rFonts w:ascii="宋体" w:hAnsi="宋体" w:cs="宋体"/>
          <w:kern w:val="0"/>
          <w:sz w:val="24"/>
          <w:szCs w:val="24"/>
        </w:rPr>
        <w:t>）在任何交易日日终，持有的买入国债期货和股指期货合约价值与有价证券市值之和，不得超过基金资产净值的</w:t>
      </w:r>
      <w:r>
        <w:rPr>
          <w:rStyle w:val="custom"/>
          <w:rFonts w:eastAsia="Times New Roman"/>
          <w:kern w:val="0"/>
          <w:sz w:val="24"/>
          <w:szCs w:val="24"/>
        </w:rPr>
        <w:t>95%</w:t>
      </w:r>
      <w:r>
        <w:rPr>
          <w:rStyle w:val="custom"/>
          <w:rFonts w:ascii="宋体" w:hAnsi="宋体" w:cs="宋体"/>
          <w:kern w:val="0"/>
          <w:sz w:val="24"/>
          <w:szCs w:val="24"/>
        </w:rPr>
        <w:t>；其中，有价证券指股票、债券（不含到期日在一年以内的政府债券）、资产支持证券、买入返售金融资产（不含质押式回购）等；</w:t>
      </w:r>
    </w:p>
    <w:p w14:paraId="1FD3DEC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1E15B37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w:t>
      </w:r>
      <w:r>
        <w:rPr>
          <w:rStyle w:val="custom"/>
          <w:rFonts w:ascii="宋体" w:hAnsi="宋体" w:cs="宋体"/>
          <w:kern w:val="0"/>
          <w:sz w:val="24"/>
          <w:szCs w:val="24"/>
        </w:rPr>
        <w:lastRenderedPageBreak/>
        <w:t>计（轧差计算）应当符合基金合同关于债券投资比例的有关约定；</w:t>
      </w:r>
    </w:p>
    <w:p w14:paraId="419185F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06CC0F2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（17）本基金参与融资的，每个交易日日终，本基金持有的融资买入股票与其他有价证券市值之和，不得超过基金资产净值的95%；</w:t>
      </w:r>
    </w:p>
    <w:p w14:paraId="5D6DD8C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5A2332E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（19）本基金投资存托凭证的比例限制依照境内上市交易的股票执行；</w:t>
      </w:r>
    </w:p>
    <w:p w14:paraId="13656AA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法律法规及中国证监会规定的和《基金合同》约定的其他投资限制。</w:t>
      </w:r>
    </w:p>
    <w:p w14:paraId="34B8E66D" w14:textId="77777777" w:rsidR="00A71A93" w:rsidRDefault="009713AD">
      <w:pPr>
        <w:pStyle w:val="div"/>
        <w:spacing w:line="360" w:lineRule="auto"/>
        <w:ind w:firstLine="420"/>
        <w:jc w:val="left"/>
        <w:rPr>
          <w:rStyle w:val="custom"/>
          <w:rFonts w:ascii="宋体" w:hAnsi="宋体" w:cs="宋体"/>
          <w:kern w:val="0"/>
          <w:sz w:val="24"/>
          <w:szCs w:val="24"/>
        </w:rPr>
      </w:pPr>
      <w:r>
        <w:rPr>
          <w:rFonts w:ascii="宋体" w:hAnsi="宋体" w:cs="宋体"/>
          <w:kern w:val="0"/>
          <w:sz w:val="24"/>
          <w:szCs w:val="24"/>
        </w:rPr>
        <w:t>除上述</w:t>
      </w:r>
      <w:r w:rsidR="00471FB4">
        <w:rPr>
          <w:rFonts w:ascii="宋体" w:hAnsi="宋体" w:cs="宋体" w:hint="eastAsia"/>
          <w:kern w:val="0"/>
          <w:sz w:val="24"/>
          <w:szCs w:val="24"/>
        </w:rPr>
        <w:t>第</w:t>
      </w:r>
      <w:r>
        <w:rPr>
          <w:rFonts w:ascii="宋体" w:hAnsi="宋体" w:cs="宋体"/>
          <w:kern w:val="0"/>
          <w:sz w:val="24"/>
          <w:szCs w:val="24"/>
        </w:rPr>
        <w:t>（2）、</w:t>
      </w:r>
      <w:r>
        <w:rPr>
          <w:rStyle w:val="custom"/>
          <w:rFonts w:ascii="宋体" w:hAnsi="宋体" w:cs="宋体"/>
          <w:kern w:val="0"/>
          <w:sz w:val="24"/>
          <w:szCs w:val="24"/>
        </w:rPr>
        <w:t>（9）、（12）</w:t>
      </w:r>
      <w:r>
        <w:rPr>
          <w:rFonts w:ascii="宋体" w:hAnsi="宋体" w:cs="宋体"/>
          <w:kern w:val="0"/>
          <w:sz w:val="24"/>
          <w:szCs w:val="24"/>
        </w:rPr>
        <w:t>、</w:t>
      </w:r>
      <w:r>
        <w:rPr>
          <w:rStyle w:val="custom"/>
          <w:rFonts w:ascii="宋体" w:hAnsi="宋体" w:cs="宋体"/>
          <w:kern w:val="0"/>
          <w:sz w:val="24"/>
          <w:szCs w:val="24"/>
        </w:rPr>
        <w:t>（13）</w:t>
      </w:r>
      <w:r>
        <w:rPr>
          <w:rFonts w:ascii="宋体" w:hAnsi="宋体" w:cs="宋体"/>
          <w:kern w:val="0"/>
          <w:sz w:val="24"/>
          <w:szCs w:val="24"/>
        </w:rPr>
        <w:t>、</w:t>
      </w:r>
      <w:r>
        <w:rPr>
          <w:rStyle w:val="custom"/>
          <w:rFonts w:ascii="宋体" w:hAnsi="宋体" w:cs="宋体"/>
          <w:kern w:val="0"/>
          <w:sz w:val="24"/>
          <w:szCs w:val="24"/>
        </w:rPr>
        <w:t>（18）</w:t>
      </w:r>
      <w:r>
        <w:rPr>
          <w:rFonts w:ascii="宋体" w:hAnsi="宋体" w:cs="宋体"/>
          <w:kern w:val="0"/>
          <w:sz w:val="24"/>
          <w:szCs w:val="24"/>
        </w:rPr>
        <w:t>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w:t>
      </w:r>
      <w:r>
        <w:rPr>
          <w:rStyle w:val="custom"/>
          <w:rFonts w:ascii="宋体" w:hAnsi="宋体" w:cs="宋体"/>
          <w:kern w:val="0"/>
          <w:sz w:val="24"/>
          <w:szCs w:val="24"/>
        </w:rPr>
        <w:t>、标的指数成份股调整、标的指数成份股流动性限制</w:t>
      </w:r>
      <w:r>
        <w:rPr>
          <w:rFonts w:ascii="宋体" w:hAnsi="宋体" w:cs="宋体"/>
          <w:kern w:val="0"/>
          <w:sz w:val="24"/>
          <w:szCs w:val="24"/>
        </w:rPr>
        <w:t>、基金规模变动等基金管理人之外的因素致使基金投资比例不符合上述规定投资比例的，基金管理人应当在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w:t>
      </w:r>
      <w:r>
        <w:rPr>
          <w:rStyle w:val="custom"/>
          <w:rFonts w:ascii="宋体" w:hAnsi="宋体" w:cs="宋体"/>
          <w:kern w:val="0"/>
          <w:sz w:val="24"/>
          <w:szCs w:val="24"/>
        </w:rPr>
        <w:t>因证券市场波动、证券发行人合并、基金规模变动等基金管理人之外的因素致使基金投资不符合第（18）项规定的，基金管理人不得新增出借业务。法律法规另有规定的从其规定。</w:t>
      </w:r>
    </w:p>
    <w:p w14:paraId="346CBD1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A9DE40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w:t>
      </w:r>
      <w:r>
        <w:rPr>
          <w:rFonts w:ascii="宋体" w:hAnsi="宋体" w:cs="宋体"/>
          <w:kern w:val="0"/>
          <w:sz w:val="24"/>
          <w:szCs w:val="24"/>
        </w:rPr>
        <w:lastRenderedPageBreak/>
        <w:t>履行适当程序后，则本基金投资不再受相关限制或以调整以后的规定为准。</w:t>
      </w:r>
    </w:p>
    <w:p w14:paraId="2640E85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14:paraId="231EDDC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722ED24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14:paraId="0946472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14:paraId="6824C77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14:paraId="6605C6D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06AA54C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14:paraId="4F82A63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14:paraId="622E681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法律、行政法规和中国证监会规定禁止的其他活动。</w:t>
      </w:r>
    </w:p>
    <w:p w14:paraId="295CF0D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w:t>
      </w:r>
      <w:r w:rsidR="00226455">
        <w:rPr>
          <w:rFonts w:ascii="宋体" w:hAnsi="宋体" w:cs="宋体" w:hint="eastAsia"/>
          <w:kern w:val="0"/>
          <w:sz w:val="24"/>
          <w:szCs w:val="24"/>
        </w:rPr>
        <w:t>其他</w:t>
      </w:r>
      <w:r>
        <w:rPr>
          <w:rFonts w:ascii="宋体" w:hAnsi="宋体" w:cs="宋体"/>
          <w:kern w:val="0"/>
          <w:sz w:val="24"/>
          <w:szCs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D90F6F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6D5F7A2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五、标的指数和业绩比较基准</w:t>
      </w:r>
    </w:p>
    <w:p w14:paraId="02DD55E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1、标的指数</w:t>
      </w:r>
    </w:p>
    <w:p w14:paraId="00343F0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本基金的标的指数为中证全指指数。</w:t>
      </w:r>
    </w:p>
    <w:p w14:paraId="6F62C26A"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3AC9494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自指数编制机构停止标的指数的编制及发布至解决方案确定期间，基金管理人应按照指数编制机构提供的最近一个交易日的指数信息遵循基金份额持有人利益优先原则维持基金投资运作。法律法规或监管机构另有规定的，从其规定。</w:t>
      </w:r>
    </w:p>
    <w:p w14:paraId="570DCEB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2、业绩比较基准</w:t>
      </w:r>
    </w:p>
    <w:p w14:paraId="47C0F23D" w14:textId="1D15CBAE"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本基金的业绩比较基准为：中证全指指数收益率×95%+</w:t>
      </w:r>
      <w:r w:rsidR="00B84A37">
        <w:rPr>
          <w:rStyle w:val="custom"/>
          <w:rFonts w:ascii="宋体" w:hAnsi="宋体" w:cs="宋体" w:hint="eastAsia"/>
          <w:kern w:val="0"/>
          <w:sz w:val="24"/>
          <w:szCs w:val="24"/>
        </w:rPr>
        <w:t>活期存款基准利率</w:t>
      </w:r>
      <w:r>
        <w:rPr>
          <w:rStyle w:val="custom"/>
          <w:rFonts w:ascii="宋体" w:hAnsi="宋体" w:cs="宋体"/>
          <w:kern w:val="0"/>
          <w:sz w:val="24"/>
          <w:szCs w:val="24"/>
        </w:rPr>
        <w:t>×5%</w:t>
      </w:r>
    </w:p>
    <w:p w14:paraId="079FCF60" w14:textId="77777777" w:rsidR="00B84A37"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Pr="005877DD">
        <w:rPr>
          <w:rStyle w:val="custom"/>
          <w:rFonts w:ascii="宋体" w:hAnsi="宋体" w:cs="宋体" w:hint="eastAsia"/>
          <w:kern w:val="0"/>
          <w:sz w:val="24"/>
          <w:szCs w:val="24"/>
        </w:rPr>
        <w:t>业绩比较基准设定的原因</w:t>
      </w:r>
    </w:p>
    <w:p w14:paraId="237DE935" w14:textId="77777777" w:rsidR="00CE2DCF" w:rsidRDefault="00B84A37" w:rsidP="002B6473">
      <w:pPr>
        <w:spacing w:line="360" w:lineRule="auto"/>
        <w:ind w:firstLine="420"/>
        <w:rPr>
          <w:rStyle w:val="custom"/>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r w:rsidRPr="00162019">
        <w:rPr>
          <w:rStyle w:val="custom"/>
          <w:rFonts w:ascii="宋体" w:hAnsi="宋体" w:cs="宋体" w:hint="eastAsia"/>
          <w:kern w:val="0"/>
          <w:sz w:val="24"/>
          <w:szCs w:val="24"/>
        </w:rPr>
        <w:t>本基金的标的指数为</w:t>
      </w:r>
      <w:r w:rsidR="00CE2DCF">
        <w:rPr>
          <w:rStyle w:val="custom"/>
          <w:rFonts w:ascii="宋体" w:hAnsi="宋体" w:cs="宋体"/>
          <w:kern w:val="0"/>
          <w:sz w:val="24"/>
          <w:szCs w:val="24"/>
        </w:rPr>
        <w:t>中证全指指数</w:t>
      </w:r>
      <w:r w:rsidRPr="00162019">
        <w:rPr>
          <w:rStyle w:val="custom"/>
          <w:rFonts w:ascii="宋体" w:hAnsi="宋体" w:cs="宋体" w:hint="eastAsia"/>
          <w:kern w:val="0"/>
          <w:sz w:val="24"/>
          <w:szCs w:val="24"/>
        </w:rPr>
        <w:t>，相应选取</w:t>
      </w:r>
      <w:r w:rsidR="00CE2DCF">
        <w:rPr>
          <w:rStyle w:val="custom"/>
          <w:rFonts w:ascii="宋体" w:hAnsi="宋体" w:cs="宋体"/>
          <w:kern w:val="0"/>
          <w:sz w:val="24"/>
          <w:szCs w:val="24"/>
        </w:rPr>
        <w:t>中证全指指数</w:t>
      </w:r>
      <w:r w:rsidRPr="00162019">
        <w:rPr>
          <w:rStyle w:val="custom"/>
          <w:rFonts w:ascii="宋体" w:hAnsi="宋体" w:cs="宋体" w:hint="eastAsia"/>
          <w:kern w:val="0"/>
          <w:sz w:val="24"/>
          <w:szCs w:val="24"/>
        </w:rPr>
        <w:t>作为基准要素，同时将</w:t>
      </w:r>
      <w:r w:rsidR="00CE2DCF">
        <w:rPr>
          <w:rStyle w:val="custom"/>
          <w:rFonts w:ascii="宋体" w:hAnsi="宋体" w:cs="宋体"/>
          <w:kern w:val="0"/>
          <w:sz w:val="24"/>
          <w:szCs w:val="24"/>
        </w:rPr>
        <w:t>中证全指指数</w:t>
      </w:r>
      <w:r w:rsidRPr="00162019">
        <w:rPr>
          <w:rStyle w:val="custom"/>
          <w:rFonts w:ascii="宋体" w:hAnsi="宋体" w:cs="宋体" w:hint="eastAsia"/>
          <w:kern w:val="0"/>
          <w:sz w:val="24"/>
          <w:szCs w:val="24"/>
        </w:rPr>
        <w:t>的基准要素权重设置为</w:t>
      </w:r>
      <w:r>
        <w:rPr>
          <w:rStyle w:val="custom"/>
          <w:rFonts w:ascii="宋体" w:hAnsi="宋体" w:cs="宋体" w:hint="eastAsia"/>
          <w:kern w:val="0"/>
          <w:sz w:val="24"/>
          <w:szCs w:val="24"/>
        </w:rPr>
        <w:t>95</w:t>
      </w:r>
      <w:r w:rsidRPr="00162019">
        <w:rPr>
          <w:rStyle w:val="custom"/>
          <w:rFonts w:ascii="宋体" w:hAnsi="宋体" w:cs="宋体" w:hint="eastAsia"/>
          <w:kern w:val="0"/>
          <w:sz w:val="24"/>
          <w:szCs w:val="24"/>
        </w:rPr>
        <w:t>%</w:t>
      </w:r>
      <w:r w:rsidR="00CE2DCF">
        <w:rPr>
          <w:rStyle w:val="custom"/>
          <w:rFonts w:ascii="宋体" w:hAnsi="宋体" w:cs="宋体"/>
          <w:kern w:val="0"/>
          <w:sz w:val="24"/>
          <w:szCs w:val="24"/>
        </w:rPr>
        <w:t>.</w:t>
      </w:r>
    </w:p>
    <w:p w14:paraId="18E3551E" w14:textId="711F936F" w:rsidR="00B84A37" w:rsidRPr="00162019" w:rsidRDefault="00CE2DCF" w:rsidP="002B6473">
      <w:pPr>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每个交易日日终在扣除国债期货、股指期货和股票期权合约需缴纳的交易保证金后，本基金保留的现金或投资于到期日在一年以内的政府债券的比例合计不低于基金资产净值的5%。</w:t>
      </w:r>
      <w:r>
        <w:rPr>
          <w:rStyle w:val="custom"/>
          <w:rFonts w:ascii="宋体" w:hAnsi="宋体" w:cs="宋体" w:hint="eastAsia"/>
          <w:kern w:val="0"/>
          <w:sz w:val="24"/>
          <w:szCs w:val="24"/>
        </w:rPr>
        <w:t>因此</w:t>
      </w:r>
      <w:r w:rsidR="00B84A37">
        <w:rPr>
          <w:rStyle w:val="custom"/>
          <w:rFonts w:ascii="宋体" w:hAnsi="宋体" w:cs="宋体" w:hint="eastAsia"/>
          <w:kern w:val="0"/>
          <w:sz w:val="24"/>
          <w:szCs w:val="24"/>
        </w:rPr>
        <w:t>，</w:t>
      </w:r>
      <w:r w:rsidR="00B84A37" w:rsidRPr="00162019">
        <w:rPr>
          <w:rStyle w:val="custom"/>
          <w:rFonts w:ascii="宋体" w:hAnsi="宋体" w:cs="宋体" w:hint="eastAsia"/>
          <w:kern w:val="0"/>
          <w:sz w:val="24"/>
          <w:szCs w:val="24"/>
        </w:rPr>
        <w:t>本基金相应选取</w:t>
      </w:r>
      <w:r w:rsidR="00B84A37">
        <w:rPr>
          <w:rStyle w:val="custom"/>
          <w:rFonts w:ascii="宋体" w:hAnsi="宋体" w:cs="宋体" w:hint="eastAsia"/>
          <w:kern w:val="0"/>
          <w:sz w:val="24"/>
          <w:szCs w:val="24"/>
        </w:rPr>
        <w:t>活期存款基准利率</w:t>
      </w:r>
      <w:r w:rsidR="00B84A37" w:rsidRPr="00162019">
        <w:rPr>
          <w:rStyle w:val="custom"/>
          <w:rFonts w:ascii="宋体" w:hAnsi="宋体" w:cs="宋体" w:hint="eastAsia"/>
          <w:kern w:val="0"/>
          <w:sz w:val="24"/>
          <w:szCs w:val="24"/>
        </w:rPr>
        <w:t>作为基准要素，同时将</w:t>
      </w:r>
      <w:r w:rsidR="00B84A37">
        <w:rPr>
          <w:rStyle w:val="custom"/>
          <w:rFonts w:ascii="宋体" w:hAnsi="宋体" w:cs="宋体" w:hint="eastAsia"/>
          <w:kern w:val="0"/>
          <w:sz w:val="24"/>
          <w:szCs w:val="24"/>
        </w:rPr>
        <w:t>活期存款基准利率</w:t>
      </w:r>
      <w:r w:rsidR="00B84A37" w:rsidRPr="00162019">
        <w:rPr>
          <w:rStyle w:val="custom"/>
          <w:rFonts w:ascii="宋体" w:hAnsi="宋体" w:cs="宋体" w:hint="eastAsia"/>
          <w:kern w:val="0"/>
          <w:sz w:val="24"/>
          <w:szCs w:val="24"/>
        </w:rPr>
        <w:t>的基准要素权重设置为</w:t>
      </w:r>
      <w:r w:rsidR="00B84A37">
        <w:rPr>
          <w:rStyle w:val="custom"/>
          <w:rFonts w:ascii="宋体" w:hAnsi="宋体" w:cs="宋体" w:hint="eastAsia"/>
          <w:kern w:val="0"/>
          <w:sz w:val="24"/>
          <w:szCs w:val="24"/>
        </w:rPr>
        <w:t>5</w:t>
      </w:r>
      <w:r w:rsidR="00B84A37" w:rsidRPr="00162019">
        <w:rPr>
          <w:rStyle w:val="custom"/>
          <w:rFonts w:ascii="宋体" w:hAnsi="宋体" w:cs="宋体" w:hint="eastAsia"/>
          <w:kern w:val="0"/>
          <w:sz w:val="24"/>
          <w:szCs w:val="24"/>
        </w:rPr>
        <w:t>%</w:t>
      </w:r>
      <w:r w:rsidR="00B84A37">
        <w:rPr>
          <w:rStyle w:val="custom"/>
          <w:rFonts w:ascii="宋体" w:hAnsi="宋体" w:cs="宋体" w:hint="eastAsia"/>
          <w:kern w:val="0"/>
          <w:sz w:val="24"/>
          <w:szCs w:val="24"/>
        </w:rPr>
        <w:t>。</w:t>
      </w:r>
    </w:p>
    <w:p w14:paraId="64451F10" w14:textId="77777777" w:rsidR="00B84A37" w:rsidRDefault="00B84A37" w:rsidP="00B84A37">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综上，本基金选取的业绩比较基准与基金投资目标、投资范围、投资策略、投资比例限制相匹配。</w:t>
      </w:r>
    </w:p>
    <w:p w14:paraId="4AC5875F" w14:textId="77777777" w:rsidR="00B84A37" w:rsidRPr="005877DD"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Pr="005877DD">
        <w:rPr>
          <w:rStyle w:val="custom"/>
          <w:rFonts w:ascii="宋体" w:hAnsi="宋体" w:cs="宋体" w:hint="eastAsia"/>
          <w:kern w:val="0"/>
          <w:sz w:val="24"/>
          <w:szCs w:val="24"/>
        </w:rPr>
        <w:t>业绩比较基准要素所涉及的发布机构、代码、查询途径</w:t>
      </w:r>
    </w:p>
    <w:p w14:paraId="16E72A32" w14:textId="5236C0E1" w:rsidR="00B84A37" w:rsidRPr="005877DD" w:rsidRDefault="00CE2DCF" w:rsidP="00B84A37">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中证全指指数</w:t>
      </w:r>
      <w:r w:rsidR="00B84A37" w:rsidRPr="005877DD">
        <w:rPr>
          <w:rStyle w:val="custom"/>
          <w:rFonts w:ascii="宋体" w:hAnsi="宋体" w:cs="宋体" w:hint="eastAsia"/>
          <w:kern w:val="0"/>
          <w:sz w:val="24"/>
          <w:szCs w:val="24"/>
        </w:rPr>
        <w:t>由</w:t>
      </w:r>
      <w:r w:rsidR="00B84A37">
        <w:rPr>
          <w:rStyle w:val="custom"/>
          <w:rFonts w:ascii="宋体" w:hAnsi="宋体" w:cs="宋体" w:hint="eastAsia"/>
          <w:kern w:val="0"/>
          <w:sz w:val="24"/>
          <w:szCs w:val="24"/>
        </w:rPr>
        <w:t>中证</w:t>
      </w:r>
      <w:r w:rsidR="00B84A37" w:rsidRPr="005877DD">
        <w:rPr>
          <w:rStyle w:val="custom"/>
          <w:rFonts w:ascii="宋体" w:hAnsi="宋体" w:cs="宋体" w:hint="eastAsia"/>
          <w:kern w:val="0"/>
          <w:sz w:val="24"/>
          <w:szCs w:val="24"/>
        </w:rPr>
        <w:t>指数</w:t>
      </w:r>
      <w:r w:rsidR="00B84A37">
        <w:rPr>
          <w:rStyle w:val="custom"/>
          <w:rFonts w:ascii="宋体" w:hAnsi="宋体" w:cs="宋体" w:hint="eastAsia"/>
          <w:kern w:val="0"/>
          <w:sz w:val="24"/>
          <w:szCs w:val="24"/>
        </w:rPr>
        <w:t>有限公司</w:t>
      </w:r>
      <w:r w:rsidR="00B84A37" w:rsidRPr="005877DD">
        <w:rPr>
          <w:rStyle w:val="custom"/>
          <w:rFonts w:ascii="宋体" w:hAnsi="宋体" w:cs="宋体" w:hint="eastAsia"/>
          <w:kern w:val="0"/>
          <w:sz w:val="24"/>
          <w:szCs w:val="24"/>
        </w:rPr>
        <w:t>编制发布，指数代码为</w:t>
      </w:r>
      <w:r w:rsidRPr="00CE2DCF">
        <w:rPr>
          <w:rStyle w:val="custom"/>
          <w:rFonts w:ascii="宋体" w:hAnsi="宋体" w:cs="宋体"/>
          <w:kern w:val="0"/>
          <w:sz w:val="24"/>
          <w:szCs w:val="24"/>
        </w:rPr>
        <w:t>000985</w:t>
      </w:r>
      <w:r w:rsidR="00B84A37" w:rsidRPr="005877DD">
        <w:rPr>
          <w:rStyle w:val="custom"/>
          <w:rFonts w:ascii="宋体" w:hAnsi="宋体" w:cs="宋体" w:hint="eastAsia"/>
          <w:kern w:val="0"/>
          <w:sz w:val="24"/>
          <w:szCs w:val="24"/>
        </w:rPr>
        <w:t>，具体信息详见中证指数有限公司</w:t>
      </w:r>
      <w:r w:rsidR="00B84A37">
        <w:rPr>
          <w:rStyle w:val="custom"/>
          <w:rFonts w:ascii="宋体" w:hAnsi="宋体" w:cs="宋体" w:hint="eastAsia"/>
          <w:kern w:val="0"/>
          <w:sz w:val="24"/>
          <w:szCs w:val="24"/>
        </w:rPr>
        <w:t>官网</w:t>
      </w:r>
      <w:r w:rsidR="00B84A37" w:rsidRPr="005877DD">
        <w:rPr>
          <w:rStyle w:val="custom"/>
          <w:rFonts w:ascii="宋体" w:hAnsi="宋体" w:cs="宋体" w:hint="eastAsia"/>
          <w:kern w:val="0"/>
          <w:sz w:val="24"/>
          <w:szCs w:val="24"/>
        </w:rPr>
        <w:t>，网址：</w:t>
      </w:r>
      <w:r w:rsidR="00B84A37" w:rsidRPr="005877DD">
        <w:rPr>
          <w:rStyle w:val="custom"/>
          <w:rFonts w:ascii="宋体" w:hAnsi="宋体" w:cs="宋体"/>
          <w:kern w:val="0"/>
          <w:sz w:val="24"/>
          <w:szCs w:val="24"/>
        </w:rPr>
        <w:t>https://www.csindex.com.cn</w:t>
      </w:r>
      <w:r w:rsidR="00B84A37" w:rsidRPr="005877DD">
        <w:rPr>
          <w:rStyle w:val="custom"/>
          <w:rFonts w:ascii="宋体" w:hAnsi="宋体" w:cs="宋体" w:hint="eastAsia"/>
          <w:kern w:val="0"/>
          <w:sz w:val="24"/>
          <w:szCs w:val="24"/>
        </w:rPr>
        <w:t>。</w:t>
      </w:r>
    </w:p>
    <w:p w14:paraId="3D4A7C1B" w14:textId="77777777" w:rsidR="00B84A37" w:rsidRPr="005877DD"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活期存款基准利率</w:t>
      </w:r>
      <w:r w:rsidRPr="005877DD">
        <w:rPr>
          <w:rStyle w:val="custom"/>
          <w:rFonts w:ascii="宋体" w:hAnsi="宋体" w:cs="宋体" w:hint="eastAsia"/>
          <w:kern w:val="0"/>
          <w:sz w:val="24"/>
          <w:szCs w:val="24"/>
        </w:rPr>
        <w:t>由中国人民银行发布，具体信息详见中国人民银行网站，网址：www.pbc.gov.cn。</w:t>
      </w:r>
    </w:p>
    <w:p w14:paraId="6D87FDA2" w14:textId="77777777" w:rsidR="00B84A37" w:rsidRPr="005877DD"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Pr="005877DD">
        <w:rPr>
          <w:rStyle w:val="custom"/>
          <w:rFonts w:ascii="宋体" w:hAnsi="宋体" w:cs="宋体" w:hint="eastAsia"/>
          <w:kern w:val="0"/>
          <w:sz w:val="24"/>
          <w:szCs w:val="24"/>
        </w:rPr>
        <w:t>业绩比较基准收益率的计算方法</w:t>
      </w:r>
    </w:p>
    <w:p w14:paraId="151A2A4A" w14:textId="3E89EF43" w:rsidR="00B84A37" w:rsidRDefault="00B84A37" w:rsidP="00B84A37">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本基金业绩比较基准收益率的计算方法以每日收益率为基础，以时间加权为计算原则。</w:t>
      </w:r>
      <w:r w:rsidRPr="00FA616D">
        <w:rPr>
          <w:rStyle w:val="custom"/>
          <w:rFonts w:ascii="宋体" w:hAnsi="宋体" w:cs="宋体" w:hint="eastAsia"/>
          <w:kern w:val="0"/>
          <w:sz w:val="24"/>
          <w:szCs w:val="24"/>
        </w:rPr>
        <w:t>本基金先分别计算业绩比较基准中</w:t>
      </w:r>
      <w:r w:rsidR="00CE2DCF">
        <w:rPr>
          <w:rStyle w:val="custom"/>
          <w:rFonts w:ascii="宋体" w:hAnsi="宋体" w:cs="宋体"/>
          <w:kern w:val="0"/>
          <w:sz w:val="24"/>
          <w:szCs w:val="24"/>
        </w:rPr>
        <w:t>中证全指指数</w:t>
      </w:r>
      <w:r w:rsidRPr="00FA616D">
        <w:rPr>
          <w:rStyle w:val="custom"/>
          <w:rFonts w:ascii="宋体" w:hAnsi="宋体" w:cs="宋体" w:hint="eastAsia"/>
          <w:kern w:val="0"/>
          <w:sz w:val="24"/>
          <w:szCs w:val="24"/>
        </w:rPr>
        <w:t>、活期存款基准利率的每日收益率，再按照预设权重比例计算当日组合要素基准的日收益率，并连乘每日收益率</w:t>
      </w:r>
      <w:r>
        <w:rPr>
          <w:rStyle w:val="custom"/>
          <w:rFonts w:ascii="宋体" w:hAnsi="宋体" w:cs="宋体" w:hint="eastAsia"/>
          <w:kern w:val="0"/>
          <w:sz w:val="24"/>
          <w:szCs w:val="24"/>
        </w:rPr>
        <w:t>。</w:t>
      </w:r>
    </w:p>
    <w:p w14:paraId="27D504DE" w14:textId="77777777" w:rsidR="00B84A37" w:rsidRPr="005877DD"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（4）</w:t>
      </w:r>
      <w:r w:rsidRPr="005877DD">
        <w:rPr>
          <w:rStyle w:val="custom"/>
          <w:rFonts w:ascii="宋体" w:hAnsi="宋体" w:cs="宋体" w:hint="eastAsia"/>
          <w:kern w:val="0"/>
          <w:sz w:val="24"/>
          <w:szCs w:val="24"/>
        </w:rPr>
        <w:t>管理投资偏离业绩比较基准的方法</w:t>
      </w:r>
    </w:p>
    <w:p w14:paraId="1D505866" w14:textId="3B485AEB" w:rsidR="002B6473" w:rsidRDefault="00CE2DCF" w:rsidP="002B647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本基金投资于股票的资产不低于基金资产的80%，投资于标的指数成份股及其备选成份股的比例不低于非现金基金资产的80%。</w:t>
      </w:r>
      <w:r w:rsidR="002B6473" w:rsidRPr="00162019">
        <w:rPr>
          <w:rStyle w:val="custom"/>
          <w:rFonts w:ascii="宋体" w:hAnsi="宋体" w:cs="宋体" w:hint="eastAsia"/>
          <w:kern w:val="0"/>
          <w:sz w:val="24"/>
          <w:szCs w:val="24"/>
        </w:rPr>
        <w:t>在正常市场情况下，本基金</w:t>
      </w:r>
      <w:r w:rsidR="002B6473">
        <w:rPr>
          <w:rStyle w:val="custom"/>
          <w:rFonts w:ascii="宋体" w:hAnsi="宋体" w:cs="宋体"/>
          <w:kern w:val="0"/>
          <w:sz w:val="24"/>
          <w:szCs w:val="24"/>
        </w:rPr>
        <w:t>力争控制净值增长率与业绩比较基准之间的日均跟踪偏离度的绝对值不超过0.5%，年跟踪误差不超过8.00%。</w:t>
      </w:r>
      <w:r w:rsidR="002B6473" w:rsidRPr="00162019">
        <w:rPr>
          <w:rStyle w:val="custom"/>
          <w:rFonts w:ascii="宋体" w:hAnsi="宋体" w:cs="宋体" w:hint="eastAsia"/>
          <w:kern w:val="0"/>
          <w:sz w:val="24"/>
          <w:szCs w:val="24"/>
        </w:rPr>
        <w:t>如因指数编制规则调整或其他因素导致跟踪偏离度和跟踪误差超过上述范围，基金管理人应采取合理措施避免跟踪偏离度、跟踪误差进一步扩大。</w:t>
      </w:r>
    </w:p>
    <w:p w14:paraId="575DD00A" w14:textId="77777777" w:rsidR="00B84A37" w:rsidRPr="005877DD" w:rsidRDefault="00B84A37" w:rsidP="00B84A37">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（5）</w:t>
      </w:r>
      <w:r w:rsidRPr="005877DD">
        <w:rPr>
          <w:rStyle w:val="custom"/>
          <w:rFonts w:ascii="宋体" w:hAnsi="宋体" w:cs="宋体" w:hint="eastAsia"/>
          <w:kern w:val="0"/>
          <w:sz w:val="24"/>
          <w:szCs w:val="24"/>
        </w:rPr>
        <w:t>未来可能变更业绩比较基准的情况和程序</w:t>
      </w:r>
    </w:p>
    <w:p w14:paraId="4503051F" w14:textId="77777777" w:rsidR="00B84A37" w:rsidRPr="0084235D" w:rsidRDefault="00B84A37" w:rsidP="00B84A37">
      <w:pPr>
        <w:pStyle w:val="div"/>
        <w:spacing w:line="360" w:lineRule="auto"/>
        <w:ind w:firstLine="420"/>
        <w:jc w:val="left"/>
        <w:rPr>
          <w:rStyle w:val="custom"/>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r w:rsidRPr="0084235D">
        <w:rPr>
          <w:rStyle w:val="custom"/>
          <w:rFonts w:ascii="宋体" w:hAnsi="宋体" w:cs="宋体" w:hint="eastAsia"/>
          <w:kern w:val="0"/>
          <w:sz w:val="24"/>
          <w:szCs w:val="24"/>
        </w:rPr>
        <w:t>若本基金调整业绩比较基准的要素权重，本基金将根据法律法规、中国证监会的规定和基金合同约定履行相关程序。</w:t>
      </w:r>
    </w:p>
    <w:p w14:paraId="5019F63C" w14:textId="683396C5" w:rsidR="00A71A93" w:rsidRDefault="00B84A37" w:rsidP="00B84A37">
      <w:pPr>
        <w:pStyle w:val="div"/>
        <w:spacing w:line="360" w:lineRule="auto"/>
        <w:ind w:firstLine="420"/>
        <w:rPr>
          <w:rStyle w:val="custom"/>
          <w:rFonts w:ascii="宋体" w:hAnsi="宋体" w:cs="宋体"/>
          <w:kern w:val="0"/>
          <w:sz w:val="24"/>
          <w:szCs w:val="24"/>
        </w:rPr>
      </w:pPr>
      <w:r w:rsidRPr="0084235D">
        <w:rPr>
          <w:rStyle w:val="custom"/>
          <w:rFonts w:ascii="宋体" w:hAnsi="宋体" w:cs="宋体" w:hint="eastAsia"/>
          <w:kern w:val="0"/>
          <w:sz w:val="24"/>
          <w:szCs w:val="24"/>
        </w:rPr>
        <w:t>法律法规或监管机构另有规定的，从其规定。</w:t>
      </w:r>
    </w:p>
    <w:p w14:paraId="0F08411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4AB64C19"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本基金属于股票型指数增强基金，其预期的风险与收益高于混合型基金、债券型基金与货币市场基金。</w:t>
      </w:r>
    </w:p>
    <w:p w14:paraId="4E924A20"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本基金除了投资A股以外，还可以根据法律法规规定投资港股通标的股票，将面临港股通机制下因投资环境、投资标的、市场制度以及交易规则等差异带来的特有风险。</w:t>
      </w:r>
    </w:p>
    <w:p w14:paraId="5D328EC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779D653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6C414D9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204A8CD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670B19F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14:paraId="2FEFA8C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侧袋机制的实施和投资运作安排</w:t>
      </w:r>
    </w:p>
    <w:p w14:paraId="182A3C1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7505D3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侧袋机制实施期间，本部分约定的投资组合比例、投资策略、组合限制、业绩比较基准、风险收益特征等约定仅适用于主袋账户。</w:t>
      </w:r>
    </w:p>
    <w:p w14:paraId="511470B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18356B6F" w14:textId="77777777" w:rsidR="009D63C8" w:rsidRDefault="009713AD" w:rsidP="009E26D0">
      <w:pPr>
        <w:pStyle w:val="1"/>
        <w:spacing w:before="0" w:after="0"/>
        <w:jc w:val="center"/>
        <w:rPr>
          <w:rFonts w:ascii="Times New Roman"/>
          <w:color w:val="auto"/>
          <w:sz w:val="30"/>
        </w:rPr>
      </w:pPr>
      <w:bookmarkStart w:id="54"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基金的财产</w:t>
      </w:r>
      <w:bookmarkEnd w:id="54"/>
    </w:p>
    <w:p w14:paraId="54674F53" w14:textId="77777777" w:rsidR="007A2B34" w:rsidRPr="0017353E" w:rsidRDefault="007A2B34" w:rsidP="0090469D"/>
    <w:p w14:paraId="1A5B005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3029C820"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14:paraId="4DEF536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715EB5A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596CE7A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420076F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6DFE40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763AB5C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55C951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0BCF9E19" w14:textId="77777777" w:rsidR="009D63C8" w:rsidRDefault="009713AD" w:rsidP="009E26D0">
      <w:pPr>
        <w:pStyle w:val="1"/>
        <w:spacing w:before="0" w:after="0"/>
        <w:jc w:val="center"/>
        <w:rPr>
          <w:rFonts w:ascii="Times New Roman"/>
          <w:color w:val="auto"/>
          <w:sz w:val="30"/>
        </w:rPr>
      </w:pPr>
      <w:bookmarkStart w:id="55"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基金资产估值</w:t>
      </w:r>
      <w:bookmarkEnd w:id="55"/>
    </w:p>
    <w:p w14:paraId="36F0CE4B" w14:textId="77777777" w:rsidR="007A2B34" w:rsidRPr="0017353E" w:rsidRDefault="007A2B34" w:rsidP="0090469D"/>
    <w:p w14:paraId="4F26E957"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22D27D2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0017429E"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14:paraId="176362E5"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5AD5A736"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517C96B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33AE6815"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4DBCEA9"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940BDA"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D977799"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26D3F469"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四、估值方法</w:t>
      </w:r>
    </w:p>
    <w:p w14:paraId="2C543317"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14:paraId="3538D61E"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7B11CA"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C666ADD"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301EA37C"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14:paraId="2272A7FC"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23A34385"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4961F80B"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E7596B6"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1023A05B"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41CB8D8A"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3901AFBD"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10BFBFE1" w14:textId="77777777" w:rsidR="00A71A93" w:rsidRDefault="009713AD">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2730C287" w14:textId="77777777" w:rsidR="00A71A93" w:rsidRDefault="009713AD">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4A379D5"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5、同一</w:t>
      </w:r>
      <w:r w:rsidR="004365C5">
        <w:rPr>
          <w:rFonts w:ascii="宋体" w:hAnsi="宋体" w:cs="宋体" w:hint="eastAsia"/>
          <w:kern w:val="0"/>
          <w:sz w:val="24"/>
          <w:szCs w:val="24"/>
        </w:rPr>
        <w:t>证券</w:t>
      </w:r>
      <w:r>
        <w:rPr>
          <w:rFonts w:ascii="宋体" w:hAnsi="宋体" w:cs="宋体"/>
          <w:kern w:val="0"/>
          <w:sz w:val="24"/>
          <w:szCs w:val="24"/>
        </w:rPr>
        <w:t>同时在两个或两个以上市场交易的，按</w:t>
      </w:r>
      <w:r w:rsidR="004365C5">
        <w:rPr>
          <w:rFonts w:ascii="宋体" w:hAnsi="宋体" w:cs="宋体" w:hint="eastAsia"/>
          <w:kern w:val="0"/>
          <w:sz w:val="24"/>
          <w:szCs w:val="24"/>
        </w:rPr>
        <w:t>证券</w:t>
      </w:r>
      <w:r>
        <w:rPr>
          <w:rFonts w:ascii="宋体" w:hAnsi="宋体" w:cs="宋体"/>
          <w:kern w:val="0"/>
          <w:sz w:val="24"/>
          <w:szCs w:val="24"/>
        </w:rPr>
        <w:t>所处的市场分别估值。</w:t>
      </w:r>
    </w:p>
    <w:p w14:paraId="5E858A1D"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44105B0B"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7、</w:t>
      </w:r>
      <w:r w:rsidR="00B67E2C" w:rsidRPr="00B67E2C">
        <w:rPr>
          <w:rFonts w:ascii="宋体" w:hAnsi="宋体" w:cs="宋体" w:hint="eastAsia"/>
          <w:kern w:val="0"/>
          <w:sz w:val="24"/>
          <w:szCs w:val="24"/>
        </w:rPr>
        <w:t>本基金投资</w:t>
      </w:r>
      <w:r w:rsidR="00B67E2C">
        <w:rPr>
          <w:rFonts w:ascii="宋体" w:hAnsi="宋体" w:cs="宋体" w:hint="eastAsia"/>
          <w:kern w:val="0"/>
          <w:sz w:val="24"/>
          <w:szCs w:val="24"/>
        </w:rPr>
        <w:t>股票</w:t>
      </w:r>
      <w:r w:rsidR="00B67E2C" w:rsidRPr="00B67E2C">
        <w:rPr>
          <w:rFonts w:ascii="宋体" w:hAnsi="宋体" w:cs="宋体" w:hint="eastAsia"/>
          <w:kern w:val="0"/>
          <w:sz w:val="24"/>
          <w:szCs w:val="24"/>
        </w:rPr>
        <w:t>期权，根据相关法律法规以及监管部门的规定估值。</w:t>
      </w:r>
    </w:p>
    <w:p w14:paraId="42818D09"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8、本基金投资国债期货合约，一般以国债期货估值日的结算价</w:t>
      </w:r>
      <w:r w:rsidR="00245241">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14:paraId="7F0C7C84"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1D11C386"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D86B0FD"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4340B46C"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11、本基金投资存托凭证的估值核算，依照境内上市交易的股票进行。</w:t>
      </w:r>
    </w:p>
    <w:p w14:paraId="24567D43" w14:textId="77777777" w:rsidR="00A71A93" w:rsidRDefault="009713AD">
      <w:pPr>
        <w:pStyle w:val="div"/>
        <w:spacing w:line="360" w:lineRule="auto"/>
        <w:ind w:firstLine="480"/>
        <w:jc w:val="left"/>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251027A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77CD902C"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2420E0C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C5BB7E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5AB576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19444077" w14:textId="77777777" w:rsidR="00A71A93" w:rsidRDefault="009713AD">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6A69E45A"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7B6A49B4" w14:textId="77777777" w:rsidR="00A71A93" w:rsidRDefault="009713AD">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379A65A5"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14:paraId="393A2A1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w:t>
      </w:r>
      <w:r>
        <w:rPr>
          <w:rFonts w:ascii="宋体" w:hAnsi="宋体" w:cs="宋体"/>
          <w:kern w:val="0"/>
          <w:sz w:val="24"/>
          <w:szCs w:val="24"/>
        </w:rPr>
        <w:lastRenderedPageBreak/>
        <w:t>错误时，视为该类基金份额净值错误。</w:t>
      </w:r>
    </w:p>
    <w:p w14:paraId="076E2C5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本基金合同的当事人应按照以下约定处理：</w:t>
      </w:r>
    </w:p>
    <w:p w14:paraId="28A8F4D5"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14:paraId="74C54B5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FE76E9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7C8B778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14:paraId="0D75E8A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F6B7B39"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5963461F"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085FC63"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3F3035BC"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3、估值错误处理程序</w:t>
      </w:r>
    </w:p>
    <w:p w14:paraId="378A49F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4F451679"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287BF63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36A0DEFD"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54976F4B"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509572D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14:paraId="1063F089"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650F7B5A"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1DFC25C2"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14:paraId="6D4132D4"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7947E76C" w14:textId="77777777"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5686168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2、因不可抗力或其他情形致使基金管理人、基金托管人无法准确评估基金资产价值时；</w:t>
      </w:r>
    </w:p>
    <w:p w14:paraId="711B9328"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49E95C5E"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4、法律法规规定、中国证监会和基金合同认定的其它情形。</w:t>
      </w:r>
    </w:p>
    <w:p w14:paraId="18895F49"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691944E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w:t>
      </w:r>
      <w:r>
        <w:rPr>
          <w:rFonts w:ascii="宋体" w:hAnsi="宋体" w:cs="宋体"/>
          <w:kern w:val="0"/>
          <w:sz w:val="24"/>
          <w:szCs w:val="24"/>
        </w:rPr>
        <w:lastRenderedPageBreak/>
        <w:t>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0974C2B6"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九、实施侧袋机制期间的基金资产估值</w:t>
      </w:r>
    </w:p>
    <w:p w14:paraId="5F5E787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4640377C"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14:paraId="289D6A1D" w14:textId="77777777" w:rsidR="00A71A93" w:rsidRDefault="009713AD">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39FC9AC0"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2AC984C7" w14:textId="77777777" w:rsidR="009D63C8" w:rsidRDefault="009713AD" w:rsidP="009E26D0">
      <w:pPr>
        <w:pStyle w:val="1"/>
        <w:spacing w:before="0" w:after="0"/>
        <w:jc w:val="center"/>
        <w:rPr>
          <w:rFonts w:ascii="Times New Roman"/>
          <w:color w:val="auto"/>
          <w:sz w:val="30"/>
        </w:rPr>
      </w:pPr>
      <w:bookmarkStart w:id="56"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基金费用与税收</w:t>
      </w:r>
      <w:bookmarkEnd w:id="56"/>
    </w:p>
    <w:p w14:paraId="0FF795A5" w14:textId="77777777" w:rsidR="007A2B34" w:rsidRPr="0017353E" w:rsidRDefault="007A2B34" w:rsidP="0090469D"/>
    <w:p w14:paraId="28349C21" w14:textId="77777777" w:rsidR="00A71A93" w:rsidRDefault="009713AD">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055678E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61680F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7035F0C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6063959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676E361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0A1DFC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14:paraId="3B7451E5"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7、基金的证券、期货等交易费用；</w:t>
      </w:r>
    </w:p>
    <w:p w14:paraId="7876831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14:paraId="759140A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14:paraId="606A6BB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10、因投资港股通标的股票而产生的各项合理费用；</w:t>
      </w:r>
    </w:p>
    <w:p w14:paraId="6DB3EB2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2A50370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625C63C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0D6BDD4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本基金的管理费按前一日基金资产净值的0.80%年费率计提。管理费的计算方法如下：</w:t>
      </w:r>
    </w:p>
    <w:p w14:paraId="7E13969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H＝E×0.80%÷当年天数</w:t>
      </w:r>
    </w:p>
    <w:p w14:paraId="5084535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H为每日应计提的基金管理费</w:t>
      </w:r>
    </w:p>
    <w:p w14:paraId="7F7D93C1"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0F9A55F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w:t>
      </w:r>
      <w:r w:rsidR="00F869FC" w:rsidRPr="002B3A2D">
        <w:rPr>
          <w:rFonts w:hint="eastAsia"/>
          <w:bCs/>
          <w:sz w:val="24"/>
        </w:rPr>
        <w:t>等，支付日期顺延。费用自动扣划后，</w:t>
      </w:r>
      <w:r w:rsidR="004811D9">
        <w:rPr>
          <w:rFonts w:hint="eastAsia"/>
          <w:bCs/>
          <w:sz w:val="24"/>
        </w:rPr>
        <w:t>基金</w:t>
      </w:r>
      <w:r w:rsidR="00F869FC" w:rsidRPr="002B3A2D">
        <w:rPr>
          <w:rFonts w:hint="eastAsia"/>
          <w:bCs/>
          <w:sz w:val="24"/>
        </w:rPr>
        <w:t>管理人应进行核对，如发现数据不符，及时联系</w:t>
      </w:r>
      <w:r w:rsidR="004811D9">
        <w:rPr>
          <w:rFonts w:hint="eastAsia"/>
          <w:bCs/>
          <w:sz w:val="24"/>
        </w:rPr>
        <w:t>基金</w:t>
      </w:r>
      <w:r w:rsidR="00F869FC" w:rsidRPr="002B3A2D">
        <w:rPr>
          <w:rFonts w:hint="eastAsia"/>
          <w:bCs/>
          <w:sz w:val="24"/>
        </w:rPr>
        <w:t>托管人协商解决。</w:t>
      </w:r>
    </w:p>
    <w:p w14:paraId="2EDFB7B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基金托管人的托管费</w:t>
      </w:r>
    </w:p>
    <w:p w14:paraId="5797FE6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本基金的托管费按前一日基金资产净值的0.1</w:t>
      </w:r>
      <w:r w:rsidR="00335397">
        <w:rPr>
          <w:rStyle w:val="custom"/>
          <w:rFonts w:ascii="宋体" w:hAnsi="宋体" w:cs="宋体"/>
          <w:kern w:val="0"/>
          <w:sz w:val="24"/>
          <w:szCs w:val="24"/>
        </w:rPr>
        <w:t>5</w:t>
      </w:r>
      <w:r>
        <w:rPr>
          <w:rStyle w:val="custom"/>
          <w:rFonts w:ascii="宋体" w:hAnsi="宋体" w:cs="宋体"/>
          <w:kern w:val="0"/>
          <w:sz w:val="24"/>
          <w:szCs w:val="24"/>
        </w:rPr>
        <w:t>%的年费率计提。托管费的计算方法如下：</w:t>
      </w:r>
    </w:p>
    <w:p w14:paraId="7D06EF0F"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H＝E×0.1</w:t>
      </w:r>
      <w:r w:rsidR="00FC0161">
        <w:rPr>
          <w:rStyle w:val="custom"/>
          <w:rFonts w:ascii="宋体" w:hAnsi="宋体" w:cs="宋体" w:hint="eastAsia"/>
          <w:kern w:val="0"/>
          <w:sz w:val="24"/>
          <w:szCs w:val="24"/>
        </w:rPr>
        <w:t>5</w:t>
      </w:r>
      <w:r>
        <w:rPr>
          <w:rStyle w:val="custom"/>
          <w:rFonts w:ascii="宋体" w:hAnsi="宋体" w:cs="宋体"/>
          <w:kern w:val="0"/>
          <w:sz w:val="24"/>
          <w:szCs w:val="24"/>
        </w:rPr>
        <w:t>%÷当年天数</w:t>
      </w:r>
    </w:p>
    <w:p w14:paraId="0E0DFD2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14:paraId="49B5677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4F4EC66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w:t>
      </w:r>
      <w:r w:rsidR="00EC03A4" w:rsidRPr="00157FB7">
        <w:rPr>
          <w:rFonts w:hint="eastAsia"/>
          <w:bCs/>
          <w:sz w:val="24"/>
        </w:rPr>
        <w:t>等，支付日期顺延。费用自动扣划后，</w:t>
      </w:r>
      <w:r w:rsidR="004811D9">
        <w:rPr>
          <w:rFonts w:hint="eastAsia"/>
          <w:bCs/>
          <w:sz w:val="24"/>
        </w:rPr>
        <w:t>基金</w:t>
      </w:r>
      <w:r w:rsidR="00EC03A4" w:rsidRPr="00157FB7">
        <w:rPr>
          <w:rFonts w:hint="eastAsia"/>
          <w:bCs/>
          <w:sz w:val="24"/>
        </w:rPr>
        <w:t>管理人应进行核对，如发现数据不符，及时联系</w:t>
      </w:r>
      <w:r w:rsidR="004811D9">
        <w:rPr>
          <w:rFonts w:hint="eastAsia"/>
          <w:bCs/>
          <w:sz w:val="24"/>
        </w:rPr>
        <w:t>基金</w:t>
      </w:r>
      <w:r w:rsidR="00EC03A4" w:rsidRPr="00157FB7">
        <w:rPr>
          <w:rFonts w:hint="eastAsia"/>
          <w:bCs/>
          <w:sz w:val="24"/>
        </w:rPr>
        <w:t>托管人协商解决。</w:t>
      </w:r>
    </w:p>
    <w:p w14:paraId="1C1D26A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25614723" w14:textId="1BA17C88" w:rsidR="00A71A93" w:rsidRDefault="009713AD">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本基金A类基金份额不收取销售服务费，C类基金份额的销售服务费年费率为0.</w:t>
      </w:r>
      <w:r w:rsidR="00181B34">
        <w:rPr>
          <w:rStyle w:val="custom"/>
          <w:rFonts w:ascii="宋体" w:hAnsi="宋体" w:cs="宋体"/>
          <w:kern w:val="0"/>
          <w:sz w:val="24"/>
          <w:szCs w:val="24"/>
        </w:rPr>
        <w:t>20</w:t>
      </w:r>
      <w:r>
        <w:rPr>
          <w:rStyle w:val="custom"/>
          <w:rFonts w:ascii="宋体" w:hAnsi="宋体" w:cs="宋体"/>
          <w:kern w:val="0"/>
          <w:sz w:val="24"/>
          <w:szCs w:val="24"/>
        </w:rPr>
        <w:t>%。</w:t>
      </w:r>
    </w:p>
    <w:p w14:paraId="1FF2DB7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14:paraId="42DA1E3A" w14:textId="380CBBF6"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w:t>
      </w:r>
      <w:r w:rsidR="00181B34">
        <w:rPr>
          <w:rStyle w:val="custom"/>
          <w:rFonts w:ascii="宋体" w:hAnsi="宋体" w:cs="宋体"/>
          <w:kern w:val="0"/>
          <w:sz w:val="24"/>
          <w:szCs w:val="24"/>
        </w:rPr>
        <w:t>20</w:t>
      </w:r>
      <w:r>
        <w:rPr>
          <w:rStyle w:val="custom"/>
          <w:rFonts w:ascii="宋体" w:hAnsi="宋体" w:cs="宋体"/>
          <w:kern w:val="0"/>
          <w:sz w:val="24"/>
          <w:szCs w:val="24"/>
        </w:rPr>
        <w:t>%÷当年天数</w:t>
      </w:r>
    </w:p>
    <w:p w14:paraId="44C6612D"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098AC77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2C135BC7" w14:textId="3C6E0FA5" w:rsidR="00A71A93" w:rsidRDefault="009713AD">
      <w:pPr>
        <w:pStyle w:val="div"/>
        <w:spacing w:line="360" w:lineRule="auto"/>
        <w:ind w:firstLine="420"/>
        <w:rPr>
          <w:bCs/>
          <w:sz w:val="24"/>
        </w:rPr>
      </w:pPr>
      <w:r>
        <w:rPr>
          <w:rStyle w:val="custom"/>
          <w:rFonts w:ascii="宋体" w:hAnsi="宋体" w:cs="宋体"/>
          <w:kern w:val="0"/>
          <w:sz w:val="24"/>
          <w:szCs w:val="24"/>
        </w:rPr>
        <w:t>销售服务费每日计提，逐日累计至每月月末，按月支付</w:t>
      </w:r>
      <w:r w:rsidR="00181B34">
        <w:rPr>
          <w:rStyle w:val="custom"/>
          <w:rFonts w:ascii="宋体" w:hAnsi="宋体" w:cs="宋体" w:hint="eastAsia"/>
          <w:kern w:val="0"/>
          <w:sz w:val="24"/>
          <w:szCs w:val="24"/>
        </w:rPr>
        <w:t>。</w:t>
      </w:r>
      <w:r w:rsidR="00181B34">
        <w:rPr>
          <w:rFonts w:hint="eastAsia"/>
          <w:bCs/>
          <w:sz w:val="24"/>
        </w:rPr>
        <w:t>对于确认为基金财产支付的销售服务费</w:t>
      </w:r>
      <w:r>
        <w:rPr>
          <w:rStyle w:val="custom"/>
          <w:rFonts w:ascii="宋体" w:hAnsi="宋体" w:cs="宋体"/>
          <w:kern w:val="0"/>
          <w:sz w:val="24"/>
          <w:szCs w:val="24"/>
        </w:rPr>
        <w:t>，自动在次月初五个工作日内、按照指定的账户路径进行资金支付，基金管理人无需再出具资金划拨指令。若遇法定节假日、休息日</w:t>
      </w:r>
      <w:r w:rsidR="001134F4" w:rsidRPr="00157FB7">
        <w:rPr>
          <w:rFonts w:hint="eastAsia"/>
          <w:bCs/>
          <w:sz w:val="24"/>
        </w:rPr>
        <w:t>等，支付日期顺延。费用自动扣划后，</w:t>
      </w:r>
      <w:r w:rsidR="004811D9">
        <w:rPr>
          <w:rFonts w:hint="eastAsia"/>
          <w:bCs/>
          <w:sz w:val="24"/>
        </w:rPr>
        <w:t>基金</w:t>
      </w:r>
      <w:r w:rsidR="001134F4" w:rsidRPr="00157FB7">
        <w:rPr>
          <w:rFonts w:hint="eastAsia"/>
          <w:bCs/>
          <w:sz w:val="24"/>
        </w:rPr>
        <w:t>管理人应进行核对，如发现数据不符，及时联系</w:t>
      </w:r>
      <w:r w:rsidR="004811D9">
        <w:rPr>
          <w:rFonts w:hint="eastAsia"/>
          <w:bCs/>
          <w:sz w:val="24"/>
        </w:rPr>
        <w:t>基金</w:t>
      </w:r>
      <w:r w:rsidR="001134F4" w:rsidRPr="00157FB7">
        <w:rPr>
          <w:rFonts w:hint="eastAsia"/>
          <w:bCs/>
          <w:sz w:val="24"/>
        </w:rPr>
        <w:t>托管人协商解决。</w:t>
      </w:r>
    </w:p>
    <w:p w14:paraId="3C8E05BE" w14:textId="77777777" w:rsidR="00181B34" w:rsidRPr="00BC4833" w:rsidRDefault="00181B34" w:rsidP="00181B34">
      <w:pPr>
        <w:spacing w:line="348" w:lineRule="auto"/>
        <w:ind w:firstLineChars="200" w:firstLine="480"/>
        <w:rPr>
          <w:rStyle w:val="custom"/>
          <w:rFonts w:ascii="宋体" w:hAnsi="宋体" w:cs="宋体"/>
          <w:kern w:val="0"/>
          <w:sz w:val="24"/>
          <w:szCs w:val="24"/>
        </w:rPr>
      </w:pPr>
      <w:bookmarkStart w:id="57" w:name="_Hlk218539030"/>
      <w:r>
        <w:rPr>
          <w:rFonts w:hint="eastAsia"/>
          <w:bCs/>
          <w:sz w:val="24"/>
        </w:rPr>
        <w:t>其中，对于投资者通过直销机构认购</w:t>
      </w:r>
      <w:r>
        <w:rPr>
          <w:bCs/>
          <w:sz w:val="24"/>
        </w:rPr>
        <w:t>/</w:t>
      </w:r>
      <w:r>
        <w:rPr>
          <w:rFonts w:hint="eastAsia"/>
          <w:bCs/>
          <w:sz w:val="24"/>
        </w:rPr>
        <w:t>申购的</w:t>
      </w:r>
      <w:bookmarkStart w:id="58" w:name="_Hlk218688853"/>
      <w:r>
        <w:rPr>
          <w:rFonts w:hint="eastAsia"/>
          <w:bCs/>
          <w:sz w:val="24"/>
          <w:lang w:bidi="en-US"/>
        </w:rPr>
        <w:t>C</w:t>
      </w:r>
      <w:r>
        <w:rPr>
          <w:rFonts w:hint="eastAsia"/>
          <w:bCs/>
          <w:sz w:val="24"/>
          <w:lang w:bidi="en-US"/>
        </w:rPr>
        <w:t>类基金份额所计提的销售服务费</w:t>
      </w:r>
      <w:bookmarkEnd w:id="58"/>
      <w:r>
        <w:rPr>
          <w:rFonts w:hint="eastAsia"/>
          <w:bCs/>
          <w:sz w:val="24"/>
        </w:rPr>
        <w:t>或者通过其他销售机构认购</w:t>
      </w:r>
      <w:r>
        <w:rPr>
          <w:bCs/>
          <w:sz w:val="24"/>
        </w:rPr>
        <w:t>/</w:t>
      </w:r>
      <w:r>
        <w:rPr>
          <w:rFonts w:hint="eastAsia"/>
          <w:bCs/>
          <w:sz w:val="24"/>
        </w:rPr>
        <w:t>申购且持续持有期限超过一年</w:t>
      </w:r>
      <w:bookmarkStart w:id="59" w:name="_Hlk218688858"/>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59"/>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bookmarkEnd w:id="57"/>
    </w:p>
    <w:p w14:paraId="7DB4AD9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1773906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14:paraId="4778B66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下列费用不列入基金费用：</w:t>
      </w:r>
    </w:p>
    <w:p w14:paraId="7CFB9E6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5BF9E78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1D352DB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14:paraId="1C26C9D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4、基金的指数许可使用费（该费用由基金管理人承担）；</w:t>
      </w:r>
    </w:p>
    <w:p w14:paraId="171A6EE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其他根据相关法律法规及中国证监会的有关规定不得列入基金费用的项目。</w:t>
      </w:r>
    </w:p>
    <w:p w14:paraId="6C1DBBC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实施侧袋机制期间的基金费用</w:t>
      </w:r>
    </w:p>
    <w:p w14:paraId="4BB8D68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0D0A8C7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68BAF35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67162918" w14:textId="77777777" w:rsidR="009D63C8" w:rsidRDefault="009713AD" w:rsidP="009E26D0">
      <w:pPr>
        <w:pStyle w:val="1"/>
        <w:spacing w:before="0" w:after="0"/>
        <w:jc w:val="center"/>
        <w:rPr>
          <w:rFonts w:ascii="Times New Roman"/>
          <w:color w:val="auto"/>
          <w:sz w:val="30"/>
        </w:rPr>
      </w:pPr>
      <w:bookmarkStart w:id="60"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基金的收益与分配</w:t>
      </w:r>
      <w:bookmarkEnd w:id="60"/>
    </w:p>
    <w:p w14:paraId="58336B6A" w14:textId="77777777" w:rsidR="007A2B34" w:rsidRPr="0017353E" w:rsidRDefault="007A2B34" w:rsidP="0090469D"/>
    <w:p w14:paraId="47AC985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435D7C2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7471AF2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4858443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7D3E4A9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59C0AE2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4FE57DE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321C1D86" w14:textId="77777777" w:rsidR="00A71A93" w:rsidRDefault="009713AD">
      <w:pPr>
        <w:pStyle w:val="div"/>
        <w:spacing w:line="360" w:lineRule="auto"/>
        <w:ind w:firstLine="42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基金管理人可对基金相对业绩比较基准的超额收益率和/或基金的可供分配利润进行评价，当收益评价日核定的超额收益率或者基金可供分配利润金额大于零时，基金管理人可进行收益分配；</w:t>
      </w:r>
    </w:p>
    <w:p w14:paraId="7BA57B43" w14:textId="77777777" w:rsidR="00A71A93" w:rsidRDefault="009713AD">
      <w:pPr>
        <w:pStyle w:val="div"/>
        <w:spacing w:line="360" w:lineRule="auto"/>
        <w:ind w:firstLine="420"/>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当基金收益分配根据基金相对业绩比较基准的超额收益率决定时，基于本基金的特点，本基金收益分配无需以弥补亏损为前提，收益分配后</w:t>
      </w:r>
      <w:r w:rsidR="00EA6335">
        <w:rPr>
          <w:rFonts w:ascii="宋体" w:hAnsi="宋体" w:cs="宋体"/>
          <w:kern w:val="0"/>
          <w:sz w:val="24"/>
          <w:szCs w:val="24"/>
        </w:rPr>
        <w:t>各类</w:t>
      </w:r>
      <w:r>
        <w:rPr>
          <w:rFonts w:ascii="宋体" w:hAnsi="宋体" w:cs="宋体"/>
          <w:kern w:val="0"/>
          <w:sz w:val="24"/>
          <w:szCs w:val="24"/>
        </w:rPr>
        <w:t>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1676B486"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5、同一类别内每一基金份额享有同等分配权；</w:t>
      </w:r>
    </w:p>
    <w:p w14:paraId="62F843D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法律法规或监管机构另有规定的，从其规定。</w:t>
      </w:r>
    </w:p>
    <w:p w14:paraId="694F2355"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w:t>
      </w:r>
      <w:r w:rsidR="00FC0161">
        <w:rPr>
          <w:rFonts w:ascii="宋体" w:hAnsi="宋体" w:cs="宋体" w:hint="eastAsia"/>
          <w:kern w:val="0"/>
          <w:sz w:val="24"/>
          <w:szCs w:val="24"/>
        </w:rPr>
        <w:t>在与基金托管人协商一致</w:t>
      </w:r>
      <w:r w:rsidR="00527B93">
        <w:rPr>
          <w:rFonts w:ascii="宋体" w:hAnsi="宋体" w:cs="宋体" w:hint="eastAsia"/>
          <w:kern w:val="0"/>
          <w:sz w:val="24"/>
          <w:szCs w:val="24"/>
        </w:rPr>
        <w:t>后，经履行适当程序，</w:t>
      </w:r>
      <w:r>
        <w:rPr>
          <w:rFonts w:ascii="宋体" w:hAnsi="宋体" w:cs="宋体"/>
          <w:kern w:val="0"/>
          <w:sz w:val="24"/>
          <w:szCs w:val="24"/>
        </w:rPr>
        <w:t>可对基金收益分配原则进行调整，无需召开基金份额持有人大会。</w:t>
      </w:r>
    </w:p>
    <w:p w14:paraId="1C0B75B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7EB0587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基金收益分配方案中应载明截至收益分配基准日的可供分配利润、基金收益分配对象、分配时间、分配数额及比例、分配方式等内容。</w:t>
      </w:r>
    </w:p>
    <w:p w14:paraId="4E3E4BF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46F4CC8C"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3857E8D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1F8C0248"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94041E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实施侧袋机制期间的收益分配</w:t>
      </w:r>
    </w:p>
    <w:p w14:paraId="112CE1C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r>
        <w:rPr>
          <w:rFonts w:ascii="宋体" w:hAnsi="宋体" w:cs="宋体"/>
          <w:kern w:val="0"/>
          <w:sz w:val="24"/>
          <w:szCs w:val="24"/>
        </w:rPr>
        <w:br w:type="page"/>
      </w:r>
    </w:p>
    <w:p w14:paraId="01DF8018" w14:textId="77777777" w:rsidR="009D63C8" w:rsidRDefault="009713AD" w:rsidP="009E26D0">
      <w:pPr>
        <w:pStyle w:val="1"/>
        <w:spacing w:before="0" w:after="0"/>
        <w:jc w:val="center"/>
        <w:rPr>
          <w:rFonts w:ascii="Times New Roman"/>
          <w:color w:val="auto"/>
          <w:sz w:val="30"/>
        </w:rPr>
      </w:pPr>
      <w:bookmarkStart w:id="61"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基金的会计与审计</w:t>
      </w:r>
      <w:bookmarkEnd w:id="61"/>
    </w:p>
    <w:p w14:paraId="7641CD8A" w14:textId="77777777" w:rsidR="007A2B34" w:rsidRPr="0017353E" w:rsidRDefault="007A2B34" w:rsidP="0090469D"/>
    <w:p w14:paraId="5577298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5780533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14:paraId="7106446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14:paraId="187AAC7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14:paraId="3537EA2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14:paraId="3D1E196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14:paraId="46C26D3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2BE4080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6613FD5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27EA801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6A40E6DE"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56E5BDC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46AF0B35" w14:textId="77777777" w:rsidR="009D63C8" w:rsidRDefault="009713AD" w:rsidP="009E26D0">
      <w:pPr>
        <w:pStyle w:val="1"/>
        <w:spacing w:before="0" w:after="0"/>
        <w:jc w:val="center"/>
        <w:rPr>
          <w:rFonts w:ascii="Times New Roman"/>
          <w:color w:val="auto"/>
          <w:sz w:val="30"/>
        </w:rPr>
      </w:pPr>
      <w:bookmarkStart w:id="62"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基金的信息披露</w:t>
      </w:r>
      <w:bookmarkEnd w:id="62"/>
    </w:p>
    <w:p w14:paraId="444DD0C3" w14:textId="77777777" w:rsidR="007A2B34" w:rsidRPr="0017353E" w:rsidRDefault="007A2B34" w:rsidP="0090469D"/>
    <w:p w14:paraId="784EA0E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14:paraId="7B7EC1F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48E4D04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0D1693F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3636A38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692D1CA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02B0467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14:paraId="3F8C5E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14:paraId="071A1BE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14:paraId="0FAE193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14:paraId="250AC6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14:paraId="297C3C1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14:paraId="1E1936F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485E4C9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w:t>
      </w:r>
      <w:r>
        <w:rPr>
          <w:rFonts w:ascii="宋体" w:hAnsi="宋体" w:cs="宋体"/>
          <w:kern w:val="0"/>
          <w:sz w:val="24"/>
          <w:szCs w:val="24"/>
        </w:rPr>
        <w:lastRenderedPageBreak/>
        <w:t>元。</w:t>
      </w:r>
    </w:p>
    <w:p w14:paraId="64AD12C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公开披露的基金信息</w:t>
      </w:r>
    </w:p>
    <w:p w14:paraId="5EB7030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2DFD465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687F728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7C59B4D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87B18A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14:paraId="456DD7BF"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1FA97C0"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59C60AA"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7B35314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基金管理人应当就基金份额发售的具体事宜编制基金份额发售公告，并在披露招募说明书的当日登载于规定媒介上。</w:t>
      </w:r>
    </w:p>
    <w:p w14:paraId="42B02A43"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（三）</w:t>
      </w:r>
      <w:r>
        <w:rPr>
          <w:rStyle w:val="custom"/>
          <w:rFonts w:ascii="宋体" w:hAnsi="宋体" w:cs="宋体"/>
          <w:kern w:val="0"/>
          <w:sz w:val="24"/>
          <w:szCs w:val="24"/>
        </w:rPr>
        <w:t>《基金合同》生效公告</w:t>
      </w:r>
    </w:p>
    <w:p w14:paraId="7B523277"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1B66EF2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56F25335"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296F0B7F"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2418C88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65D292A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A50EAC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6D4CCE6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36964E8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3F4EA10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46844E2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5CB7FCD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w:t>
      </w:r>
      <w:r>
        <w:rPr>
          <w:rFonts w:ascii="宋体" w:hAnsi="宋体" w:cs="宋体"/>
          <w:kern w:val="0"/>
          <w:sz w:val="24"/>
          <w:szCs w:val="24"/>
        </w:rPr>
        <w:lastRenderedPageBreak/>
        <w:t>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96CDFC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00D1132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6FD7CA47"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4477F83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4979FCB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67E0F52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3C2A095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33B4906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14:paraId="3115157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10E6343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14:paraId="6A6E6A6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28F53A14" w14:textId="77777777" w:rsidR="00A71A93" w:rsidRDefault="009713AD">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基金募集期延长或提前结束募集；</w:t>
      </w:r>
    </w:p>
    <w:p w14:paraId="62C1D56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4123A1F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0F0A1FC9"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1272105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w:t>
      </w:r>
      <w:r>
        <w:rPr>
          <w:rFonts w:ascii="宋体" w:hAnsi="宋体" w:cs="宋体"/>
          <w:kern w:val="0"/>
          <w:sz w:val="24"/>
          <w:szCs w:val="24"/>
        </w:rPr>
        <w:lastRenderedPageBreak/>
        <w:t>到重大行政处罚、刑事处罚，基金托管人或其专门基金托管部门负责人因基金托管业务相关行为受到重大行政处罚、刑事处罚；</w:t>
      </w:r>
    </w:p>
    <w:p w14:paraId="3CE923B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70CA62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1B4E411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15、管理费、托管费、销售服务费、申购费和赎回费等费用计提标准、计提方式和费率发生变更；</w:t>
      </w:r>
    </w:p>
    <w:p w14:paraId="2423E7E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14:paraId="1085170A"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14:paraId="5CD186FD"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14:paraId="6D34862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14:paraId="130A814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14:paraId="150D1F09"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21、本基金变更标的指数；</w:t>
      </w:r>
    </w:p>
    <w:p w14:paraId="336C6B3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调整基金份额类别的设置；</w:t>
      </w:r>
    </w:p>
    <w:p w14:paraId="615B149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本基金推出新业务或服务；</w:t>
      </w:r>
    </w:p>
    <w:p w14:paraId="7E31FAB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发生涉及基金申购、赎回事项调整或潜在影响投资者赎回等重大事项时；</w:t>
      </w:r>
    </w:p>
    <w:p w14:paraId="5E6BFCB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基金管理人采用摆动定价机制进行估值；</w:t>
      </w:r>
    </w:p>
    <w:p w14:paraId="6FCC032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00A0D75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3572E4A0"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13B99FC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533439F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15A07EF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（十）</w:t>
      </w:r>
      <w:r>
        <w:rPr>
          <w:rFonts w:ascii="宋体" w:hAnsi="宋体" w:cs="宋体"/>
          <w:kern w:val="0"/>
          <w:sz w:val="24"/>
          <w:szCs w:val="24"/>
        </w:rPr>
        <w:t>基金份额持有人大会决议</w:t>
      </w:r>
    </w:p>
    <w:p w14:paraId="49329E9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35FB0C2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14:paraId="7B0E135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66084B3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14:paraId="673A64C1"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46382FE8"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14:paraId="7492B16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AAD436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14:paraId="240028E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52EE9C2"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（十五）参与融资业务的信息披露</w:t>
      </w:r>
    </w:p>
    <w:p w14:paraId="63CA934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6D805EBC"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（十六）参与转融通证券出借业务的信息披露</w:t>
      </w:r>
    </w:p>
    <w:p w14:paraId="70BF33A0"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基金管理人应在季度报告、中期报告、年度报告等定期报告和招募说明书（更新）等文件中披露参与转融通证券出借业务交易的情况，包括投资策略、业务开</w:t>
      </w:r>
      <w:r>
        <w:rPr>
          <w:rStyle w:val="custom"/>
          <w:rFonts w:ascii="宋体" w:hAnsi="宋体" w:cs="宋体"/>
          <w:kern w:val="0"/>
          <w:sz w:val="24"/>
          <w:szCs w:val="24"/>
        </w:rPr>
        <w:lastRenderedPageBreak/>
        <w:t>展情况、损益情况、风险及管理情况，并就报告期内本基金参与转融通证券出借业务发生的重大关联交易事项做详细说明。</w:t>
      </w:r>
    </w:p>
    <w:p w14:paraId="722C7F87"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（十七）投资港股通标的股票的信息披露</w:t>
      </w:r>
    </w:p>
    <w:p w14:paraId="3025485E"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基金管理人应在季度报告、中期报告、年度报告等定期报告和招募说明书（更新）等文件中披露港股通交易的相关情况。</w:t>
      </w:r>
    </w:p>
    <w:p w14:paraId="21560E6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实施侧袋机制期间的信息披露</w:t>
      </w:r>
    </w:p>
    <w:p w14:paraId="7D732722"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本基金实施侧袋机制的，相关信息披露义务人应当根据法律法规、基金合同和招募说明书的规定进行信息披露，详见招募说明书的规定。</w:t>
      </w:r>
    </w:p>
    <w:p w14:paraId="45B1398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中国证监会规定的其他信息。</w:t>
      </w:r>
    </w:p>
    <w:p w14:paraId="3AF841AA"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14:paraId="60FBDFE3"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39C8EC1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6C162C62"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法律法规规定、中国证监会或《基金合同》认定的其他情形。</w:t>
      </w:r>
    </w:p>
    <w:p w14:paraId="29B1996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1D55AF66"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7B36A66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7A99DEA1"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7BFECF61"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966B70B"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w:t>
      </w:r>
      <w:r>
        <w:rPr>
          <w:rStyle w:val="custom"/>
          <w:rFonts w:ascii="宋体" w:hAnsi="宋体" w:cs="宋体"/>
          <w:kern w:val="0"/>
          <w:sz w:val="24"/>
          <w:szCs w:val="24"/>
        </w:rPr>
        <w:lastRenderedPageBreak/>
        <w:t>在其他公共媒介披露信息，但是其他公共媒介不得早于规定媒介披露信息，并且在不同媒介上披露同一信息的内容应当一致。</w:t>
      </w:r>
    </w:p>
    <w:p w14:paraId="7489161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A22066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165CED0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05FEA55A" w14:textId="77777777" w:rsidR="00A71A93" w:rsidRDefault="009713AD">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14:paraId="151A25D2" w14:textId="77777777" w:rsidR="009D63C8" w:rsidRDefault="009713AD" w:rsidP="009E26D0">
      <w:pPr>
        <w:pStyle w:val="1"/>
        <w:spacing w:before="0" w:after="0"/>
        <w:jc w:val="center"/>
        <w:rPr>
          <w:rFonts w:ascii="Times New Roman"/>
          <w:color w:val="auto"/>
          <w:sz w:val="30"/>
        </w:rPr>
      </w:pPr>
      <w:bookmarkStart w:id="63" w:name="_Toc25600001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63"/>
    </w:p>
    <w:p w14:paraId="27299EA4" w14:textId="77777777" w:rsidR="007A2B34" w:rsidRPr="0017353E" w:rsidRDefault="007A2B34" w:rsidP="0090469D"/>
    <w:p w14:paraId="02B7B9A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5D59AE0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476408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关于《基金合同》变更的基金份额持有人大会决议自生效后方可执行，自决议生效后两日内在规定媒介公告。</w:t>
      </w:r>
    </w:p>
    <w:p w14:paraId="579545F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14:paraId="14A9076B"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338E57A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76C696CF"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3B9472EB" w14:textId="77777777" w:rsidR="00A71A93" w:rsidRDefault="009713A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909749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0ACBA3A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4152C1E5"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1EE541D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14:paraId="5C1A975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32BAE3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3DC7E2ED"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基金财产清算程序：</w:t>
      </w:r>
    </w:p>
    <w:p w14:paraId="3859819B"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5CCDEA2E"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对基金财产和债权债务进行清理和确认；</w:t>
      </w:r>
    </w:p>
    <w:p w14:paraId="629DBC81"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14:paraId="585579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制作清算报告；</w:t>
      </w:r>
    </w:p>
    <w:p w14:paraId="62317E7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1FCE3B6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14:paraId="45C9CEE3"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14:paraId="6A12A697"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14:paraId="688DDDAC"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257E0220"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6E245C04"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03EAEFDB" w14:textId="433F866D" w:rsidR="00A71A93" w:rsidRDefault="009713AD">
      <w:pPr>
        <w:pStyle w:val="div"/>
        <w:spacing w:line="360" w:lineRule="auto"/>
        <w:ind w:firstLine="42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7714D7BD" w14:textId="6FEB8D61" w:rsidR="000B3100" w:rsidRDefault="000B3100">
      <w:pPr>
        <w:pStyle w:val="div"/>
        <w:spacing w:line="360" w:lineRule="auto"/>
        <w:ind w:firstLine="42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bookmarkStart w:id="64" w:name="_Hlk218688952"/>
      <w:r>
        <w:rPr>
          <w:rFonts w:hint="eastAsia"/>
          <w:bCs/>
          <w:sz w:val="24"/>
          <w:lang w:bidi="en-US"/>
        </w:rPr>
        <w:t>C</w:t>
      </w:r>
      <w:r>
        <w:rPr>
          <w:rFonts w:hint="eastAsia"/>
          <w:bCs/>
          <w:sz w:val="24"/>
          <w:lang w:bidi="en-US"/>
        </w:rPr>
        <w:t>类基金份额所计提的销售服务费</w:t>
      </w:r>
      <w:bookmarkEnd w:id="64"/>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bookmarkStart w:id="65"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65"/>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hint="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w:t>
      </w:r>
      <w:r>
        <w:rPr>
          <w:rFonts w:eastAsiaTheme="minorEastAsia"/>
          <w:kern w:val="0"/>
          <w:sz w:val="24"/>
          <w:szCs w:val="24"/>
        </w:rPr>
        <w:t>款</w:t>
      </w:r>
      <w:r w:rsidRPr="00767C2D">
        <w:rPr>
          <w:rFonts w:eastAsiaTheme="minorEastAsia" w:hint="eastAsia"/>
          <w:kern w:val="0"/>
          <w:sz w:val="24"/>
          <w:szCs w:val="24"/>
        </w:rPr>
        <w:t>一并返还给投资者。</w:t>
      </w:r>
    </w:p>
    <w:p w14:paraId="67005556"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12D6A79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FE86CE0"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22A5B47A"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基金财产清算账册及有关文件由基金托管人保存，保存期限不少于法定最低期限。</w:t>
      </w:r>
      <w:r>
        <w:rPr>
          <w:rFonts w:ascii="宋体" w:hAnsi="宋体" w:cs="宋体"/>
          <w:kern w:val="0"/>
          <w:sz w:val="24"/>
          <w:szCs w:val="24"/>
        </w:rPr>
        <w:br w:type="page"/>
      </w:r>
    </w:p>
    <w:p w14:paraId="4A0983C3" w14:textId="77777777" w:rsidR="009D63C8" w:rsidRDefault="009713AD" w:rsidP="009E26D0">
      <w:pPr>
        <w:pStyle w:val="1"/>
        <w:spacing w:before="0" w:after="0"/>
        <w:jc w:val="center"/>
        <w:rPr>
          <w:rFonts w:ascii="Times New Roman"/>
          <w:color w:val="auto"/>
          <w:sz w:val="30"/>
        </w:rPr>
      </w:pPr>
      <w:bookmarkStart w:id="66" w:name="_Toc256000019"/>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违约责任</w:t>
      </w:r>
      <w:bookmarkEnd w:id="66"/>
    </w:p>
    <w:p w14:paraId="6A10A8B4" w14:textId="77777777" w:rsidR="007A2B34" w:rsidRPr="0017353E" w:rsidRDefault="007A2B34" w:rsidP="0090469D"/>
    <w:p w14:paraId="1C24EB91"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4F6DDBE9"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1、不可抗力；</w:t>
      </w:r>
    </w:p>
    <w:p w14:paraId="449A695D"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72C8E7F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3、</w:t>
      </w:r>
      <w:r w:rsidR="00D87B67">
        <w:rPr>
          <w:rFonts w:ascii="宋体" w:hAnsi="宋体" w:cs="宋体"/>
          <w:kern w:val="0"/>
          <w:sz w:val="24"/>
          <w:szCs w:val="24"/>
        </w:rPr>
        <w:t>在没有过错的情况下，</w:t>
      </w:r>
      <w:r>
        <w:rPr>
          <w:rFonts w:ascii="宋体" w:hAnsi="宋体" w:cs="宋体"/>
          <w:kern w:val="0"/>
          <w:sz w:val="24"/>
          <w:szCs w:val="24"/>
        </w:rPr>
        <w:t>基金管理人由于按照《基金合同》规定的投资原则行使或不行使其投资权而造成的损失等。</w:t>
      </w:r>
    </w:p>
    <w:p w14:paraId="20776D4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0A9384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sidR="0022352D" w:rsidRPr="0022352D">
        <w:rPr>
          <w:rFonts w:ascii="宋体" w:hAnsi="宋体" w:cs="宋体" w:hint="eastAsia"/>
          <w:kern w:val="0"/>
          <w:sz w:val="24"/>
          <w:szCs w:val="24"/>
        </w:rPr>
        <w:t>或未能避免错误发生</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16E1E28D" w14:textId="77777777" w:rsidR="009D63C8" w:rsidRDefault="009713AD" w:rsidP="009E26D0">
      <w:pPr>
        <w:pStyle w:val="1"/>
        <w:spacing w:before="0" w:after="0"/>
        <w:jc w:val="center"/>
        <w:rPr>
          <w:rFonts w:ascii="Times New Roman"/>
          <w:color w:val="auto"/>
          <w:sz w:val="30"/>
        </w:rPr>
      </w:pPr>
      <w:bookmarkStart w:id="67" w:name="_Toc256000020"/>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争议的处理和适用的法律</w:t>
      </w:r>
      <w:bookmarkEnd w:id="67"/>
    </w:p>
    <w:p w14:paraId="72BD095F" w14:textId="77777777" w:rsidR="007A2B34" w:rsidRPr="0017353E" w:rsidRDefault="007A2B34" w:rsidP="0090469D"/>
    <w:p w14:paraId="591D6CA8"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sidR="00BC1B69" w:rsidRPr="00A71FF8">
        <w:rPr>
          <w:rFonts w:hint="eastAsia"/>
          <w:bCs/>
          <w:sz w:val="24"/>
        </w:rPr>
        <w:t>中国国际经济贸易仲裁委员会</w:t>
      </w:r>
      <w:r>
        <w:rPr>
          <w:rFonts w:ascii="宋体" w:hAnsi="宋体" w:cs="宋体"/>
          <w:kern w:val="0"/>
          <w:sz w:val="24"/>
          <w:szCs w:val="24"/>
        </w:rPr>
        <w:t>，按照其届时有效的仲裁规则进行仲裁，仲裁地点为</w:t>
      </w:r>
      <w:r w:rsidR="00BC1B69">
        <w:rPr>
          <w:rFonts w:ascii="宋体" w:hAnsi="宋体" w:cs="宋体" w:hint="eastAsia"/>
          <w:kern w:val="0"/>
          <w:sz w:val="24"/>
          <w:szCs w:val="24"/>
        </w:rPr>
        <w:t>北京市</w:t>
      </w:r>
      <w:r>
        <w:rPr>
          <w:rFonts w:ascii="宋体" w:hAnsi="宋体" w:cs="宋体"/>
          <w:kern w:val="0"/>
          <w:sz w:val="24"/>
          <w:szCs w:val="24"/>
        </w:rPr>
        <w:t>。仲裁裁决是终局的，对各方当事人均有约束力，除非仲裁裁决另有决定，仲裁费用由败诉方承担。</w:t>
      </w:r>
    </w:p>
    <w:p w14:paraId="58DE5FA4"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66080505"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5CB586FA" w14:textId="77777777" w:rsidR="009D63C8" w:rsidRDefault="009713AD" w:rsidP="009E26D0">
      <w:pPr>
        <w:pStyle w:val="1"/>
        <w:spacing w:before="0" w:after="0"/>
        <w:jc w:val="center"/>
        <w:rPr>
          <w:rFonts w:ascii="Times New Roman"/>
          <w:color w:val="auto"/>
          <w:sz w:val="30"/>
        </w:rPr>
      </w:pPr>
      <w:bookmarkStart w:id="68"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基金合同的效力</w:t>
      </w:r>
      <w:bookmarkEnd w:id="68"/>
    </w:p>
    <w:p w14:paraId="3B080FD2" w14:textId="77777777" w:rsidR="007A2B34" w:rsidRPr="0017353E" w:rsidRDefault="007A2B34" w:rsidP="0090469D"/>
    <w:p w14:paraId="3F53AD73"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0831FD88" w14:textId="77777777" w:rsidR="00A71A93" w:rsidRDefault="009713AD">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00D7FB57"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78D1DD2B"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261EAD0A"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01E125BD" w14:textId="77777777" w:rsidR="00A71A93" w:rsidRDefault="009713AD">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3571739E" w14:textId="77777777" w:rsidR="009D63C8" w:rsidRDefault="009713AD" w:rsidP="009E26D0">
      <w:pPr>
        <w:pStyle w:val="1"/>
        <w:spacing w:before="0" w:after="0"/>
        <w:jc w:val="center"/>
        <w:rPr>
          <w:rFonts w:ascii="Times New Roman"/>
          <w:color w:val="auto"/>
          <w:sz w:val="30"/>
        </w:rPr>
      </w:pPr>
      <w:bookmarkStart w:id="69"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其他事项</w:t>
      </w:r>
      <w:bookmarkEnd w:id="69"/>
    </w:p>
    <w:p w14:paraId="5C6D3177" w14:textId="77777777" w:rsidR="007A2B34" w:rsidRPr="0017353E" w:rsidRDefault="007A2B34" w:rsidP="0090469D"/>
    <w:p w14:paraId="640F947F" w14:textId="77777777" w:rsidR="00A71A93" w:rsidRDefault="009713AD">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44C0A60D" w14:textId="77777777" w:rsidR="009D63C8" w:rsidRDefault="009713AD" w:rsidP="009E26D0">
      <w:pPr>
        <w:pStyle w:val="1"/>
        <w:spacing w:before="0" w:after="0"/>
        <w:jc w:val="center"/>
        <w:rPr>
          <w:rFonts w:ascii="Times New Roman"/>
          <w:color w:val="auto"/>
          <w:sz w:val="30"/>
        </w:rPr>
      </w:pPr>
      <w:bookmarkStart w:id="70" w:name="_Toc256000023"/>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基金合同内容摘要</w:t>
      </w:r>
      <w:bookmarkEnd w:id="70"/>
      <w:r>
        <w:rPr>
          <w:rFonts w:ascii="Times New Roman"/>
          <w:color w:val="auto"/>
          <w:sz w:val="30"/>
        </w:rPr>
        <w:br/>
      </w:r>
    </w:p>
    <w:p w14:paraId="2DAF195D"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316CDA0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37F619B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77443D2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0FEB785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57751DE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43087DB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37CB665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1121EC6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5D77DCC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5A5C92B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2C75053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2056ED0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41D0B0D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7E1BF20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1120E7E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（13）在法律法规允许的前提下，为基金的利益依法为基金进行融资及转融通证券出借业务；</w:t>
      </w:r>
    </w:p>
    <w:p w14:paraId="366DA8B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27EF455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2144A713"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61CA56C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14:paraId="2A6FBFB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14:paraId="1C1AF53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513E5D7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60940B7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2A89F79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09ECC17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5AC5AE2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6CB68DB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3267A23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4CC7C24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2674AF2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6571309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426198C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352FADB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0127222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5555737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14:paraId="4A3B01B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54BD568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7EACF70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C8D585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65825C5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551E516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07267CD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6A8F3CE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142182F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64A9943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w:t>
      </w:r>
      <w:r>
        <w:rPr>
          <w:rFonts w:ascii="宋体" w:hAnsi="宋体" w:cs="宋体"/>
          <w:kern w:val="0"/>
          <w:sz w:val="24"/>
          <w:szCs w:val="24"/>
        </w:rPr>
        <w:lastRenderedPageBreak/>
        <w:t>款利息在基金募集期结束后30日内退还基金认购人；</w:t>
      </w:r>
    </w:p>
    <w:p w14:paraId="58A8106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（25）执行生效的基金份额持有人大会的决议；</w:t>
      </w:r>
    </w:p>
    <w:p w14:paraId="428ABE2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5FAE8E0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14:paraId="468A850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4B1ED82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795826B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（1）自《基金合同》生效之日起，依法律法规和《基金合同》的规定安全保管基金财产；</w:t>
      </w:r>
    </w:p>
    <w:p w14:paraId="45D30C2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4C8733B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9D83970"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（4）根据相关市场规则，为基金开设资金账户、证券账户等投资所需账户，为基金办理证券、期货交易资金清算；</w:t>
      </w:r>
    </w:p>
    <w:p w14:paraId="772079D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33EF2C8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798D42B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14:paraId="3B462FD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0EA71E0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3C36FBB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2463257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AA0665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w:t>
      </w:r>
      <w:r>
        <w:rPr>
          <w:rFonts w:ascii="宋体" w:hAnsi="宋体" w:cs="宋体"/>
          <w:kern w:val="0"/>
          <w:sz w:val="24"/>
          <w:szCs w:val="24"/>
        </w:rPr>
        <w:lastRenderedPageBreak/>
        <w:t>财产为自己及任何第三人谋取利益，不得委托第三人托管基金财产；</w:t>
      </w:r>
    </w:p>
    <w:p w14:paraId="468244C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（5）保管由基金管理人代表基金签订的与基金有关的重大合同及有关凭证；</w:t>
      </w:r>
    </w:p>
    <w:p w14:paraId="0E969E0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（6）按规定开设基金财产的资金账户、证券账户等投资所需账户，按照《基金合同》的约定，根据基金管理人的投资指令，及时办理清算、交割事宜；</w:t>
      </w:r>
    </w:p>
    <w:p w14:paraId="433A454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2D812FA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14:paraId="500DF89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43070B1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041D88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791BDAE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（12）从基金管理人或其委托的登记机构处接收并保存基金份额持有人名册；</w:t>
      </w:r>
    </w:p>
    <w:p w14:paraId="3CAA9EE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789FB07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14:paraId="2141417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5F7A08E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67B3DA4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79CAED7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（18）面临解散、依法被撤销或者被依法宣告破产时，及时报告中国证监会和银行业监督管理机构，并通知基金管理人；</w:t>
      </w:r>
    </w:p>
    <w:p w14:paraId="790546E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14:paraId="5A7EB14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496335F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7E1A7B1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14:paraId="58F198F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47872E8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811AEB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4969687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6BDA8FD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3ACC7AA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5189386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1845669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397D77E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1D6E034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14:paraId="2081A32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14:paraId="285BC9A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6454135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14:paraId="0877AEC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2、根据《基金法》、《运作办法》及其他有关规定，基金份额持有人的义务包括但不限于：</w:t>
      </w:r>
    </w:p>
    <w:p w14:paraId="7277DF0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7BB4033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43ECD9A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7066D92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14:paraId="34A6505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6B64EE0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1A0D376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0813136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5EDC3DF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42422DF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7FEADCA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702111FE"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3FBC372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329DCDE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6AF204B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61ABD7D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18843A9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23C83A0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5367C8F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4F96313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（4）转换基金运作方式；</w:t>
      </w:r>
    </w:p>
    <w:p w14:paraId="4FEB7B6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（5）调整基金管理人、基金托管人的报酬标准或提高销售服务费率；</w:t>
      </w:r>
    </w:p>
    <w:p w14:paraId="17EADA0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（6）变更基金类别；</w:t>
      </w:r>
    </w:p>
    <w:p w14:paraId="27BAA7F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3ECB7B4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1F4497D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2581555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6DB4B73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48E5781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263C224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14:paraId="6BFBF28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3B94251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14:paraId="3D5FF3E5" w14:textId="6EBB5439" w:rsidR="000A052A" w:rsidRDefault="009713AD">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14:paraId="251C5A6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（3）增加、减少或调整基金份额类别设置或者调整基金份额分类办法及规则等；</w:t>
      </w:r>
    </w:p>
    <w:p w14:paraId="4BC5F75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（4）因相应的法律法规发生变动而应当对《基金合同》进行修改；</w:t>
      </w:r>
    </w:p>
    <w:p w14:paraId="04ADB19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168305E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3B859DF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（7）在履行适当程序后，基金推出新业务或服务；</w:t>
      </w:r>
    </w:p>
    <w:p w14:paraId="100B12E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（8）按照法律法规和《基金合同》规定不需召开基金份额持有人大会的其他情形。</w:t>
      </w:r>
    </w:p>
    <w:p w14:paraId="13E03A6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14:paraId="1C2C394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679E792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2、基金管理人未按规定召集或不能召集时，由基金托管人召集。</w:t>
      </w:r>
    </w:p>
    <w:p w14:paraId="459A28D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61D232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6DB979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152792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23FFBBF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24D9EB6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5728F35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（1）会议召开的时间、地点和会议形式；</w:t>
      </w:r>
    </w:p>
    <w:p w14:paraId="590BFC1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（2）会议拟审议的事项、议事程序和表决方式；</w:t>
      </w:r>
    </w:p>
    <w:p w14:paraId="3BD1D92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7C84000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（4）授权委托证明的内容要求（包括但不限于代理人身份，代理权限和代理有效期限等）、送达时间和地点；</w:t>
      </w:r>
    </w:p>
    <w:p w14:paraId="6F03325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14:paraId="68AE126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14:paraId="7906116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14:paraId="78D6778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6B4717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37128E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073B4E3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09341FB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B2A9B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25CEA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w:t>
      </w:r>
      <w:r>
        <w:rPr>
          <w:rFonts w:ascii="宋体" w:hAnsi="宋体" w:cs="宋体"/>
          <w:kern w:val="0"/>
          <w:sz w:val="24"/>
          <w:szCs w:val="24"/>
        </w:rPr>
        <w:lastRenderedPageBreak/>
        <w:t>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976FD6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14E4D6C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2A1143A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735D149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4EBC42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73D15AE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4198E2A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w:t>
      </w:r>
      <w:r>
        <w:rPr>
          <w:rFonts w:ascii="宋体" w:hAnsi="宋体" w:cs="宋体"/>
          <w:kern w:val="0"/>
          <w:sz w:val="24"/>
          <w:szCs w:val="24"/>
        </w:rPr>
        <w:lastRenderedPageBreak/>
        <w:t>有人大会，或者采用网络、电话、短信或其他方式授权他人代为出席会议并表决，会议程序比照现场开会和通讯方式开会的程序进行。</w:t>
      </w:r>
    </w:p>
    <w:p w14:paraId="213BE40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14:paraId="11A7C5B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14:paraId="6C581FB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BC6B350"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60D9BE2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1C5FEF6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2、议事程序</w:t>
      </w:r>
    </w:p>
    <w:p w14:paraId="2770F09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32CB332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06627D">
        <w:rPr>
          <w:rFonts w:ascii="宋体" w:hAnsi="宋体" w:cs="宋体" w:hint="eastAsia"/>
          <w:kern w:val="0"/>
          <w:sz w:val="24"/>
          <w:szCs w:val="24"/>
        </w:rPr>
        <w:t>（</w:t>
      </w:r>
      <w:r>
        <w:rPr>
          <w:rFonts w:ascii="宋体" w:hAnsi="宋体" w:cs="宋体"/>
          <w:kern w:val="0"/>
          <w:sz w:val="24"/>
          <w:szCs w:val="24"/>
        </w:rPr>
        <w:t>七</w:t>
      </w:r>
      <w:r w:rsidR="0006627D">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3875B4D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6A7378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280A225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27D342F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（六）表决</w:t>
      </w:r>
    </w:p>
    <w:p w14:paraId="6EBCA06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基金份额持有人所持每份基金份额有一票表决权。</w:t>
      </w:r>
    </w:p>
    <w:p w14:paraId="55632CE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58BE292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23CABF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3C9DAF1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除《基金合同》另有约定外，转换基金运作方式、更换基金管理人或者基金托管人、终止《基金合同》、本基金与其他基金合并以特别决议通过方为有效。</w:t>
      </w:r>
    </w:p>
    <w:p w14:paraId="08530470"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73DDF28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4AF48C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73885C8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（七）计票</w:t>
      </w:r>
    </w:p>
    <w:p w14:paraId="515182A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3F0E06B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1824E10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59DA23C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09C9A9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32E4276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75C8F80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39E1162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0B1C2473"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51AF056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4270028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5E1E16B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35B29C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（九）实施侧袋机制期间基金份额持有人大会的特殊约定</w:t>
      </w:r>
    </w:p>
    <w:p w14:paraId="1B5D837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D89487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1、基金份额持有人行使提议权、召集权、提名权所需单独或合计代表相关基金份额10%以上（含10%）；</w:t>
      </w:r>
    </w:p>
    <w:p w14:paraId="46ADEE1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2、现场开会的到会者在权益登记日代表的基金份额不少于本基金在权益登</w:t>
      </w:r>
      <w:r>
        <w:rPr>
          <w:rFonts w:ascii="宋体" w:hAnsi="宋体" w:cs="宋体"/>
          <w:kern w:val="0"/>
          <w:sz w:val="24"/>
          <w:szCs w:val="24"/>
        </w:rPr>
        <w:lastRenderedPageBreak/>
        <w:t>记日相关基金份额的二分之一（含二分之一）；</w:t>
      </w:r>
    </w:p>
    <w:p w14:paraId="199317A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3、通讯开会的直接出具书面意见或授权他人代表出具书面意见的基金份额持有人所持有的基金份额不小于在权益登记日相关基金份额的二分之一（含二分之一）；</w:t>
      </w:r>
    </w:p>
    <w:p w14:paraId="3AFF702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47F80F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5A84091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165D33B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10949E3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同一主侧袋账户内的每份基金份额具有平等的表决权。</w:t>
      </w:r>
    </w:p>
    <w:p w14:paraId="30873F9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4F9F2486"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27490A0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3811ED0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22C0155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3E00847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34E7012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1D2518C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1、在符合有关基金分红条件的前提下，本基金可进行基金收益分配，若《基金合同》生效不满3个月可不进行收益分配；</w:t>
      </w:r>
    </w:p>
    <w:p w14:paraId="333466A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7C53F99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3、基金管理人可对基金相对业绩比较基准的超额收益率和/或基金的可供分配利润进行评价，当收益评价日核定的超额收益率或者基金可供分配利润金额大于零时，基金管理人可进行收益分配；</w:t>
      </w:r>
    </w:p>
    <w:p w14:paraId="3C9C55D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当基金收益分配根据基金相对业绩比较基准的超额收益率决定时，基于本基金的特点，本基金收益分配无需以弥补亏损为前提，收益分配后各类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5496673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5、同一类别内每一基金份额享有同等分配权；</w:t>
      </w:r>
    </w:p>
    <w:p w14:paraId="290336E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7B5CED3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在不违反法律法规且对基金份额持有人利益无实质性不利影响的前提下，基金管理人在与基金托管人协商一致后，经履行适当程序，可对基金收益分配原则进行调整，无需召开基金份额持有人大会。</w:t>
      </w:r>
    </w:p>
    <w:p w14:paraId="3704450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39D8B0F3"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490935D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0163519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5A3E21E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1CA7E4D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w:t>
      </w:r>
      <w:r>
        <w:rPr>
          <w:rFonts w:ascii="宋体" w:hAnsi="宋体" w:cs="宋体"/>
          <w:kern w:val="0"/>
          <w:sz w:val="24"/>
          <w:szCs w:val="24"/>
        </w:rPr>
        <w:lastRenderedPageBreak/>
        <w:t>资的计算方法，依照《业务规则》执行。</w:t>
      </w:r>
    </w:p>
    <w:p w14:paraId="7003522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（七）实施侧袋机制期间的收益分配</w:t>
      </w:r>
    </w:p>
    <w:p w14:paraId="4A730BD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p>
    <w:p w14:paraId="3A9A0C26"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42D0EDD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64420BE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54CE935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13F7AAA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3、销售服务费；</w:t>
      </w:r>
    </w:p>
    <w:p w14:paraId="1F5AA30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4、《基金合同》生效后与基金相关的信息披露费用（但法律法规、中国证监会另有规定的除外）；</w:t>
      </w:r>
    </w:p>
    <w:p w14:paraId="732D45F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14:paraId="2AE3042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6、基金份额持有人大会费用；</w:t>
      </w:r>
    </w:p>
    <w:p w14:paraId="6224298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7、基金的证券、期货等交易费用；</w:t>
      </w:r>
    </w:p>
    <w:p w14:paraId="205B2C6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14:paraId="64C3B3B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14:paraId="42D1C80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10、因投资港股通标的股票而产生的各项合理费用；</w:t>
      </w:r>
    </w:p>
    <w:p w14:paraId="04F35A8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06E4F0C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17F5757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3EA8C733"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本基金的管理费按前一日基金资产净值的0.80%年费率计提。管理费的计算方法如下：</w:t>
      </w:r>
    </w:p>
    <w:p w14:paraId="6BEECF5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H＝E×0.80%÷当年天数</w:t>
      </w:r>
    </w:p>
    <w:p w14:paraId="4395E27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681E251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67816A6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等，支付日期顺延。费用自动扣划后，</w:t>
      </w:r>
      <w:r w:rsidR="00B54885">
        <w:rPr>
          <w:rFonts w:ascii="宋体" w:hAnsi="宋体" w:cs="宋体" w:hint="eastAsia"/>
          <w:kern w:val="0"/>
          <w:sz w:val="24"/>
          <w:szCs w:val="24"/>
        </w:rPr>
        <w:t>基金</w:t>
      </w:r>
      <w:r>
        <w:rPr>
          <w:rFonts w:ascii="宋体" w:hAnsi="宋体" w:cs="宋体"/>
          <w:kern w:val="0"/>
          <w:sz w:val="24"/>
          <w:szCs w:val="24"/>
        </w:rPr>
        <w:t>管理人应进行核对，如发现数据不符，及</w:t>
      </w:r>
      <w:r>
        <w:rPr>
          <w:rFonts w:ascii="宋体" w:hAnsi="宋体" w:cs="宋体"/>
          <w:kern w:val="0"/>
          <w:sz w:val="24"/>
          <w:szCs w:val="24"/>
        </w:rPr>
        <w:lastRenderedPageBreak/>
        <w:t>时联系</w:t>
      </w:r>
      <w:r w:rsidR="00B54885">
        <w:rPr>
          <w:rFonts w:ascii="宋体" w:hAnsi="宋体" w:cs="宋体" w:hint="eastAsia"/>
          <w:kern w:val="0"/>
          <w:sz w:val="24"/>
          <w:szCs w:val="24"/>
        </w:rPr>
        <w:t>基金</w:t>
      </w:r>
      <w:r>
        <w:rPr>
          <w:rFonts w:ascii="宋体" w:hAnsi="宋体" w:cs="宋体"/>
          <w:kern w:val="0"/>
          <w:sz w:val="24"/>
          <w:szCs w:val="24"/>
        </w:rPr>
        <w:t>托管人协商解决。</w:t>
      </w:r>
    </w:p>
    <w:p w14:paraId="6ADBA7B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07BEF1F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本基金的托管费按前一日基金资产净值的0.15%的年费率计提。托管费的计算方法如下：</w:t>
      </w:r>
    </w:p>
    <w:p w14:paraId="4354CD8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H＝E×0.15%÷当年天数</w:t>
      </w:r>
    </w:p>
    <w:p w14:paraId="275D43C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3FFE08A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0F9FB77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等，支付日期顺延。费用自动扣划后，</w:t>
      </w:r>
      <w:r w:rsidR="00B54885">
        <w:rPr>
          <w:rFonts w:ascii="宋体" w:hAnsi="宋体" w:cs="宋体" w:hint="eastAsia"/>
          <w:kern w:val="0"/>
          <w:sz w:val="24"/>
          <w:szCs w:val="24"/>
        </w:rPr>
        <w:t>基金</w:t>
      </w:r>
      <w:r>
        <w:rPr>
          <w:rFonts w:ascii="宋体" w:hAnsi="宋体" w:cs="宋体"/>
          <w:kern w:val="0"/>
          <w:sz w:val="24"/>
          <w:szCs w:val="24"/>
        </w:rPr>
        <w:t>管理人应进行核对，如发现数据不符，及时联系</w:t>
      </w:r>
      <w:r w:rsidR="00B54885">
        <w:rPr>
          <w:rFonts w:ascii="宋体" w:hAnsi="宋体" w:cs="宋体" w:hint="eastAsia"/>
          <w:kern w:val="0"/>
          <w:sz w:val="24"/>
          <w:szCs w:val="24"/>
        </w:rPr>
        <w:t>基金</w:t>
      </w:r>
      <w:r>
        <w:rPr>
          <w:rFonts w:ascii="宋体" w:hAnsi="宋体" w:cs="宋体"/>
          <w:kern w:val="0"/>
          <w:sz w:val="24"/>
          <w:szCs w:val="24"/>
        </w:rPr>
        <w:t>托管人协商解决。</w:t>
      </w:r>
    </w:p>
    <w:p w14:paraId="7D4DB87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3、销售服务费</w:t>
      </w:r>
    </w:p>
    <w:p w14:paraId="29AB0A45" w14:textId="77119004"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本基金A类基金份额不收取销售服务费，C类基金份额的销售服务费年费率为0.</w:t>
      </w:r>
      <w:r w:rsidR="00736C1C">
        <w:rPr>
          <w:rFonts w:ascii="宋体" w:hAnsi="宋体" w:cs="宋体"/>
          <w:kern w:val="0"/>
          <w:sz w:val="24"/>
          <w:szCs w:val="24"/>
        </w:rPr>
        <w:t>20</w:t>
      </w:r>
      <w:r>
        <w:rPr>
          <w:rFonts w:ascii="宋体" w:hAnsi="宋体" w:cs="宋体"/>
          <w:kern w:val="0"/>
          <w:sz w:val="24"/>
          <w:szCs w:val="24"/>
        </w:rPr>
        <w:t>%。</w:t>
      </w:r>
    </w:p>
    <w:p w14:paraId="21B5CCE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计算方法如下：</w:t>
      </w:r>
    </w:p>
    <w:p w14:paraId="5682EA4C" w14:textId="1A486AF1" w:rsidR="000A052A" w:rsidRDefault="009713AD">
      <w:pPr>
        <w:spacing w:line="360" w:lineRule="auto"/>
        <w:ind w:firstLine="480"/>
        <w:rPr>
          <w:rFonts w:eastAsia="Times New Roman"/>
          <w:kern w:val="0"/>
          <w:sz w:val="24"/>
          <w:szCs w:val="24"/>
        </w:rPr>
      </w:pPr>
      <w:r>
        <w:rPr>
          <w:rFonts w:ascii="宋体" w:hAnsi="宋体" w:cs="宋体"/>
          <w:kern w:val="0"/>
          <w:sz w:val="24"/>
          <w:szCs w:val="24"/>
        </w:rPr>
        <w:t>H＝E×0.</w:t>
      </w:r>
      <w:r w:rsidR="00736C1C">
        <w:rPr>
          <w:rFonts w:ascii="宋体" w:hAnsi="宋体" w:cs="宋体"/>
          <w:kern w:val="0"/>
          <w:sz w:val="24"/>
          <w:szCs w:val="24"/>
        </w:rPr>
        <w:t>20</w:t>
      </w:r>
      <w:r>
        <w:rPr>
          <w:rFonts w:ascii="宋体" w:hAnsi="宋体" w:cs="宋体"/>
          <w:kern w:val="0"/>
          <w:sz w:val="24"/>
          <w:szCs w:val="24"/>
        </w:rPr>
        <w:t>%÷当年天数</w:t>
      </w:r>
    </w:p>
    <w:p w14:paraId="776355C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14:paraId="38DE89E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14:paraId="4C5D8896" w14:textId="56212625" w:rsidR="000A052A" w:rsidRDefault="009713AD">
      <w:pPr>
        <w:spacing w:line="360" w:lineRule="auto"/>
        <w:ind w:firstLine="480"/>
        <w:rPr>
          <w:rFonts w:ascii="宋体" w:hAnsi="宋体" w:cs="宋体"/>
          <w:kern w:val="0"/>
          <w:sz w:val="24"/>
          <w:szCs w:val="24"/>
        </w:rPr>
      </w:pPr>
      <w:r>
        <w:rPr>
          <w:rFonts w:ascii="宋体" w:hAnsi="宋体" w:cs="宋体"/>
          <w:kern w:val="0"/>
          <w:sz w:val="24"/>
          <w:szCs w:val="24"/>
        </w:rPr>
        <w:t>销售服务费每日计提，逐日累计至每月月末，按月支付</w:t>
      </w:r>
      <w:r w:rsidR="00736C1C">
        <w:rPr>
          <w:rStyle w:val="custom"/>
          <w:rFonts w:ascii="宋体" w:hAnsi="宋体" w:cs="宋体" w:hint="eastAsia"/>
          <w:kern w:val="0"/>
          <w:sz w:val="24"/>
          <w:szCs w:val="24"/>
        </w:rPr>
        <w:t>。</w:t>
      </w:r>
      <w:r w:rsidR="00736C1C">
        <w:rPr>
          <w:rFonts w:hint="eastAsia"/>
          <w:bCs/>
          <w:sz w:val="24"/>
        </w:rPr>
        <w:t>对于确认为基金财产支付的销售服务费</w:t>
      </w:r>
      <w:r>
        <w:rPr>
          <w:rFonts w:ascii="宋体" w:hAnsi="宋体" w:cs="宋体"/>
          <w:kern w:val="0"/>
          <w:sz w:val="24"/>
          <w:szCs w:val="24"/>
        </w:rPr>
        <w:t>，经基金管理人与基金托管人双方核对无误后，自动在次月初五个工作日内、按照指定的账户路径进行资金支付，基金管理人无需再出具资金划拨指令。若遇法定节假日、休息日等，支付日期顺延。费用自动扣划后，</w:t>
      </w:r>
      <w:r w:rsidR="00EE12C1">
        <w:rPr>
          <w:rFonts w:ascii="宋体" w:hAnsi="宋体" w:cs="宋体" w:hint="eastAsia"/>
          <w:kern w:val="0"/>
          <w:sz w:val="24"/>
          <w:szCs w:val="24"/>
        </w:rPr>
        <w:t>基金</w:t>
      </w:r>
      <w:r>
        <w:rPr>
          <w:rFonts w:ascii="宋体" w:hAnsi="宋体" w:cs="宋体"/>
          <w:kern w:val="0"/>
          <w:sz w:val="24"/>
          <w:szCs w:val="24"/>
        </w:rPr>
        <w:t>管理人应进行核对，如发现数据不符，及时联系</w:t>
      </w:r>
      <w:r w:rsidR="00EE12C1">
        <w:rPr>
          <w:rFonts w:ascii="宋体" w:hAnsi="宋体" w:cs="宋体" w:hint="eastAsia"/>
          <w:kern w:val="0"/>
          <w:sz w:val="24"/>
          <w:szCs w:val="24"/>
        </w:rPr>
        <w:t>基金</w:t>
      </w:r>
      <w:r>
        <w:rPr>
          <w:rFonts w:ascii="宋体" w:hAnsi="宋体" w:cs="宋体"/>
          <w:kern w:val="0"/>
          <w:sz w:val="24"/>
          <w:szCs w:val="24"/>
        </w:rPr>
        <w:t>托管人协商解决。</w:t>
      </w:r>
    </w:p>
    <w:p w14:paraId="50C12D23" w14:textId="1723C46E" w:rsidR="00736C1C" w:rsidRDefault="00736C1C">
      <w:pPr>
        <w:spacing w:line="360" w:lineRule="auto"/>
        <w:ind w:firstLine="480"/>
        <w:rPr>
          <w:rFonts w:eastAsia="Times New Roman"/>
          <w:kern w:val="0"/>
          <w:sz w:val="24"/>
          <w:szCs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以后继续计提</w:t>
      </w:r>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p>
    <w:p w14:paraId="3B4DAD4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上述“</w:t>
      </w:r>
      <w:r w:rsidR="0006627D">
        <w:rPr>
          <w:rFonts w:ascii="宋体" w:hAnsi="宋体" w:cs="宋体" w:hint="eastAsia"/>
          <w:kern w:val="0"/>
          <w:sz w:val="24"/>
          <w:szCs w:val="24"/>
        </w:rPr>
        <w:t>（</w:t>
      </w:r>
      <w:r w:rsidR="0006627D">
        <w:rPr>
          <w:rFonts w:ascii="宋体" w:hAnsi="宋体" w:cs="宋体"/>
          <w:kern w:val="0"/>
          <w:sz w:val="24"/>
          <w:szCs w:val="24"/>
        </w:rPr>
        <w:t>一</w:t>
      </w:r>
      <w:r w:rsidR="0006627D">
        <w:rPr>
          <w:rFonts w:ascii="宋体" w:hAnsi="宋体" w:cs="宋体" w:hint="eastAsia"/>
          <w:kern w:val="0"/>
          <w:sz w:val="24"/>
          <w:szCs w:val="24"/>
        </w:rPr>
        <w:t>）</w:t>
      </w:r>
      <w:r>
        <w:rPr>
          <w:rFonts w:ascii="宋体" w:hAnsi="宋体" w:cs="宋体"/>
          <w:kern w:val="0"/>
          <w:sz w:val="24"/>
          <w:szCs w:val="24"/>
        </w:rPr>
        <w:t>基金费用的种类”中第4－11项费用，根据有关法规及相应协</w:t>
      </w:r>
      <w:r>
        <w:rPr>
          <w:rFonts w:ascii="宋体" w:hAnsi="宋体" w:cs="宋体"/>
          <w:kern w:val="0"/>
          <w:sz w:val="24"/>
          <w:szCs w:val="24"/>
        </w:rPr>
        <w:lastRenderedPageBreak/>
        <w:t>议规定，按费用实际支出金额列入当期费用，由基金托管人从基金财产中支付。</w:t>
      </w:r>
    </w:p>
    <w:p w14:paraId="2DFD148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（三）不列入基金费用的项目</w:t>
      </w:r>
    </w:p>
    <w:p w14:paraId="610A089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58F8588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4A6829E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191D338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3、《基金合同》生效前的相关费用；</w:t>
      </w:r>
    </w:p>
    <w:p w14:paraId="104D9D8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4、基金的指数许可使用费（该费用由基金管理人承担）；</w:t>
      </w:r>
    </w:p>
    <w:p w14:paraId="0CA015D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5、其他根据相关法律法规及中国证监会的有关规定不得列入基金费用的项目。</w:t>
      </w:r>
    </w:p>
    <w:p w14:paraId="7472808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（四）实施侧袋机制期间的基金费用</w:t>
      </w:r>
    </w:p>
    <w:p w14:paraId="67B9369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4771568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（五）基金税收</w:t>
      </w:r>
    </w:p>
    <w:p w14:paraId="6211D1B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0A7FED3"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27E7C33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（一）投资范围</w:t>
      </w:r>
    </w:p>
    <w:p w14:paraId="0138D14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7BC232E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本基金还可根据法律法规参与融资及转融通证券出借业务。</w:t>
      </w:r>
    </w:p>
    <w:p w14:paraId="642820D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如法律法规或监管机构以后允许基金投资其他品种，基金管理人在履行适当程序后，可以将其纳入投资范围。</w:t>
      </w:r>
    </w:p>
    <w:p w14:paraId="7280916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4957DAB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4A6E695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（二）投资限制</w:t>
      </w:r>
    </w:p>
    <w:p w14:paraId="08CBCD5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0D90D52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084CFCA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（1）本基金投资于股票的资产不低于基金资产的80%，投资于标的指数成份股及其备选成份股的比例不低于非现金基金资产的80%；其中，投资于港股通标的股票的比例不超过股票资产的50%；</w:t>
      </w:r>
    </w:p>
    <w:p w14:paraId="0C8545D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6FD54BA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64C3495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32E2419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（5）本基金投资于同一原始权益人的各类资产支持证券的比例，不得超过基金资产净值的10%；</w:t>
      </w:r>
    </w:p>
    <w:p w14:paraId="2CFAF84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（6）本基金持有的全部资产支持证券，其市值不得超过基金资产净值的20%；</w:t>
      </w:r>
    </w:p>
    <w:p w14:paraId="33146F8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（7）本基金持有的同一(指同一信用级别)资产支持证券的比例，不得超过该资产支持证券规模的10%；</w:t>
      </w:r>
    </w:p>
    <w:p w14:paraId="32074172"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5B667D1E"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05DAC56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34D41AF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481C77E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0731063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（13）本基金与私募类证券资管产品及中国证监会认定的其他主体为交易对手开展逆回购交易的，可接受质押品的资质要求应当与本基金合同约定的投资范围保持一致；</w:t>
      </w:r>
    </w:p>
    <w:p w14:paraId="7EC8BE1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14:paraId="7630EB6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（15）本基金参与股指期货和国债期货交易的，应当遵守下列要求：</w:t>
      </w:r>
    </w:p>
    <w:p w14:paraId="4DC34B5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82E5E1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w:t>
      </w:r>
      <w:r>
        <w:rPr>
          <w:rFonts w:ascii="宋体" w:hAnsi="宋体" w:cs="宋体"/>
          <w:kern w:val="0"/>
          <w:sz w:val="24"/>
          <w:szCs w:val="24"/>
        </w:rPr>
        <w:lastRenderedPageBreak/>
        <w:t>指期货合约的成交金额不得超过上一交易日基金资产净值的20%；本基金所持有的股票市值和买入、卖出股指期货合约价值，合计（轧差计算）应当符合《基金合同》关于股票投资比例的有关约定；</w:t>
      </w:r>
    </w:p>
    <w:p w14:paraId="05DC5A2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717B035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173C593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（17）本基金参与融资的，每个交易日日终，本基金持有的融资买入股票与其他有价证券市值之和，不得超过基金资产净值的95%；</w:t>
      </w:r>
    </w:p>
    <w:p w14:paraId="0137F57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5AD19A12"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（19）本基金投资存托凭证的比例限制依照境内上市交易的股票执行；</w:t>
      </w:r>
    </w:p>
    <w:p w14:paraId="3610805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（20）法律法规及中国证监会规定的和《基金合同》约定的其他投资限制。</w:t>
      </w:r>
    </w:p>
    <w:p w14:paraId="3217E90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除上述第（2）、（9）、（12）、（13）、（18）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w:t>
      </w:r>
      <w:r>
        <w:rPr>
          <w:rFonts w:ascii="宋体" w:hAnsi="宋体" w:cs="宋体"/>
          <w:kern w:val="0"/>
          <w:sz w:val="24"/>
          <w:szCs w:val="24"/>
        </w:rPr>
        <w:lastRenderedPageBreak/>
        <w:t>的特殊情形除外。因证券市场波动、证券发行人合并、基金规模变动等基金管理人之外的因素致使基金投资不符合第（18）项规定的，基金管理人不得新增出借业务。法律法规另有规定的从其规定。</w:t>
      </w:r>
    </w:p>
    <w:p w14:paraId="5A52F16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B03EA0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036518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5EE1B3D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13BCB06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48C8E1F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5D92C76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62F8BD7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7B89728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62FB2E8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5936007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07BD7B6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B33D68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EBA47D8"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2B630FE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（一）估值方法</w:t>
      </w:r>
    </w:p>
    <w:p w14:paraId="1265A9A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lastRenderedPageBreak/>
        <w:t>1、证券交易所上市的有价证券的估值</w:t>
      </w:r>
    </w:p>
    <w:p w14:paraId="6129F68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E3A63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56C2130"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14:paraId="1041F16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4CD7A4E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07DE4EF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76884F2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6510A1E"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14:paraId="4DFE0C6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262F57D0"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0148927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w:t>
      </w:r>
      <w:r>
        <w:rPr>
          <w:rFonts w:ascii="宋体" w:hAnsi="宋体" w:cs="宋体"/>
          <w:kern w:val="0"/>
          <w:sz w:val="24"/>
          <w:szCs w:val="24"/>
        </w:rPr>
        <w:lastRenderedPageBreak/>
        <w:t>估值；</w:t>
      </w:r>
    </w:p>
    <w:p w14:paraId="5827B92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06F6991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D5B9B5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5、同一证券同时在两个或两个以上市场交易的，按证券所处的市场分别估值。</w:t>
      </w:r>
    </w:p>
    <w:p w14:paraId="7E64055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5E2EC508"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7、本基金投资股票期权，根据相关法律法规以及监管部门的规定估值。</w:t>
      </w:r>
    </w:p>
    <w:p w14:paraId="4349B4AC"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7DA5127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40C2FD62"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37F667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198A3F6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11、本基金投资存托凭证的估值核算，依照境内上市交易的股票进行。</w:t>
      </w:r>
    </w:p>
    <w:p w14:paraId="67AFA61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lastRenderedPageBreak/>
        <w:t>12、如有确凿证据表明按上述方法进行估值不能客观反映其公允价值的，基金管理人可根据具体情况与基金托管人商定后，按最能反映公允价值的价格估值。</w:t>
      </w:r>
    </w:p>
    <w:p w14:paraId="58839F5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4C8598E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3C481297"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3FDEC92"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F695BF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（二）估值程序</w:t>
      </w:r>
    </w:p>
    <w:p w14:paraId="77FA75D6"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5E8781C9"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0F8ADD5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5D5A9DA9"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785F3FA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791A9D2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w:t>
      </w:r>
      <w:r>
        <w:rPr>
          <w:rFonts w:ascii="宋体" w:hAnsi="宋体" w:cs="宋体"/>
          <w:kern w:val="0"/>
          <w:sz w:val="24"/>
          <w:szCs w:val="24"/>
        </w:rPr>
        <w:lastRenderedPageBreak/>
        <w:t>人和基金托管人同意后变更并公告。</w:t>
      </w:r>
    </w:p>
    <w:p w14:paraId="0D0C8C36"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356BA465"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7D8E9A0B"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14:paraId="62B892A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5DDEF7D8"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4DD6F7E1"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AF0477B"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14:paraId="7EF3243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14:paraId="50C1D08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36690CC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771C0A4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9C42E47"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4630087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3BC1EA0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193B700D"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184658F9"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5DD00F6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11EC2FE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w:t>
      </w:r>
      <w:r>
        <w:rPr>
          <w:rFonts w:ascii="宋体" w:hAnsi="宋体" w:cs="宋体"/>
          <w:kern w:val="0"/>
          <w:sz w:val="24"/>
          <w:szCs w:val="24"/>
        </w:rPr>
        <w:lastRenderedPageBreak/>
        <w:t>进行外部审计，聘请律师事务所对清算报告出具法律意见书；</w:t>
      </w:r>
    </w:p>
    <w:p w14:paraId="2CF55A1A"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14:paraId="5B8E53F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7E38E1C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6739A8F0"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2A12FAE5"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352FF8C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0C6714F4" w14:textId="384FA807" w:rsidR="000A052A" w:rsidRDefault="009713AD">
      <w:pPr>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62EDDC06" w14:textId="48004C9D" w:rsidR="00736C1C" w:rsidRDefault="00736C1C">
      <w:pPr>
        <w:spacing w:line="360" w:lineRule="auto"/>
        <w:ind w:firstLine="48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bookmarkStart w:id="71" w:name="_Hlk218689035"/>
      <w:r>
        <w:rPr>
          <w:rFonts w:hint="eastAsia"/>
          <w:bCs/>
          <w:sz w:val="24"/>
          <w:lang w:bidi="en-US"/>
        </w:rPr>
        <w:t>C</w:t>
      </w:r>
      <w:r>
        <w:rPr>
          <w:rFonts w:hint="eastAsia"/>
          <w:bCs/>
          <w:sz w:val="24"/>
          <w:lang w:bidi="en-US"/>
        </w:rPr>
        <w:t>类基金份额所计提的销售服务费</w:t>
      </w:r>
      <w:bookmarkEnd w:id="71"/>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bookmarkStart w:id="72"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bookmarkEnd w:id="72"/>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hint="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清算款</w:t>
      </w:r>
      <w:r w:rsidRPr="00767C2D">
        <w:rPr>
          <w:rFonts w:eastAsiaTheme="minorEastAsia" w:hint="eastAsia"/>
          <w:kern w:val="0"/>
          <w:sz w:val="24"/>
          <w:szCs w:val="24"/>
        </w:rPr>
        <w:t>一并返还给投资者。</w:t>
      </w:r>
    </w:p>
    <w:p w14:paraId="699B8C63"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0F659134"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6802632"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3D462FBF"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48A27539"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1B77E673"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w:t>
      </w:r>
      <w:r>
        <w:rPr>
          <w:rFonts w:ascii="宋体" w:hAnsi="宋体" w:cs="宋体"/>
          <w:kern w:val="0"/>
          <w:sz w:val="24"/>
          <w:szCs w:val="24"/>
        </w:rPr>
        <w:lastRenderedPageBreak/>
        <w:t>决另有决定，仲裁费用由败诉方承担。</w:t>
      </w:r>
    </w:p>
    <w:p w14:paraId="61D07BFA"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16311A7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74D1D9C4" w14:textId="77777777" w:rsidR="000A052A" w:rsidRDefault="009713A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319C226D" w14:textId="77777777" w:rsidR="000A052A" w:rsidRDefault="009713AD">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4DE16A91"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5BC214A4"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3F9EBAD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4773573F"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2EE6F71C" w14:textId="77777777" w:rsidR="000A052A" w:rsidRDefault="009713AD">
      <w:pPr>
        <w:spacing w:line="360" w:lineRule="auto"/>
        <w:ind w:firstLine="48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14:paraId="6DA2C43C" w14:textId="77777777" w:rsidR="009D63C8" w:rsidRDefault="009D63C8" w:rsidP="009E26D0">
      <w:pPr>
        <w:pStyle w:val="1"/>
        <w:spacing w:before="0" w:after="0"/>
        <w:jc w:val="center"/>
        <w:rPr>
          <w:rFonts w:ascii="Times New Roman"/>
          <w:color w:val="auto"/>
          <w:sz w:val="30"/>
        </w:rPr>
        <w:sectPr w:rsidR="009D63C8" w:rsidSect="0024488F">
          <w:footerReference w:type="default" r:id="rId12"/>
          <w:pgSz w:w="11906" w:h="16838"/>
          <w:pgMar w:top="1440" w:right="1800" w:bottom="1440" w:left="1800" w:header="851" w:footer="992" w:gutter="0"/>
          <w:pgNumType w:start="1"/>
          <w:cols w:space="720"/>
          <w:docGrid w:type="lines" w:linePitch="312"/>
        </w:sectPr>
      </w:pPr>
    </w:p>
    <w:p w14:paraId="184F348D" w14:textId="77777777" w:rsidR="00693FD0" w:rsidRDefault="009713AD" w:rsidP="00693FD0">
      <w:pPr>
        <w:autoSpaceDE w:val="0"/>
        <w:autoSpaceDN w:val="0"/>
        <w:adjustRightInd w:val="0"/>
        <w:spacing w:line="360" w:lineRule="auto"/>
        <w:jc w:val="left"/>
        <w:rPr>
          <w:bCs/>
          <w:sz w:val="24"/>
        </w:rPr>
      </w:pPr>
      <w:r>
        <w:rPr>
          <w:rFonts w:ascii="宋体" w:hAnsi="宋体" w:hint="eastAsia"/>
          <w:sz w:val="24"/>
        </w:rPr>
        <w:lastRenderedPageBreak/>
        <w:t>本页无正文，为《</w:t>
      </w:r>
      <w:r w:rsidR="000E379A">
        <w:rPr>
          <w:rFonts w:ascii="宋体" w:hAnsi="宋体"/>
          <w:noProof/>
          <w:sz w:val="24"/>
        </w:rPr>
        <w:t>汇添富中证全指指数增强型证券投资基金</w:t>
      </w:r>
      <w:r>
        <w:rPr>
          <w:rFonts w:ascii="宋体" w:hAnsi="宋体" w:hint="eastAsia"/>
          <w:sz w:val="24"/>
        </w:rPr>
        <w:t>基金合同》签字盖章页</w:t>
      </w:r>
    </w:p>
    <w:p w14:paraId="319FB75A" w14:textId="77777777" w:rsidR="00693FD0" w:rsidRPr="001F13BD" w:rsidRDefault="00693FD0" w:rsidP="00693FD0">
      <w:pPr>
        <w:autoSpaceDE w:val="0"/>
        <w:autoSpaceDN w:val="0"/>
        <w:spacing w:line="360" w:lineRule="auto"/>
        <w:ind w:firstLine="425"/>
        <w:textAlignment w:val="bottom"/>
        <w:rPr>
          <w:rFonts w:ascii="宋体" w:hAnsi="宋体"/>
          <w:sz w:val="24"/>
        </w:rPr>
      </w:pPr>
    </w:p>
    <w:p w14:paraId="5749BF07" w14:textId="77777777" w:rsidR="00693FD0" w:rsidRDefault="00693FD0" w:rsidP="00693FD0">
      <w:pPr>
        <w:autoSpaceDE w:val="0"/>
        <w:autoSpaceDN w:val="0"/>
        <w:spacing w:line="360" w:lineRule="auto"/>
        <w:ind w:firstLine="425"/>
        <w:textAlignment w:val="bottom"/>
        <w:rPr>
          <w:rFonts w:ascii="宋体" w:hAnsi="宋体"/>
          <w:sz w:val="24"/>
        </w:rPr>
      </w:pPr>
    </w:p>
    <w:p w14:paraId="43324663" w14:textId="77777777" w:rsidR="00693FD0" w:rsidRDefault="00693FD0" w:rsidP="00693FD0">
      <w:pPr>
        <w:spacing w:line="360" w:lineRule="auto"/>
        <w:ind w:right="26"/>
        <w:rPr>
          <w:rFonts w:ascii="宋体" w:hAnsi="宋体"/>
          <w:sz w:val="24"/>
        </w:rPr>
      </w:pPr>
    </w:p>
    <w:p w14:paraId="7AC30B71" w14:textId="77777777" w:rsidR="00693FD0" w:rsidRDefault="009713AD" w:rsidP="00693FD0">
      <w:pPr>
        <w:spacing w:line="360" w:lineRule="auto"/>
        <w:ind w:right="26"/>
        <w:rPr>
          <w:rFonts w:ascii="宋体" w:hAnsi="宋体"/>
          <w:b/>
          <w:sz w:val="24"/>
        </w:rPr>
      </w:pPr>
      <w:r>
        <w:rPr>
          <w:rFonts w:ascii="宋体" w:hAnsi="宋体" w:hint="eastAsia"/>
          <w:b/>
          <w:sz w:val="24"/>
        </w:rPr>
        <w:t>基金管理人：</w:t>
      </w:r>
      <w:r w:rsidR="00FF146D">
        <w:rPr>
          <w:rFonts w:ascii="宋体" w:hAnsi="宋体"/>
          <w:b/>
          <w:noProof/>
          <w:sz w:val="24"/>
        </w:rPr>
        <w:t>汇添富基金管理股份有限公司</w:t>
      </w:r>
      <w:r>
        <w:rPr>
          <w:rFonts w:ascii="宋体" w:hAnsi="宋体" w:hint="eastAsia"/>
          <w:b/>
          <w:sz w:val="24"/>
        </w:rPr>
        <w:t>（公章）</w:t>
      </w:r>
    </w:p>
    <w:p w14:paraId="279AF932" w14:textId="77777777" w:rsidR="00693FD0" w:rsidRDefault="00693FD0" w:rsidP="00693FD0">
      <w:pPr>
        <w:spacing w:line="360" w:lineRule="auto"/>
        <w:ind w:right="26"/>
        <w:rPr>
          <w:rFonts w:ascii="宋体" w:hAnsi="宋体"/>
          <w:b/>
          <w:sz w:val="24"/>
        </w:rPr>
      </w:pPr>
    </w:p>
    <w:p w14:paraId="7F56B27A" w14:textId="77777777" w:rsidR="00693FD0" w:rsidRDefault="00693FD0" w:rsidP="00693FD0">
      <w:pPr>
        <w:spacing w:line="360" w:lineRule="auto"/>
        <w:ind w:right="26"/>
        <w:rPr>
          <w:rFonts w:ascii="宋体" w:hAnsi="宋体"/>
          <w:b/>
          <w:sz w:val="24"/>
        </w:rPr>
      </w:pPr>
    </w:p>
    <w:p w14:paraId="3C09DED1" w14:textId="77777777" w:rsidR="00693FD0" w:rsidRDefault="00693FD0" w:rsidP="00693FD0">
      <w:pPr>
        <w:spacing w:line="360" w:lineRule="auto"/>
        <w:ind w:right="26"/>
        <w:rPr>
          <w:rFonts w:ascii="宋体" w:hAnsi="宋体"/>
          <w:b/>
          <w:sz w:val="24"/>
        </w:rPr>
      </w:pPr>
    </w:p>
    <w:p w14:paraId="61B5D25D" w14:textId="77777777" w:rsidR="00693FD0" w:rsidRDefault="009713AD" w:rsidP="00693FD0">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14:paraId="17541CD8" w14:textId="77777777" w:rsidR="00693FD0" w:rsidRDefault="00693FD0" w:rsidP="00693FD0">
      <w:pPr>
        <w:spacing w:line="360" w:lineRule="auto"/>
        <w:ind w:right="26"/>
        <w:rPr>
          <w:rFonts w:ascii="宋体" w:hAnsi="宋体"/>
          <w:b/>
          <w:sz w:val="24"/>
        </w:rPr>
      </w:pPr>
    </w:p>
    <w:p w14:paraId="10E342E5" w14:textId="77777777" w:rsidR="00693FD0" w:rsidRDefault="00693FD0" w:rsidP="00693FD0">
      <w:pPr>
        <w:spacing w:line="360" w:lineRule="auto"/>
        <w:ind w:right="26"/>
        <w:rPr>
          <w:rFonts w:ascii="宋体" w:hAnsi="宋体"/>
          <w:b/>
          <w:sz w:val="24"/>
        </w:rPr>
      </w:pPr>
    </w:p>
    <w:p w14:paraId="7989F60C" w14:textId="77777777" w:rsidR="00693FD0" w:rsidRDefault="00693FD0" w:rsidP="00693FD0">
      <w:pPr>
        <w:spacing w:line="360" w:lineRule="auto"/>
        <w:ind w:right="26"/>
        <w:rPr>
          <w:rFonts w:ascii="宋体" w:hAnsi="宋体"/>
          <w:b/>
          <w:sz w:val="24"/>
        </w:rPr>
      </w:pPr>
    </w:p>
    <w:p w14:paraId="3CB126AA" w14:textId="77777777" w:rsidR="00693FD0" w:rsidRDefault="00693FD0" w:rsidP="00693FD0">
      <w:pPr>
        <w:spacing w:line="360" w:lineRule="auto"/>
        <w:ind w:right="26"/>
        <w:rPr>
          <w:rFonts w:ascii="宋体" w:hAnsi="宋体"/>
          <w:b/>
          <w:sz w:val="24"/>
        </w:rPr>
      </w:pPr>
    </w:p>
    <w:p w14:paraId="73252EC8" w14:textId="77777777" w:rsidR="00693FD0" w:rsidRDefault="00693FD0" w:rsidP="00693FD0">
      <w:pPr>
        <w:spacing w:line="360" w:lineRule="auto"/>
        <w:ind w:right="26"/>
        <w:rPr>
          <w:rFonts w:ascii="宋体" w:hAnsi="宋体"/>
          <w:b/>
          <w:sz w:val="24"/>
        </w:rPr>
      </w:pPr>
    </w:p>
    <w:p w14:paraId="7480A57D" w14:textId="77777777" w:rsidR="00693FD0" w:rsidRDefault="009713AD" w:rsidP="00693FD0">
      <w:pPr>
        <w:spacing w:line="360" w:lineRule="auto"/>
        <w:ind w:right="26"/>
        <w:rPr>
          <w:rFonts w:ascii="宋体" w:hAnsi="宋体"/>
          <w:b/>
          <w:sz w:val="24"/>
        </w:rPr>
      </w:pPr>
      <w:r>
        <w:rPr>
          <w:rFonts w:ascii="宋体" w:hAnsi="宋体" w:hint="eastAsia"/>
          <w:b/>
          <w:sz w:val="24"/>
        </w:rPr>
        <w:t>基金托管人：</w:t>
      </w:r>
      <w:r w:rsidR="004C27BF">
        <w:rPr>
          <w:rFonts w:ascii="宋体" w:hAnsi="宋体"/>
          <w:b/>
          <w:noProof/>
          <w:sz w:val="24"/>
        </w:rPr>
        <w:t>中国建设银行股份有限公司</w:t>
      </w:r>
      <w:r>
        <w:rPr>
          <w:rFonts w:ascii="宋体" w:hAnsi="宋体" w:hint="eastAsia"/>
          <w:b/>
          <w:sz w:val="24"/>
        </w:rPr>
        <w:t>（公章或合同专用章）</w:t>
      </w:r>
    </w:p>
    <w:p w14:paraId="0659AFEA" w14:textId="77777777" w:rsidR="00693FD0" w:rsidRPr="001B3121" w:rsidRDefault="00693FD0" w:rsidP="00693FD0">
      <w:pPr>
        <w:spacing w:line="360" w:lineRule="auto"/>
        <w:ind w:right="26"/>
        <w:rPr>
          <w:rFonts w:ascii="宋体" w:hAnsi="宋体"/>
          <w:b/>
          <w:sz w:val="24"/>
        </w:rPr>
      </w:pPr>
    </w:p>
    <w:p w14:paraId="39BE4F18" w14:textId="77777777" w:rsidR="00693FD0" w:rsidRDefault="00693FD0" w:rsidP="00693FD0">
      <w:pPr>
        <w:spacing w:line="360" w:lineRule="auto"/>
        <w:ind w:right="26"/>
        <w:rPr>
          <w:rFonts w:ascii="宋体" w:hAnsi="宋体"/>
          <w:b/>
          <w:sz w:val="24"/>
        </w:rPr>
      </w:pPr>
    </w:p>
    <w:p w14:paraId="54ED1034" w14:textId="77777777" w:rsidR="00693FD0" w:rsidRDefault="00693FD0" w:rsidP="00693FD0">
      <w:pPr>
        <w:spacing w:line="360" w:lineRule="auto"/>
        <w:ind w:right="26"/>
        <w:rPr>
          <w:rFonts w:ascii="宋体" w:hAnsi="宋体"/>
          <w:b/>
          <w:sz w:val="24"/>
        </w:rPr>
      </w:pPr>
    </w:p>
    <w:p w14:paraId="2593757B" w14:textId="77777777" w:rsidR="00693FD0" w:rsidRDefault="009713AD" w:rsidP="00693FD0">
      <w:pPr>
        <w:spacing w:line="360" w:lineRule="auto"/>
        <w:ind w:right="26"/>
        <w:rPr>
          <w:rFonts w:ascii="宋体" w:hAnsi="宋体"/>
          <w:b/>
          <w:sz w:val="24"/>
        </w:rPr>
      </w:pPr>
      <w:r>
        <w:rPr>
          <w:rFonts w:ascii="宋体" w:hAnsi="宋体" w:hint="eastAsia"/>
          <w:b/>
          <w:sz w:val="24"/>
        </w:rPr>
        <w:t>法定代表人或授权代表：            （签字或盖章）</w:t>
      </w:r>
    </w:p>
    <w:p w14:paraId="250EBA50" w14:textId="77777777" w:rsidR="00693FD0" w:rsidRDefault="00693FD0" w:rsidP="00693FD0">
      <w:pPr>
        <w:spacing w:line="360" w:lineRule="auto"/>
        <w:ind w:right="26"/>
        <w:rPr>
          <w:rFonts w:ascii="宋体" w:hAnsi="宋体"/>
          <w:b/>
          <w:sz w:val="24"/>
        </w:rPr>
      </w:pPr>
    </w:p>
    <w:p w14:paraId="410E659B" w14:textId="77777777" w:rsidR="00693FD0" w:rsidRDefault="00693FD0" w:rsidP="00693FD0">
      <w:pPr>
        <w:spacing w:line="360" w:lineRule="auto"/>
        <w:ind w:right="26"/>
        <w:rPr>
          <w:rFonts w:ascii="宋体" w:hAnsi="宋体"/>
          <w:b/>
          <w:sz w:val="24"/>
        </w:rPr>
      </w:pPr>
    </w:p>
    <w:p w14:paraId="605CBD47" w14:textId="77777777" w:rsidR="00693FD0" w:rsidRDefault="00693FD0" w:rsidP="00693FD0">
      <w:pPr>
        <w:spacing w:line="360" w:lineRule="auto"/>
        <w:ind w:right="26"/>
        <w:rPr>
          <w:rFonts w:ascii="宋体" w:hAnsi="宋体"/>
          <w:b/>
          <w:sz w:val="24"/>
        </w:rPr>
      </w:pPr>
    </w:p>
    <w:p w14:paraId="60D6420E" w14:textId="77777777" w:rsidR="00693FD0" w:rsidRDefault="00693FD0" w:rsidP="00693FD0">
      <w:pPr>
        <w:spacing w:line="360" w:lineRule="auto"/>
        <w:ind w:right="26"/>
        <w:rPr>
          <w:rFonts w:ascii="宋体" w:hAnsi="宋体"/>
          <w:b/>
          <w:sz w:val="24"/>
        </w:rPr>
      </w:pPr>
    </w:p>
    <w:p w14:paraId="16B0F731" w14:textId="77777777" w:rsidR="00693FD0" w:rsidRDefault="00693FD0" w:rsidP="00693FD0">
      <w:pPr>
        <w:spacing w:line="360" w:lineRule="auto"/>
        <w:ind w:right="26"/>
        <w:rPr>
          <w:rFonts w:ascii="宋体" w:hAnsi="宋体"/>
          <w:b/>
          <w:sz w:val="24"/>
        </w:rPr>
      </w:pPr>
    </w:p>
    <w:p w14:paraId="1E07E00E" w14:textId="77777777" w:rsidR="00693FD0" w:rsidRDefault="00693FD0" w:rsidP="00693FD0">
      <w:pPr>
        <w:spacing w:line="360" w:lineRule="auto"/>
        <w:ind w:right="26"/>
        <w:rPr>
          <w:rFonts w:ascii="宋体" w:hAnsi="宋体"/>
          <w:b/>
          <w:sz w:val="24"/>
        </w:rPr>
      </w:pPr>
    </w:p>
    <w:p w14:paraId="2F2B36FA" w14:textId="77777777" w:rsidR="00693FD0" w:rsidRDefault="009713AD" w:rsidP="00693FD0">
      <w:pPr>
        <w:spacing w:line="360" w:lineRule="auto"/>
        <w:ind w:right="26"/>
        <w:rPr>
          <w:rFonts w:ascii="宋体" w:hAnsi="宋体"/>
          <w:b/>
          <w:sz w:val="24"/>
        </w:rPr>
      </w:pPr>
      <w:r>
        <w:rPr>
          <w:rFonts w:ascii="宋体" w:hAnsi="宋体" w:hint="eastAsia"/>
          <w:b/>
          <w:sz w:val="24"/>
        </w:rPr>
        <w:t>签订地点：</w:t>
      </w:r>
    </w:p>
    <w:p w14:paraId="27E8F003" w14:textId="77777777" w:rsidR="000658E8" w:rsidRPr="00016DFA" w:rsidRDefault="009713AD" w:rsidP="00016DFA">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0658E8" w:rsidRPr="00016DFA" w:rsidSect="003D4BDD">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9CCBD9" w16cid:durableId="2D148023"/>
  <w16cid:commentId w16cid:paraId="0C4CAB49" w16cid:durableId="2D1480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672B" w14:textId="77777777" w:rsidR="006D0015" w:rsidRDefault="006D0015">
      <w:r>
        <w:separator/>
      </w:r>
    </w:p>
  </w:endnote>
  <w:endnote w:type="continuationSeparator" w:id="0">
    <w:p w14:paraId="5C3B590D" w14:textId="77777777" w:rsidR="006D0015" w:rsidRDefault="006D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2C6E" w14:textId="77777777" w:rsidR="00995CA2" w:rsidRPr="00A77AE9" w:rsidRDefault="00995CA2" w:rsidP="00A77AE9">
    <w:pPr>
      <w:pStyle w:val="af5"/>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02666"/>
      <w:docPartObj>
        <w:docPartGallery w:val="Page Numbers (Bottom of Page)"/>
        <w:docPartUnique/>
      </w:docPartObj>
    </w:sdtPr>
    <w:sdtEndPr/>
    <w:sdtContent>
      <w:p w14:paraId="3B3F4F4C" w14:textId="70B6CD1D" w:rsidR="00995CA2" w:rsidRPr="0024488F" w:rsidRDefault="00995CA2" w:rsidP="0024488F">
        <w:pPr>
          <w:pStyle w:val="af5"/>
          <w:jc w:val="center"/>
        </w:pPr>
        <w:r>
          <w:fldChar w:fldCharType="begin"/>
        </w:r>
        <w:r>
          <w:instrText>PAGE   \* MERGEFORMAT</w:instrText>
        </w:r>
        <w:r>
          <w:fldChar w:fldCharType="separate"/>
        </w:r>
        <w:r w:rsidR="00855765" w:rsidRPr="00855765">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453013"/>
      <w:docPartObj>
        <w:docPartGallery w:val="Page Numbers (Bottom of Page)"/>
        <w:docPartUnique/>
      </w:docPartObj>
    </w:sdtPr>
    <w:sdtEndPr/>
    <w:sdtContent>
      <w:p w14:paraId="3D309267" w14:textId="7F9502D7" w:rsidR="00995CA2" w:rsidRPr="0024488F" w:rsidRDefault="00995CA2" w:rsidP="0024488F">
        <w:pPr>
          <w:pStyle w:val="af5"/>
          <w:jc w:val="center"/>
        </w:pPr>
        <w:r>
          <w:fldChar w:fldCharType="begin"/>
        </w:r>
        <w:r>
          <w:instrText>PAGE   \* MERGEFORMAT</w:instrText>
        </w:r>
        <w:r>
          <w:fldChar w:fldCharType="separate"/>
        </w:r>
        <w:r w:rsidR="00855765" w:rsidRPr="00855765">
          <w:rPr>
            <w:noProof/>
            <w:lang w:val="zh-CN"/>
          </w:rPr>
          <w:t>19</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ACB4" w14:textId="77777777" w:rsidR="00995CA2" w:rsidRPr="0024488F" w:rsidRDefault="00995CA2" w:rsidP="0024488F">
    <w:pPr>
      <w:pStyle w:val="af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21C7" w14:textId="77777777" w:rsidR="006D0015" w:rsidRDefault="006D0015">
      <w:r>
        <w:separator/>
      </w:r>
    </w:p>
  </w:footnote>
  <w:footnote w:type="continuationSeparator" w:id="0">
    <w:p w14:paraId="11EDB05C" w14:textId="77777777" w:rsidR="006D0015" w:rsidRDefault="006D0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96D0" w14:textId="793076E6" w:rsidR="00995CA2" w:rsidRDefault="00995CA2" w:rsidP="00F14601">
    <w:pPr>
      <w:pStyle w:val="aa"/>
      <w:tabs>
        <w:tab w:val="clear" w:pos="4153"/>
      </w:tabs>
      <w:jc w:val="left"/>
    </w:pPr>
    <w:r>
      <w:rPr>
        <w:noProof/>
      </w:rPr>
      <w:t>汇添富中证全指指数增强型证券投资基金</w:t>
    </w:r>
    <w:r>
      <w:rPr>
        <w:noProof/>
      </w:rPr>
      <w:tab/>
    </w:r>
    <w:r>
      <w:rPr>
        <w:noProof/>
      </w:rP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04FF" w14:textId="77777777" w:rsidR="00995CA2" w:rsidRDefault="00995CA2" w:rsidP="00F14601">
    <w:pPr>
      <w:pStyle w:val="aa"/>
      <w:tabs>
        <w:tab w:val="clear" w:pos="4153"/>
      </w:tabs>
      <w:jc w:val="left"/>
    </w:pPr>
    <w:r>
      <w:rPr>
        <w:noProof/>
      </w:rPr>
      <w:t>汇添富中证全指指数增强型证券投资基金</w:t>
    </w:r>
    <w:r>
      <w:rPr>
        <w:noProof/>
      </w:rPr>
      <w:tab/>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E643BC9"/>
    <w:multiLevelType w:val="hybridMultilevel"/>
    <w:tmpl w:val="F108657E"/>
    <w:lvl w:ilvl="0" w:tplc="CADCD40A">
      <w:start w:val="1"/>
      <w:numFmt w:val="lowerRoman"/>
      <w:lvlText w:val="%1."/>
      <w:lvlJc w:val="right"/>
      <w:pPr>
        <w:ind w:left="900" w:hanging="420"/>
      </w:pPr>
      <w:rPr>
        <w:rFonts w:hint="eastAsia"/>
      </w:rPr>
    </w:lvl>
    <w:lvl w:ilvl="1" w:tplc="2D1E2156" w:tentative="1">
      <w:start w:val="1"/>
      <w:numFmt w:val="lowerLetter"/>
      <w:lvlText w:val="%2)"/>
      <w:lvlJc w:val="left"/>
      <w:pPr>
        <w:ind w:left="1320" w:hanging="420"/>
      </w:pPr>
    </w:lvl>
    <w:lvl w:ilvl="2" w:tplc="2F82FAAA" w:tentative="1">
      <w:start w:val="1"/>
      <w:numFmt w:val="lowerRoman"/>
      <w:lvlText w:val="%3."/>
      <w:lvlJc w:val="right"/>
      <w:pPr>
        <w:ind w:left="1740" w:hanging="420"/>
      </w:pPr>
    </w:lvl>
    <w:lvl w:ilvl="3" w:tplc="D50E3222" w:tentative="1">
      <w:start w:val="1"/>
      <w:numFmt w:val="decimal"/>
      <w:lvlText w:val="%4."/>
      <w:lvlJc w:val="left"/>
      <w:pPr>
        <w:ind w:left="2160" w:hanging="420"/>
      </w:pPr>
    </w:lvl>
    <w:lvl w:ilvl="4" w:tplc="9A3EDBEC" w:tentative="1">
      <w:start w:val="1"/>
      <w:numFmt w:val="lowerLetter"/>
      <w:lvlText w:val="%5)"/>
      <w:lvlJc w:val="left"/>
      <w:pPr>
        <w:ind w:left="2580" w:hanging="420"/>
      </w:pPr>
    </w:lvl>
    <w:lvl w:ilvl="5" w:tplc="6AE66B40" w:tentative="1">
      <w:start w:val="1"/>
      <w:numFmt w:val="lowerRoman"/>
      <w:lvlText w:val="%6."/>
      <w:lvlJc w:val="right"/>
      <w:pPr>
        <w:ind w:left="3000" w:hanging="420"/>
      </w:pPr>
    </w:lvl>
    <w:lvl w:ilvl="6" w:tplc="FE28E484" w:tentative="1">
      <w:start w:val="1"/>
      <w:numFmt w:val="decimal"/>
      <w:lvlText w:val="%7."/>
      <w:lvlJc w:val="left"/>
      <w:pPr>
        <w:ind w:left="3420" w:hanging="420"/>
      </w:pPr>
    </w:lvl>
    <w:lvl w:ilvl="7" w:tplc="41FA9154" w:tentative="1">
      <w:start w:val="1"/>
      <w:numFmt w:val="lowerLetter"/>
      <w:lvlText w:val="%8)"/>
      <w:lvlJc w:val="left"/>
      <w:pPr>
        <w:ind w:left="3840" w:hanging="420"/>
      </w:pPr>
    </w:lvl>
    <w:lvl w:ilvl="8" w:tplc="D1AC4C26" w:tentative="1">
      <w:start w:val="1"/>
      <w:numFmt w:val="lowerRoman"/>
      <w:lvlText w:val="%9."/>
      <w:lvlJc w:val="right"/>
      <w:pPr>
        <w:ind w:left="4260" w:hanging="420"/>
      </w:pPr>
    </w:lvl>
  </w:abstractNum>
  <w:abstractNum w:abstractNumId="3" w15:restartNumberingAfterBreak="0">
    <w:nsid w:val="1E86392D"/>
    <w:multiLevelType w:val="hybridMultilevel"/>
    <w:tmpl w:val="73120538"/>
    <w:lvl w:ilvl="0" w:tplc="C890EBE0">
      <w:start w:val="1"/>
      <w:numFmt w:val="decimal"/>
      <w:lvlText w:val="1.%1."/>
      <w:lvlJc w:val="left"/>
      <w:pPr>
        <w:ind w:left="900" w:hanging="420"/>
      </w:pPr>
      <w:rPr>
        <w:rFonts w:hint="eastAsia"/>
      </w:rPr>
    </w:lvl>
    <w:lvl w:ilvl="1" w:tplc="8E56E722" w:tentative="1">
      <w:start w:val="1"/>
      <w:numFmt w:val="lowerLetter"/>
      <w:lvlText w:val="%2)"/>
      <w:lvlJc w:val="left"/>
      <w:pPr>
        <w:ind w:left="1320" w:hanging="420"/>
      </w:pPr>
    </w:lvl>
    <w:lvl w:ilvl="2" w:tplc="8DF6B646" w:tentative="1">
      <w:start w:val="1"/>
      <w:numFmt w:val="lowerRoman"/>
      <w:lvlText w:val="%3."/>
      <w:lvlJc w:val="right"/>
      <w:pPr>
        <w:ind w:left="1740" w:hanging="420"/>
      </w:pPr>
    </w:lvl>
    <w:lvl w:ilvl="3" w:tplc="0C5ED8F0" w:tentative="1">
      <w:start w:val="1"/>
      <w:numFmt w:val="decimal"/>
      <w:lvlText w:val="%4."/>
      <w:lvlJc w:val="left"/>
      <w:pPr>
        <w:ind w:left="2160" w:hanging="420"/>
      </w:pPr>
    </w:lvl>
    <w:lvl w:ilvl="4" w:tplc="FF2E2C1E" w:tentative="1">
      <w:start w:val="1"/>
      <w:numFmt w:val="lowerLetter"/>
      <w:lvlText w:val="%5)"/>
      <w:lvlJc w:val="left"/>
      <w:pPr>
        <w:ind w:left="2580" w:hanging="420"/>
      </w:pPr>
    </w:lvl>
    <w:lvl w:ilvl="5" w:tplc="E708A612" w:tentative="1">
      <w:start w:val="1"/>
      <w:numFmt w:val="lowerRoman"/>
      <w:lvlText w:val="%6."/>
      <w:lvlJc w:val="right"/>
      <w:pPr>
        <w:ind w:left="3000" w:hanging="420"/>
      </w:pPr>
    </w:lvl>
    <w:lvl w:ilvl="6" w:tplc="9914FDB2" w:tentative="1">
      <w:start w:val="1"/>
      <w:numFmt w:val="decimal"/>
      <w:lvlText w:val="%7."/>
      <w:lvlJc w:val="left"/>
      <w:pPr>
        <w:ind w:left="3420" w:hanging="420"/>
      </w:pPr>
    </w:lvl>
    <w:lvl w:ilvl="7" w:tplc="5ED6C54E" w:tentative="1">
      <w:start w:val="1"/>
      <w:numFmt w:val="lowerLetter"/>
      <w:lvlText w:val="%8)"/>
      <w:lvlJc w:val="left"/>
      <w:pPr>
        <w:ind w:left="3840" w:hanging="420"/>
      </w:pPr>
    </w:lvl>
    <w:lvl w:ilvl="8" w:tplc="ED186A1E" w:tentative="1">
      <w:start w:val="1"/>
      <w:numFmt w:val="lowerRoman"/>
      <w:lvlText w:val="%9."/>
      <w:lvlJc w:val="right"/>
      <w:pPr>
        <w:ind w:left="4260" w:hanging="420"/>
      </w:pPr>
    </w:lvl>
  </w:abstractNum>
  <w:abstractNum w:abstractNumId="4" w15:restartNumberingAfterBreak="0">
    <w:nsid w:val="247E28A3"/>
    <w:multiLevelType w:val="hybridMultilevel"/>
    <w:tmpl w:val="699A8FC6"/>
    <w:lvl w:ilvl="0" w:tplc="99AA77B0">
      <w:start w:val="1"/>
      <w:numFmt w:val="lowerRoman"/>
      <w:lvlText w:val="%1."/>
      <w:lvlJc w:val="right"/>
      <w:pPr>
        <w:ind w:left="900" w:hanging="420"/>
      </w:pPr>
      <w:rPr>
        <w:rFonts w:hint="eastAsia"/>
      </w:rPr>
    </w:lvl>
    <w:lvl w:ilvl="1" w:tplc="01F2DBC6" w:tentative="1">
      <w:start w:val="1"/>
      <w:numFmt w:val="lowerLetter"/>
      <w:lvlText w:val="%2)"/>
      <w:lvlJc w:val="left"/>
      <w:pPr>
        <w:ind w:left="840" w:hanging="420"/>
      </w:pPr>
    </w:lvl>
    <w:lvl w:ilvl="2" w:tplc="F934C608" w:tentative="1">
      <w:start w:val="1"/>
      <w:numFmt w:val="lowerRoman"/>
      <w:lvlText w:val="%3."/>
      <w:lvlJc w:val="right"/>
      <w:pPr>
        <w:ind w:left="1260" w:hanging="420"/>
      </w:pPr>
    </w:lvl>
    <w:lvl w:ilvl="3" w:tplc="CACA3882" w:tentative="1">
      <w:start w:val="1"/>
      <w:numFmt w:val="decimal"/>
      <w:lvlText w:val="%4."/>
      <w:lvlJc w:val="left"/>
      <w:pPr>
        <w:ind w:left="1680" w:hanging="420"/>
      </w:pPr>
    </w:lvl>
    <w:lvl w:ilvl="4" w:tplc="47D2B3BC" w:tentative="1">
      <w:start w:val="1"/>
      <w:numFmt w:val="lowerLetter"/>
      <w:lvlText w:val="%5)"/>
      <w:lvlJc w:val="left"/>
      <w:pPr>
        <w:ind w:left="2100" w:hanging="420"/>
      </w:pPr>
    </w:lvl>
    <w:lvl w:ilvl="5" w:tplc="CE2E62F0" w:tentative="1">
      <w:start w:val="1"/>
      <w:numFmt w:val="lowerRoman"/>
      <w:lvlText w:val="%6."/>
      <w:lvlJc w:val="right"/>
      <w:pPr>
        <w:ind w:left="2520" w:hanging="420"/>
      </w:pPr>
    </w:lvl>
    <w:lvl w:ilvl="6" w:tplc="FD7068AE" w:tentative="1">
      <w:start w:val="1"/>
      <w:numFmt w:val="decimal"/>
      <w:lvlText w:val="%7."/>
      <w:lvlJc w:val="left"/>
      <w:pPr>
        <w:ind w:left="2940" w:hanging="420"/>
      </w:pPr>
    </w:lvl>
    <w:lvl w:ilvl="7" w:tplc="3E9076B4" w:tentative="1">
      <w:start w:val="1"/>
      <w:numFmt w:val="lowerLetter"/>
      <w:lvlText w:val="%8)"/>
      <w:lvlJc w:val="left"/>
      <w:pPr>
        <w:ind w:left="3360" w:hanging="420"/>
      </w:pPr>
    </w:lvl>
    <w:lvl w:ilvl="8" w:tplc="7030840E" w:tentative="1">
      <w:start w:val="1"/>
      <w:numFmt w:val="lowerRoman"/>
      <w:lvlText w:val="%9."/>
      <w:lvlJc w:val="right"/>
      <w:pPr>
        <w:ind w:left="3780" w:hanging="420"/>
      </w:pPr>
    </w:lvl>
  </w:abstractNum>
  <w:abstractNum w:abstractNumId="5" w15:restartNumberingAfterBreak="0">
    <w:nsid w:val="49771199"/>
    <w:multiLevelType w:val="hybridMultilevel"/>
    <w:tmpl w:val="B406E642"/>
    <w:lvl w:ilvl="0" w:tplc="5E543BB4">
      <w:start w:val="1"/>
      <w:numFmt w:val="decimal"/>
      <w:lvlText w:val="%1）"/>
      <w:lvlJc w:val="left"/>
      <w:pPr>
        <w:ind w:left="840" w:hanging="360"/>
      </w:pPr>
      <w:rPr>
        <w:rFonts w:hint="default"/>
      </w:rPr>
    </w:lvl>
    <w:lvl w:ilvl="1" w:tplc="F45E4FBE" w:tentative="1">
      <w:start w:val="1"/>
      <w:numFmt w:val="lowerLetter"/>
      <w:lvlText w:val="%2)"/>
      <w:lvlJc w:val="left"/>
      <w:pPr>
        <w:ind w:left="1320" w:hanging="420"/>
      </w:pPr>
    </w:lvl>
    <w:lvl w:ilvl="2" w:tplc="BE1CF0EC" w:tentative="1">
      <w:start w:val="1"/>
      <w:numFmt w:val="lowerRoman"/>
      <w:lvlText w:val="%3."/>
      <w:lvlJc w:val="right"/>
      <w:pPr>
        <w:ind w:left="1740" w:hanging="420"/>
      </w:pPr>
    </w:lvl>
    <w:lvl w:ilvl="3" w:tplc="27F2D81C" w:tentative="1">
      <w:start w:val="1"/>
      <w:numFmt w:val="decimal"/>
      <w:lvlText w:val="%4."/>
      <w:lvlJc w:val="left"/>
      <w:pPr>
        <w:ind w:left="2160" w:hanging="420"/>
      </w:pPr>
    </w:lvl>
    <w:lvl w:ilvl="4" w:tplc="6B1A58F0" w:tentative="1">
      <w:start w:val="1"/>
      <w:numFmt w:val="lowerLetter"/>
      <w:lvlText w:val="%5)"/>
      <w:lvlJc w:val="left"/>
      <w:pPr>
        <w:ind w:left="2580" w:hanging="420"/>
      </w:pPr>
    </w:lvl>
    <w:lvl w:ilvl="5" w:tplc="6C7423C2" w:tentative="1">
      <w:start w:val="1"/>
      <w:numFmt w:val="lowerRoman"/>
      <w:lvlText w:val="%6."/>
      <w:lvlJc w:val="right"/>
      <w:pPr>
        <w:ind w:left="3000" w:hanging="420"/>
      </w:pPr>
    </w:lvl>
    <w:lvl w:ilvl="6" w:tplc="41609236" w:tentative="1">
      <w:start w:val="1"/>
      <w:numFmt w:val="decimal"/>
      <w:lvlText w:val="%7."/>
      <w:lvlJc w:val="left"/>
      <w:pPr>
        <w:ind w:left="3420" w:hanging="420"/>
      </w:pPr>
    </w:lvl>
    <w:lvl w:ilvl="7" w:tplc="AA983DBA" w:tentative="1">
      <w:start w:val="1"/>
      <w:numFmt w:val="lowerLetter"/>
      <w:lvlText w:val="%8)"/>
      <w:lvlJc w:val="left"/>
      <w:pPr>
        <w:ind w:left="3840" w:hanging="420"/>
      </w:pPr>
    </w:lvl>
    <w:lvl w:ilvl="8" w:tplc="8E247BAA" w:tentative="1">
      <w:start w:val="1"/>
      <w:numFmt w:val="lowerRoman"/>
      <w:lvlText w:val="%9."/>
      <w:lvlJc w:val="right"/>
      <w:pPr>
        <w:ind w:left="4260" w:hanging="420"/>
      </w:pPr>
    </w:lvl>
  </w:abstractNum>
  <w:abstractNum w:abstractNumId="6" w15:restartNumberingAfterBreak="0">
    <w:nsid w:val="51E216DA"/>
    <w:multiLevelType w:val="hybridMultilevel"/>
    <w:tmpl w:val="997A61C2"/>
    <w:lvl w:ilvl="0" w:tplc="DE16895C">
      <w:start w:val="1"/>
      <w:numFmt w:val="decimal"/>
      <w:lvlText w:val="（%1）"/>
      <w:lvlJc w:val="left"/>
      <w:pPr>
        <w:ind w:left="1200" w:hanging="720"/>
      </w:pPr>
      <w:rPr>
        <w:rFonts w:hint="default"/>
      </w:rPr>
    </w:lvl>
    <w:lvl w:ilvl="1" w:tplc="2DCE9C32" w:tentative="1">
      <w:start w:val="1"/>
      <w:numFmt w:val="lowerLetter"/>
      <w:lvlText w:val="%2)"/>
      <w:lvlJc w:val="left"/>
      <w:pPr>
        <w:ind w:left="1320" w:hanging="420"/>
      </w:pPr>
    </w:lvl>
    <w:lvl w:ilvl="2" w:tplc="D7E29CCE" w:tentative="1">
      <w:start w:val="1"/>
      <w:numFmt w:val="lowerRoman"/>
      <w:lvlText w:val="%3."/>
      <w:lvlJc w:val="right"/>
      <w:pPr>
        <w:ind w:left="1740" w:hanging="420"/>
      </w:pPr>
    </w:lvl>
    <w:lvl w:ilvl="3" w:tplc="F55432F4" w:tentative="1">
      <w:start w:val="1"/>
      <w:numFmt w:val="decimal"/>
      <w:lvlText w:val="%4."/>
      <w:lvlJc w:val="left"/>
      <w:pPr>
        <w:ind w:left="2160" w:hanging="420"/>
      </w:pPr>
    </w:lvl>
    <w:lvl w:ilvl="4" w:tplc="2EC6E180" w:tentative="1">
      <w:start w:val="1"/>
      <w:numFmt w:val="lowerLetter"/>
      <w:lvlText w:val="%5)"/>
      <w:lvlJc w:val="left"/>
      <w:pPr>
        <w:ind w:left="2580" w:hanging="420"/>
      </w:pPr>
    </w:lvl>
    <w:lvl w:ilvl="5" w:tplc="72B61856" w:tentative="1">
      <w:start w:val="1"/>
      <w:numFmt w:val="lowerRoman"/>
      <w:lvlText w:val="%6."/>
      <w:lvlJc w:val="right"/>
      <w:pPr>
        <w:ind w:left="3000" w:hanging="420"/>
      </w:pPr>
    </w:lvl>
    <w:lvl w:ilvl="6" w:tplc="F40ABF2C" w:tentative="1">
      <w:start w:val="1"/>
      <w:numFmt w:val="decimal"/>
      <w:lvlText w:val="%7."/>
      <w:lvlJc w:val="left"/>
      <w:pPr>
        <w:ind w:left="3420" w:hanging="420"/>
      </w:pPr>
    </w:lvl>
    <w:lvl w:ilvl="7" w:tplc="A8D0BDCA" w:tentative="1">
      <w:start w:val="1"/>
      <w:numFmt w:val="lowerLetter"/>
      <w:lvlText w:val="%8)"/>
      <w:lvlJc w:val="left"/>
      <w:pPr>
        <w:ind w:left="3840" w:hanging="420"/>
      </w:pPr>
    </w:lvl>
    <w:lvl w:ilvl="8" w:tplc="6516944A" w:tentative="1">
      <w:start w:val="1"/>
      <w:numFmt w:val="lowerRoman"/>
      <w:lvlText w:val="%9."/>
      <w:lvlJc w:val="right"/>
      <w:pPr>
        <w:ind w:left="4260" w:hanging="420"/>
      </w:pPr>
    </w:lvl>
  </w:abstractNum>
  <w:abstractNum w:abstractNumId="7" w15:restartNumberingAfterBreak="0">
    <w:nsid w:val="5A860B59"/>
    <w:multiLevelType w:val="hybridMultilevel"/>
    <w:tmpl w:val="72E65FD6"/>
    <w:lvl w:ilvl="0" w:tplc="2C866D3A">
      <w:start w:val="1"/>
      <w:numFmt w:val="decimalEnclosedCircle"/>
      <w:lvlText w:val="%1"/>
      <w:lvlJc w:val="left"/>
      <w:pPr>
        <w:ind w:left="360" w:hanging="360"/>
      </w:pPr>
      <w:rPr>
        <w:rFonts w:hint="default"/>
      </w:rPr>
    </w:lvl>
    <w:lvl w:ilvl="1" w:tplc="A140A054" w:tentative="1">
      <w:start w:val="1"/>
      <w:numFmt w:val="lowerLetter"/>
      <w:lvlText w:val="%2)"/>
      <w:lvlJc w:val="left"/>
      <w:pPr>
        <w:ind w:left="840" w:hanging="420"/>
      </w:pPr>
    </w:lvl>
    <w:lvl w:ilvl="2" w:tplc="2B1C1ABA" w:tentative="1">
      <w:start w:val="1"/>
      <w:numFmt w:val="lowerRoman"/>
      <w:lvlText w:val="%3."/>
      <w:lvlJc w:val="right"/>
      <w:pPr>
        <w:ind w:left="1260" w:hanging="420"/>
      </w:pPr>
    </w:lvl>
    <w:lvl w:ilvl="3" w:tplc="BC8002C6" w:tentative="1">
      <w:start w:val="1"/>
      <w:numFmt w:val="decimal"/>
      <w:lvlText w:val="%4."/>
      <w:lvlJc w:val="left"/>
      <w:pPr>
        <w:ind w:left="1680" w:hanging="420"/>
      </w:pPr>
    </w:lvl>
    <w:lvl w:ilvl="4" w:tplc="A2788476" w:tentative="1">
      <w:start w:val="1"/>
      <w:numFmt w:val="lowerLetter"/>
      <w:lvlText w:val="%5)"/>
      <w:lvlJc w:val="left"/>
      <w:pPr>
        <w:ind w:left="2100" w:hanging="420"/>
      </w:pPr>
    </w:lvl>
    <w:lvl w:ilvl="5" w:tplc="2002491A" w:tentative="1">
      <w:start w:val="1"/>
      <w:numFmt w:val="lowerRoman"/>
      <w:lvlText w:val="%6."/>
      <w:lvlJc w:val="right"/>
      <w:pPr>
        <w:ind w:left="2520" w:hanging="420"/>
      </w:pPr>
    </w:lvl>
    <w:lvl w:ilvl="6" w:tplc="F8E02A42" w:tentative="1">
      <w:start w:val="1"/>
      <w:numFmt w:val="decimal"/>
      <w:lvlText w:val="%7."/>
      <w:lvlJc w:val="left"/>
      <w:pPr>
        <w:ind w:left="2940" w:hanging="420"/>
      </w:pPr>
    </w:lvl>
    <w:lvl w:ilvl="7" w:tplc="7ECAA970" w:tentative="1">
      <w:start w:val="1"/>
      <w:numFmt w:val="lowerLetter"/>
      <w:lvlText w:val="%8)"/>
      <w:lvlJc w:val="left"/>
      <w:pPr>
        <w:ind w:left="3360" w:hanging="420"/>
      </w:pPr>
    </w:lvl>
    <w:lvl w:ilvl="8" w:tplc="AAEA4608" w:tentative="1">
      <w:start w:val="1"/>
      <w:numFmt w:val="lowerRoman"/>
      <w:lvlText w:val="%9."/>
      <w:lvlJc w:val="right"/>
      <w:pPr>
        <w:ind w:left="3780" w:hanging="420"/>
      </w:pPr>
    </w:lvl>
  </w:abstractNum>
  <w:abstractNum w:abstractNumId="8" w15:restartNumberingAfterBreak="0">
    <w:nsid w:val="5B28C0D8"/>
    <w:multiLevelType w:val="singleLevel"/>
    <w:tmpl w:val="5B28C0D8"/>
    <w:lvl w:ilvl="0">
      <w:start w:val="6"/>
      <w:numFmt w:val="chineseCounting"/>
      <w:suff w:val="nothing"/>
      <w:lvlText w:val="%1、"/>
      <w:lvlJc w:val="left"/>
    </w:lvl>
  </w:abstractNum>
  <w:abstractNum w:abstractNumId="9" w15:restartNumberingAfterBreak="0">
    <w:nsid w:val="5BD27EBD"/>
    <w:multiLevelType w:val="singleLevel"/>
    <w:tmpl w:val="5BD27EBD"/>
    <w:lvl w:ilvl="0">
      <w:start w:val="3"/>
      <w:numFmt w:val="chineseCounting"/>
      <w:suff w:val="nothing"/>
      <w:lvlText w:val="%1、"/>
      <w:lvlJc w:val="left"/>
    </w:lvl>
  </w:abstractNum>
  <w:abstractNum w:abstractNumId="10" w15:restartNumberingAfterBreak="0">
    <w:nsid w:val="614E4323"/>
    <w:multiLevelType w:val="hybridMultilevel"/>
    <w:tmpl w:val="BF34A04A"/>
    <w:lvl w:ilvl="0" w:tplc="BBA64790">
      <w:start w:val="1"/>
      <w:numFmt w:val="lowerRoman"/>
      <w:lvlText w:val="%1."/>
      <w:lvlJc w:val="right"/>
      <w:pPr>
        <w:ind w:left="900" w:hanging="420"/>
      </w:pPr>
    </w:lvl>
    <w:lvl w:ilvl="1" w:tplc="AD866DF8" w:tentative="1">
      <w:start w:val="1"/>
      <w:numFmt w:val="lowerLetter"/>
      <w:lvlText w:val="%2)"/>
      <w:lvlJc w:val="left"/>
      <w:pPr>
        <w:ind w:left="1320" w:hanging="420"/>
      </w:pPr>
    </w:lvl>
    <w:lvl w:ilvl="2" w:tplc="5ACEFFBE" w:tentative="1">
      <w:start w:val="1"/>
      <w:numFmt w:val="lowerRoman"/>
      <w:lvlText w:val="%3."/>
      <w:lvlJc w:val="right"/>
      <w:pPr>
        <w:ind w:left="1740" w:hanging="420"/>
      </w:pPr>
    </w:lvl>
    <w:lvl w:ilvl="3" w:tplc="B1FA3CA2" w:tentative="1">
      <w:start w:val="1"/>
      <w:numFmt w:val="decimal"/>
      <w:lvlText w:val="%4."/>
      <w:lvlJc w:val="left"/>
      <w:pPr>
        <w:ind w:left="2160" w:hanging="420"/>
      </w:pPr>
    </w:lvl>
    <w:lvl w:ilvl="4" w:tplc="9F529ACC" w:tentative="1">
      <w:start w:val="1"/>
      <w:numFmt w:val="lowerLetter"/>
      <w:lvlText w:val="%5)"/>
      <w:lvlJc w:val="left"/>
      <w:pPr>
        <w:ind w:left="2580" w:hanging="420"/>
      </w:pPr>
    </w:lvl>
    <w:lvl w:ilvl="5" w:tplc="1110DCD6" w:tentative="1">
      <w:start w:val="1"/>
      <w:numFmt w:val="lowerRoman"/>
      <w:lvlText w:val="%6."/>
      <w:lvlJc w:val="right"/>
      <w:pPr>
        <w:ind w:left="3000" w:hanging="420"/>
      </w:pPr>
    </w:lvl>
    <w:lvl w:ilvl="6" w:tplc="9F38B660" w:tentative="1">
      <w:start w:val="1"/>
      <w:numFmt w:val="decimal"/>
      <w:lvlText w:val="%7."/>
      <w:lvlJc w:val="left"/>
      <w:pPr>
        <w:ind w:left="3420" w:hanging="420"/>
      </w:pPr>
    </w:lvl>
    <w:lvl w:ilvl="7" w:tplc="22F8C7E8" w:tentative="1">
      <w:start w:val="1"/>
      <w:numFmt w:val="lowerLetter"/>
      <w:lvlText w:val="%8)"/>
      <w:lvlJc w:val="left"/>
      <w:pPr>
        <w:ind w:left="3840" w:hanging="420"/>
      </w:pPr>
    </w:lvl>
    <w:lvl w:ilvl="8" w:tplc="B8263F34" w:tentative="1">
      <w:start w:val="1"/>
      <w:numFmt w:val="lowerRoman"/>
      <w:lvlText w:val="%9."/>
      <w:lvlJc w:val="right"/>
      <w:pPr>
        <w:ind w:left="4260" w:hanging="420"/>
      </w:pPr>
    </w:lvl>
  </w:abstractNum>
  <w:abstractNum w:abstractNumId="11" w15:restartNumberingAfterBreak="0">
    <w:nsid w:val="7F7B5D5B"/>
    <w:multiLevelType w:val="hybridMultilevel"/>
    <w:tmpl w:val="AA78389E"/>
    <w:lvl w:ilvl="0" w:tplc="9F2E0ECA">
      <w:start w:val="1"/>
      <w:numFmt w:val="decimal"/>
      <w:lvlText w:val="%1、"/>
      <w:lvlJc w:val="left"/>
      <w:pPr>
        <w:ind w:left="840" w:hanging="360"/>
      </w:pPr>
      <w:rPr>
        <w:rFonts w:ascii="Times New Roman" w:eastAsia="宋体" w:hAnsi="Times New Roman" w:hint="default"/>
        <w:sz w:val="24"/>
      </w:rPr>
    </w:lvl>
    <w:lvl w:ilvl="1" w:tplc="B8EA5F42" w:tentative="1">
      <w:start w:val="1"/>
      <w:numFmt w:val="lowerLetter"/>
      <w:lvlText w:val="%2)"/>
      <w:lvlJc w:val="left"/>
      <w:pPr>
        <w:ind w:left="1320" w:hanging="420"/>
      </w:pPr>
    </w:lvl>
    <w:lvl w:ilvl="2" w:tplc="C8E81D76" w:tentative="1">
      <w:start w:val="1"/>
      <w:numFmt w:val="lowerRoman"/>
      <w:lvlText w:val="%3."/>
      <w:lvlJc w:val="right"/>
      <w:pPr>
        <w:ind w:left="1740" w:hanging="420"/>
      </w:pPr>
    </w:lvl>
    <w:lvl w:ilvl="3" w:tplc="81F28D58" w:tentative="1">
      <w:start w:val="1"/>
      <w:numFmt w:val="decimal"/>
      <w:lvlText w:val="%4."/>
      <w:lvlJc w:val="left"/>
      <w:pPr>
        <w:ind w:left="2160" w:hanging="420"/>
      </w:pPr>
    </w:lvl>
    <w:lvl w:ilvl="4" w:tplc="ED5CAAAE" w:tentative="1">
      <w:start w:val="1"/>
      <w:numFmt w:val="lowerLetter"/>
      <w:lvlText w:val="%5)"/>
      <w:lvlJc w:val="left"/>
      <w:pPr>
        <w:ind w:left="2580" w:hanging="420"/>
      </w:pPr>
    </w:lvl>
    <w:lvl w:ilvl="5" w:tplc="4E8231F8" w:tentative="1">
      <w:start w:val="1"/>
      <w:numFmt w:val="lowerRoman"/>
      <w:lvlText w:val="%6."/>
      <w:lvlJc w:val="right"/>
      <w:pPr>
        <w:ind w:left="3000" w:hanging="420"/>
      </w:pPr>
    </w:lvl>
    <w:lvl w:ilvl="6" w:tplc="6FC66F28" w:tentative="1">
      <w:start w:val="1"/>
      <w:numFmt w:val="decimal"/>
      <w:lvlText w:val="%7."/>
      <w:lvlJc w:val="left"/>
      <w:pPr>
        <w:ind w:left="3420" w:hanging="420"/>
      </w:pPr>
    </w:lvl>
    <w:lvl w:ilvl="7" w:tplc="B770C70E" w:tentative="1">
      <w:start w:val="1"/>
      <w:numFmt w:val="lowerLetter"/>
      <w:lvlText w:val="%8)"/>
      <w:lvlJc w:val="left"/>
      <w:pPr>
        <w:ind w:left="3840" w:hanging="420"/>
      </w:pPr>
    </w:lvl>
    <w:lvl w:ilvl="8" w:tplc="0DFA8F4C" w:tentative="1">
      <w:start w:val="1"/>
      <w:numFmt w:val="lowerRoman"/>
      <w:lvlText w:val="%9."/>
      <w:lvlJc w:val="right"/>
      <w:pPr>
        <w:ind w:left="4260" w:hanging="420"/>
      </w:pPr>
    </w:lvl>
  </w:abstractNum>
  <w:abstractNum w:abstractNumId="12" w15:restartNumberingAfterBreak="0">
    <w:nsid w:val="7FED6DA0"/>
    <w:multiLevelType w:val="hybridMultilevel"/>
    <w:tmpl w:val="DDC8C464"/>
    <w:lvl w:ilvl="0" w:tplc="9C2A8010">
      <w:start w:val="1"/>
      <w:numFmt w:val="lowerRoman"/>
      <w:lvlText w:val="%1."/>
      <w:lvlJc w:val="right"/>
      <w:pPr>
        <w:ind w:left="360" w:hanging="360"/>
      </w:pPr>
      <w:rPr>
        <w:rFonts w:hint="eastAsia"/>
      </w:rPr>
    </w:lvl>
    <w:lvl w:ilvl="1" w:tplc="4D8C693A" w:tentative="1">
      <w:start w:val="1"/>
      <w:numFmt w:val="lowerLetter"/>
      <w:lvlText w:val="%2)"/>
      <w:lvlJc w:val="left"/>
      <w:pPr>
        <w:ind w:left="840" w:hanging="420"/>
      </w:pPr>
    </w:lvl>
    <w:lvl w:ilvl="2" w:tplc="712879B6" w:tentative="1">
      <w:start w:val="1"/>
      <w:numFmt w:val="lowerRoman"/>
      <w:lvlText w:val="%3."/>
      <w:lvlJc w:val="right"/>
      <w:pPr>
        <w:ind w:left="1260" w:hanging="420"/>
      </w:pPr>
    </w:lvl>
    <w:lvl w:ilvl="3" w:tplc="D1F08CCC" w:tentative="1">
      <w:start w:val="1"/>
      <w:numFmt w:val="decimal"/>
      <w:lvlText w:val="%4."/>
      <w:lvlJc w:val="left"/>
      <w:pPr>
        <w:ind w:left="1680" w:hanging="420"/>
      </w:pPr>
    </w:lvl>
    <w:lvl w:ilvl="4" w:tplc="F7D0A830" w:tentative="1">
      <w:start w:val="1"/>
      <w:numFmt w:val="lowerLetter"/>
      <w:lvlText w:val="%5)"/>
      <w:lvlJc w:val="left"/>
      <w:pPr>
        <w:ind w:left="2100" w:hanging="420"/>
      </w:pPr>
    </w:lvl>
    <w:lvl w:ilvl="5" w:tplc="CD609488" w:tentative="1">
      <w:start w:val="1"/>
      <w:numFmt w:val="lowerRoman"/>
      <w:lvlText w:val="%6."/>
      <w:lvlJc w:val="right"/>
      <w:pPr>
        <w:ind w:left="2520" w:hanging="420"/>
      </w:pPr>
    </w:lvl>
    <w:lvl w:ilvl="6" w:tplc="A7EEBE44" w:tentative="1">
      <w:start w:val="1"/>
      <w:numFmt w:val="decimal"/>
      <w:lvlText w:val="%7."/>
      <w:lvlJc w:val="left"/>
      <w:pPr>
        <w:ind w:left="2940" w:hanging="420"/>
      </w:pPr>
    </w:lvl>
    <w:lvl w:ilvl="7" w:tplc="A91ADA70" w:tentative="1">
      <w:start w:val="1"/>
      <w:numFmt w:val="lowerLetter"/>
      <w:lvlText w:val="%8)"/>
      <w:lvlJc w:val="left"/>
      <w:pPr>
        <w:ind w:left="3360" w:hanging="420"/>
      </w:pPr>
    </w:lvl>
    <w:lvl w:ilvl="8" w:tplc="85DA6D88"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5B3D"/>
    <w:rsid w:val="0003741E"/>
    <w:rsid w:val="000402C2"/>
    <w:rsid w:val="00040E8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627D"/>
    <w:rsid w:val="00067658"/>
    <w:rsid w:val="000700C4"/>
    <w:rsid w:val="00072899"/>
    <w:rsid w:val="0007536D"/>
    <w:rsid w:val="00080338"/>
    <w:rsid w:val="0008313D"/>
    <w:rsid w:val="00085549"/>
    <w:rsid w:val="00085738"/>
    <w:rsid w:val="0008618A"/>
    <w:rsid w:val="000873A1"/>
    <w:rsid w:val="00087617"/>
    <w:rsid w:val="00090C27"/>
    <w:rsid w:val="00093C4F"/>
    <w:rsid w:val="00093E3D"/>
    <w:rsid w:val="000946A7"/>
    <w:rsid w:val="00094E37"/>
    <w:rsid w:val="000A0044"/>
    <w:rsid w:val="000A052A"/>
    <w:rsid w:val="000A4208"/>
    <w:rsid w:val="000A5432"/>
    <w:rsid w:val="000A5CA1"/>
    <w:rsid w:val="000A62B2"/>
    <w:rsid w:val="000B0373"/>
    <w:rsid w:val="000B2B5D"/>
    <w:rsid w:val="000B2D11"/>
    <w:rsid w:val="000B2E1D"/>
    <w:rsid w:val="000B3100"/>
    <w:rsid w:val="000B3A83"/>
    <w:rsid w:val="000B4B44"/>
    <w:rsid w:val="000B7698"/>
    <w:rsid w:val="000C24FA"/>
    <w:rsid w:val="000C2F1C"/>
    <w:rsid w:val="000C3747"/>
    <w:rsid w:val="000C66FB"/>
    <w:rsid w:val="000C7015"/>
    <w:rsid w:val="000C718F"/>
    <w:rsid w:val="000C7F98"/>
    <w:rsid w:val="000D214C"/>
    <w:rsid w:val="000D5B88"/>
    <w:rsid w:val="000E01C9"/>
    <w:rsid w:val="000E1B21"/>
    <w:rsid w:val="000E379A"/>
    <w:rsid w:val="000E46DC"/>
    <w:rsid w:val="000E7118"/>
    <w:rsid w:val="000F1390"/>
    <w:rsid w:val="000F2D8B"/>
    <w:rsid w:val="000F40A7"/>
    <w:rsid w:val="00100D07"/>
    <w:rsid w:val="00101D37"/>
    <w:rsid w:val="00103ED6"/>
    <w:rsid w:val="001079D9"/>
    <w:rsid w:val="001104AD"/>
    <w:rsid w:val="0011068C"/>
    <w:rsid w:val="00110ABD"/>
    <w:rsid w:val="00113269"/>
    <w:rsid w:val="001134B3"/>
    <w:rsid w:val="001134F4"/>
    <w:rsid w:val="001220F7"/>
    <w:rsid w:val="00123EB0"/>
    <w:rsid w:val="00126AE2"/>
    <w:rsid w:val="00126E79"/>
    <w:rsid w:val="001342AC"/>
    <w:rsid w:val="00134954"/>
    <w:rsid w:val="00135950"/>
    <w:rsid w:val="00137FA4"/>
    <w:rsid w:val="00141EF4"/>
    <w:rsid w:val="001514B8"/>
    <w:rsid w:val="001522C5"/>
    <w:rsid w:val="001531D8"/>
    <w:rsid w:val="00153D01"/>
    <w:rsid w:val="00153E62"/>
    <w:rsid w:val="00154395"/>
    <w:rsid w:val="00154557"/>
    <w:rsid w:val="00156A25"/>
    <w:rsid w:val="00157A3D"/>
    <w:rsid w:val="00157FB7"/>
    <w:rsid w:val="00163549"/>
    <w:rsid w:val="00164D53"/>
    <w:rsid w:val="0016555B"/>
    <w:rsid w:val="00167C81"/>
    <w:rsid w:val="00171C27"/>
    <w:rsid w:val="00172A27"/>
    <w:rsid w:val="0017353E"/>
    <w:rsid w:val="00174D1A"/>
    <w:rsid w:val="0017558A"/>
    <w:rsid w:val="0017750B"/>
    <w:rsid w:val="001813A6"/>
    <w:rsid w:val="00181B34"/>
    <w:rsid w:val="00182814"/>
    <w:rsid w:val="00184368"/>
    <w:rsid w:val="00184A75"/>
    <w:rsid w:val="00184B76"/>
    <w:rsid w:val="00187BCF"/>
    <w:rsid w:val="001945E9"/>
    <w:rsid w:val="00194664"/>
    <w:rsid w:val="00194873"/>
    <w:rsid w:val="00194E95"/>
    <w:rsid w:val="0019565B"/>
    <w:rsid w:val="0019649B"/>
    <w:rsid w:val="001A3218"/>
    <w:rsid w:val="001A4100"/>
    <w:rsid w:val="001A6810"/>
    <w:rsid w:val="001A7E11"/>
    <w:rsid w:val="001B0ACB"/>
    <w:rsid w:val="001B1027"/>
    <w:rsid w:val="001B23B7"/>
    <w:rsid w:val="001B3121"/>
    <w:rsid w:val="001B325B"/>
    <w:rsid w:val="001B6BAC"/>
    <w:rsid w:val="001C101B"/>
    <w:rsid w:val="001C1B8F"/>
    <w:rsid w:val="001C3ED3"/>
    <w:rsid w:val="001C4009"/>
    <w:rsid w:val="001C5537"/>
    <w:rsid w:val="001C6D6A"/>
    <w:rsid w:val="001C7B68"/>
    <w:rsid w:val="001D57AF"/>
    <w:rsid w:val="001E094C"/>
    <w:rsid w:val="001E0FF2"/>
    <w:rsid w:val="001E2C2E"/>
    <w:rsid w:val="001E2C42"/>
    <w:rsid w:val="001E505C"/>
    <w:rsid w:val="001E5A8A"/>
    <w:rsid w:val="001E5F81"/>
    <w:rsid w:val="001E5F9D"/>
    <w:rsid w:val="001F0926"/>
    <w:rsid w:val="001F0940"/>
    <w:rsid w:val="001F13BD"/>
    <w:rsid w:val="001F4B18"/>
    <w:rsid w:val="001F50E1"/>
    <w:rsid w:val="00204621"/>
    <w:rsid w:val="00206016"/>
    <w:rsid w:val="00210EF2"/>
    <w:rsid w:val="002172E3"/>
    <w:rsid w:val="002178D8"/>
    <w:rsid w:val="0022040F"/>
    <w:rsid w:val="00222562"/>
    <w:rsid w:val="00222DE4"/>
    <w:rsid w:val="0022352D"/>
    <w:rsid w:val="002254B5"/>
    <w:rsid w:val="002256A5"/>
    <w:rsid w:val="00226455"/>
    <w:rsid w:val="00226C42"/>
    <w:rsid w:val="00226F1E"/>
    <w:rsid w:val="0022787F"/>
    <w:rsid w:val="002306FB"/>
    <w:rsid w:val="00232C19"/>
    <w:rsid w:val="002340FE"/>
    <w:rsid w:val="00236F6C"/>
    <w:rsid w:val="0024308D"/>
    <w:rsid w:val="00244337"/>
    <w:rsid w:val="0024488F"/>
    <w:rsid w:val="00245241"/>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3A2D"/>
    <w:rsid w:val="002B6473"/>
    <w:rsid w:val="002B7554"/>
    <w:rsid w:val="002C077B"/>
    <w:rsid w:val="002C28E2"/>
    <w:rsid w:val="002C3D58"/>
    <w:rsid w:val="002C59D2"/>
    <w:rsid w:val="002C7792"/>
    <w:rsid w:val="002C7A62"/>
    <w:rsid w:val="002D0108"/>
    <w:rsid w:val="002D179A"/>
    <w:rsid w:val="002E0E13"/>
    <w:rsid w:val="002E3842"/>
    <w:rsid w:val="002E4136"/>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B24"/>
    <w:rsid w:val="00331C52"/>
    <w:rsid w:val="00331EA2"/>
    <w:rsid w:val="003326C2"/>
    <w:rsid w:val="00335397"/>
    <w:rsid w:val="003400CA"/>
    <w:rsid w:val="003406CD"/>
    <w:rsid w:val="00341D5C"/>
    <w:rsid w:val="00341FC3"/>
    <w:rsid w:val="00343C18"/>
    <w:rsid w:val="00343C28"/>
    <w:rsid w:val="00351F38"/>
    <w:rsid w:val="003528FF"/>
    <w:rsid w:val="00352A25"/>
    <w:rsid w:val="00353D96"/>
    <w:rsid w:val="00357A08"/>
    <w:rsid w:val="0036095B"/>
    <w:rsid w:val="003610DF"/>
    <w:rsid w:val="00361178"/>
    <w:rsid w:val="00362023"/>
    <w:rsid w:val="003620CD"/>
    <w:rsid w:val="00363E10"/>
    <w:rsid w:val="003641E7"/>
    <w:rsid w:val="00365108"/>
    <w:rsid w:val="00365600"/>
    <w:rsid w:val="00365EDD"/>
    <w:rsid w:val="00367042"/>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3FA4"/>
    <w:rsid w:val="003A4187"/>
    <w:rsid w:val="003A4239"/>
    <w:rsid w:val="003A7966"/>
    <w:rsid w:val="003B036E"/>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2D6"/>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16341"/>
    <w:rsid w:val="00421136"/>
    <w:rsid w:val="00421F42"/>
    <w:rsid w:val="00424437"/>
    <w:rsid w:val="00425210"/>
    <w:rsid w:val="00425551"/>
    <w:rsid w:val="0043083F"/>
    <w:rsid w:val="004356A1"/>
    <w:rsid w:val="004365C5"/>
    <w:rsid w:val="0044015A"/>
    <w:rsid w:val="004421C9"/>
    <w:rsid w:val="00443A86"/>
    <w:rsid w:val="00443E05"/>
    <w:rsid w:val="00443F0B"/>
    <w:rsid w:val="004455DC"/>
    <w:rsid w:val="0045064E"/>
    <w:rsid w:val="004514D2"/>
    <w:rsid w:val="004523BC"/>
    <w:rsid w:val="00454167"/>
    <w:rsid w:val="00456A74"/>
    <w:rsid w:val="004630AA"/>
    <w:rsid w:val="00463C2E"/>
    <w:rsid w:val="0046493A"/>
    <w:rsid w:val="004663BB"/>
    <w:rsid w:val="00471FB4"/>
    <w:rsid w:val="004748B5"/>
    <w:rsid w:val="00476147"/>
    <w:rsid w:val="00477B2F"/>
    <w:rsid w:val="004811D9"/>
    <w:rsid w:val="00481428"/>
    <w:rsid w:val="004817AB"/>
    <w:rsid w:val="00482449"/>
    <w:rsid w:val="00483A5A"/>
    <w:rsid w:val="004850E4"/>
    <w:rsid w:val="00485743"/>
    <w:rsid w:val="00485D6C"/>
    <w:rsid w:val="00490162"/>
    <w:rsid w:val="00493E9A"/>
    <w:rsid w:val="00493F38"/>
    <w:rsid w:val="0049407A"/>
    <w:rsid w:val="004A065C"/>
    <w:rsid w:val="004A23AD"/>
    <w:rsid w:val="004A3A39"/>
    <w:rsid w:val="004A44C9"/>
    <w:rsid w:val="004B0446"/>
    <w:rsid w:val="004B0880"/>
    <w:rsid w:val="004B0FF1"/>
    <w:rsid w:val="004B342D"/>
    <w:rsid w:val="004B3B51"/>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2FB8"/>
    <w:rsid w:val="004E3748"/>
    <w:rsid w:val="004E71CB"/>
    <w:rsid w:val="004E7693"/>
    <w:rsid w:val="004F235D"/>
    <w:rsid w:val="004F2BF3"/>
    <w:rsid w:val="004F67DD"/>
    <w:rsid w:val="004F7634"/>
    <w:rsid w:val="0050234F"/>
    <w:rsid w:val="00503385"/>
    <w:rsid w:val="005042D7"/>
    <w:rsid w:val="005043A3"/>
    <w:rsid w:val="0050527D"/>
    <w:rsid w:val="005071AC"/>
    <w:rsid w:val="005073F9"/>
    <w:rsid w:val="00510629"/>
    <w:rsid w:val="00510B3C"/>
    <w:rsid w:val="005143CF"/>
    <w:rsid w:val="00517CC1"/>
    <w:rsid w:val="00521E6C"/>
    <w:rsid w:val="0052235B"/>
    <w:rsid w:val="00522B7E"/>
    <w:rsid w:val="005232C1"/>
    <w:rsid w:val="00523C59"/>
    <w:rsid w:val="00523FEC"/>
    <w:rsid w:val="0052416A"/>
    <w:rsid w:val="00524736"/>
    <w:rsid w:val="005250A6"/>
    <w:rsid w:val="0052660B"/>
    <w:rsid w:val="00527B93"/>
    <w:rsid w:val="00530000"/>
    <w:rsid w:val="0053172D"/>
    <w:rsid w:val="00531E8F"/>
    <w:rsid w:val="00533313"/>
    <w:rsid w:val="00535DB8"/>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3116"/>
    <w:rsid w:val="005940EA"/>
    <w:rsid w:val="00595FE1"/>
    <w:rsid w:val="00597C83"/>
    <w:rsid w:val="005A1356"/>
    <w:rsid w:val="005A5B49"/>
    <w:rsid w:val="005A6629"/>
    <w:rsid w:val="005A7366"/>
    <w:rsid w:val="005B0BA9"/>
    <w:rsid w:val="005B6D99"/>
    <w:rsid w:val="005C0E89"/>
    <w:rsid w:val="005C4915"/>
    <w:rsid w:val="005C5F32"/>
    <w:rsid w:val="005C7EF8"/>
    <w:rsid w:val="005D24E6"/>
    <w:rsid w:val="005D357F"/>
    <w:rsid w:val="005D59A2"/>
    <w:rsid w:val="005E32FD"/>
    <w:rsid w:val="005E4871"/>
    <w:rsid w:val="005E55B6"/>
    <w:rsid w:val="005E6D9B"/>
    <w:rsid w:val="005F295D"/>
    <w:rsid w:val="005F4650"/>
    <w:rsid w:val="005F5458"/>
    <w:rsid w:val="005F6173"/>
    <w:rsid w:val="005F6A5D"/>
    <w:rsid w:val="00604F22"/>
    <w:rsid w:val="00605A97"/>
    <w:rsid w:val="00606858"/>
    <w:rsid w:val="00606AAD"/>
    <w:rsid w:val="00607E89"/>
    <w:rsid w:val="0061051E"/>
    <w:rsid w:val="006136FE"/>
    <w:rsid w:val="00614B17"/>
    <w:rsid w:val="006152B7"/>
    <w:rsid w:val="00616766"/>
    <w:rsid w:val="00624BF6"/>
    <w:rsid w:val="006273F7"/>
    <w:rsid w:val="00632B7F"/>
    <w:rsid w:val="00632C60"/>
    <w:rsid w:val="00632E88"/>
    <w:rsid w:val="0063350D"/>
    <w:rsid w:val="00640B38"/>
    <w:rsid w:val="00647016"/>
    <w:rsid w:val="00647A6D"/>
    <w:rsid w:val="00647C44"/>
    <w:rsid w:val="006544C5"/>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377D"/>
    <w:rsid w:val="0068450B"/>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B6543"/>
    <w:rsid w:val="006C15DB"/>
    <w:rsid w:val="006C298A"/>
    <w:rsid w:val="006C2B3B"/>
    <w:rsid w:val="006C2FDA"/>
    <w:rsid w:val="006C374A"/>
    <w:rsid w:val="006C37EA"/>
    <w:rsid w:val="006C3A3D"/>
    <w:rsid w:val="006C5211"/>
    <w:rsid w:val="006C53C8"/>
    <w:rsid w:val="006C55EB"/>
    <w:rsid w:val="006C5EAA"/>
    <w:rsid w:val="006C6740"/>
    <w:rsid w:val="006D0015"/>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734B"/>
    <w:rsid w:val="00730D8B"/>
    <w:rsid w:val="00733D7A"/>
    <w:rsid w:val="00733E69"/>
    <w:rsid w:val="0073694A"/>
    <w:rsid w:val="00736C1C"/>
    <w:rsid w:val="00740E45"/>
    <w:rsid w:val="00741C03"/>
    <w:rsid w:val="00742CD2"/>
    <w:rsid w:val="00743628"/>
    <w:rsid w:val="00745B02"/>
    <w:rsid w:val="0074618C"/>
    <w:rsid w:val="0074622F"/>
    <w:rsid w:val="00750672"/>
    <w:rsid w:val="00750958"/>
    <w:rsid w:val="00751CC2"/>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3E3E"/>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0056"/>
    <w:rsid w:val="007F0B88"/>
    <w:rsid w:val="007F100A"/>
    <w:rsid w:val="007F116F"/>
    <w:rsid w:val="007F2532"/>
    <w:rsid w:val="007F29DF"/>
    <w:rsid w:val="007F317B"/>
    <w:rsid w:val="007F74BB"/>
    <w:rsid w:val="007F7644"/>
    <w:rsid w:val="0080005F"/>
    <w:rsid w:val="008023A4"/>
    <w:rsid w:val="008025B8"/>
    <w:rsid w:val="0080292B"/>
    <w:rsid w:val="008034F4"/>
    <w:rsid w:val="00803E5F"/>
    <w:rsid w:val="00804D8A"/>
    <w:rsid w:val="00805681"/>
    <w:rsid w:val="00811A98"/>
    <w:rsid w:val="00812BE2"/>
    <w:rsid w:val="00812C24"/>
    <w:rsid w:val="008157DE"/>
    <w:rsid w:val="008161AC"/>
    <w:rsid w:val="00816F47"/>
    <w:rsid w:val="00817FDD"/>
    <w:rsid w:val="00820176"/>
    <w:rsid w:val="008215E7"/>
    <w:rsid w:val="0082282E"/>
    <w:rsid w:val="0082397C"/>
    <w:rsid w:val="00823C3C"/>
    <w:rsid w:val="008279AF"/>
    <w:rsid w:val="00830F84"/>
    <w:rsid w:val="00831C63"/>
    <w:rsid w:val="00833278"/>
    <w:rsid w:val="008349B9"/>
    <w:rsid w:val="00835199"/>
    <w:rsid w:val="008367AC"/>
    <w:rsid w:val="0084171C"/>
    <w:rsid w:val="008420CD"/>
    <w:rsid w:val="00845783"/>
    <w:rsid w:val="00846146"/>
    <w:rsid w:val="00847110"/>
    <w:rsid w:val="00847DAC"/>
    <w:rsid w:val="0085381D"/>
    <w:rsid w:val="00855765"/>
    <w:rsid w:val="00860643"/>
    <w:rsid w:val="0086073C"/>
    <w:rsid w:val="0086158D"/>
    <w:rsid w:val="00862569"/>
    <w:rsid w:val="00862736"/>
    <w:rsid w:val="00866A73"/>
    <w:rsid w:val="00871345"/>
    <w:rsid w:val="00871A2B"/>
    <w:rsid w:val="008736AF"/>
    <w:rsid w:val="0087576D"/>
    <w:rsid w:val="008768E9"/>
    <w:rsid w:val="0087743D"/>
    <w:rsid w:val="00880897"/>
    <w:rsid w:val="00880D13"/>
    <w:rsid w:val="008822BE"/>
    <w:rsid w:val="00883174"/>
    <w:rsid w:val="00883CD5"/>
    <w:rsid w:val="00885664"/>
    <w:rsid w:val="008863E5"/>
    <w:rsid w:val="008867E2"/>
    <w:rsid w:val="00886F29"/>
    <w:rsid w:val="008872D3"/>
    <w:rsid w:val="00893D84"/>
    <w:rsid w:val="00894D35"/>
    <w:rsid w:val="00896085"/>
    <w:rsid w:val="008960D3"/>
    <w:rsid w:val="008972FF"/>
    <w:rsid w:val="00897AE2"/>
    <w:rsid w:val="008A0C44"/>
    <w:rsid w:val="008A1936"/>
    <w:rsid w:val="008A29AF"/>
    <w:rsid w:val="008A3C1F"/>
    <w:rsid w:val="008A664D"/>
    <w:rsid w:val="008B377E"/>
    <w:rsid w:val="008B5538"/>
    <w:rsid w:val="008B69A5"/>
    <w:rsid w:val="008C2DB4"/>
    <w:rsid w:val="008C2F9E"/>
    <w:rsid w:val="008C3F2C"/>
    <w:rsid w:val="008C5E8F"/>
    <w:rsid w:val="008D13E6"/>
    <w:rsid w:val="008D1538"/>
    <w:rsid w:val="008D4520"/>
    <w:rsid w:val="008D7430"/>
    <w:rsid w:val="008E1E18"/>
    <w:rsid w:val="008E46DA"/>
    <w:rsid w:val="008E4C18"/>
    <w:rsid w:val="008E4ED9"/>
    <w:rsid w:val="008F2229"/>
    <w:rsid w:val="008F6482"/>
    <w:rsid w:val="008F6EDD"/>
    <w:rsid w:val="008F70D1"/>
    <w:rsid w:val="008F74FC"/>
    <w:rsid w:val="008F7AF3"/>
    <w:rsid w:val="00901A11"/>
    <w:rsid w:val="00901A71"/>
    <w:rsid w:val="00902A83"/>
    <w:rsid w:val="00903651"/>
    <w:rsid w:val="0090469D"/>
    <w:rsid w:val="009068AA"/>
    <w:rsid w:val="00906972"/>
    <w:rsid w:val="009101C5"/>
    <w:rsid w:val="00910434"/>
    <w:rsid w:val="0091238F"/>
    <w:rsid w:val="00913DA3"/>
    <w:rsid w:val="00913F4F"/>
    <w:rsid w:val="00913F7B"/>
    <w:rsid w:val="00916542"/>
    <w:rsid w:val="00920BE7"/>
    <w:rsid w:val="00921A56"/>
    <w:rsid w:val="00923276"/>
    <w:rsid w:val="009239A3"/>
    <w:rsid w:val="00923E84"/>
    <w:rsid w:val="00932484"/>
    <w:rsid w:val="00932558"/>
    <w:rsid w:val="0093355C"/>
    <w:rsid w:val="00937205"/>
    <w:rsid w:val="00937C1D"/>
    <w:rsid w:val="00940EDA"/>
    <w:rsid w:val="00942271"/>
    <w:rsid w:val="00943759"/>
    <w:rsid w:val="009503C7"/>
    <w:rsid w:val="00950B05"/>
    <w:rsid w:val="0095289B"/>
    <w:rsid w:val="00953B50"/>
    <w:rsid w:val="0095765F"/>
    <w:rsid w:val="00957CC9"/>
    <w:rsid w:val="00963AB1"/>
    <w:rsid w:val="009667E1"/>
    <w:rsid w:val="00970AC2"/>
    <w:rsid w:val="00970CA9"/>
    <w:rsid w:val="009713AD"/>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5CA2"/>
    <w:rsid w:val="00996C25"/>
    <w:rsid w:val="009975BB"/>
    <w:rsid w:val="009A025A"/>
    <w:rsid w:val="009A278E"/>
    <w:rsid w:val="009A3A3C"/>
    <w:rsid w:val="009A40E8"/>
    <w:rsid w:val="009A6A18"/>
    <w:rsid w:val="009A6A40"/>
    <w:rsid w:val="009B6E72"/>
    <w:rsid w:val="009B6EE2"/>
    <w:rsid w:val="009B7163"/>
    <w:rsid w:val="009C2AB5"/>
    <w:rsid w:val="009C2F87"/>
    <w:rsid w:val="009C639F"/>
    <w:rsid w:val="009D0008"/>
    <w:rsid w:val="009D0482"/>
    <w:rsid w:val="009D1365"/>
    <w:rsid w:val="009D1B7F"/>
    <w:rsid w:val="009D3B83"/>
    <w:rsid w:val="009D60D5"/>
    <w:rsid w:val="009D63C8"/>
    <w:rsid w:val="009E1B30"/>
    <w:rsid w:val="009E24C1"/>
    <w:rsid w:val="009E26D0"/>
    <w:rsid w:val="009E3B0F"/>
    <w:rsid w:val="009E420A"/>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6B2"/>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13AB"/>
    <w:rsid w:val="00A43A9A"/>
    <w:rsid w:val="00A43AD4"/>
    <w:rsid w:val="00A43CEF"/>
    <w:rsid w:val="00A448FB"/>
    <w:rsid w:val="00A45211"/>
    <w:rsid w:val="00A46E4F"/>
    <w:rsid w:val="00A47C76"/>
    <w:rsid w:val="00A52567"/>
    <w:rsid w:val="00A53761"/>
    <w:rsid w:val="00A53CE6"/>
    <w:rsid w:val="00A65193"/>
    <w:rsid w:val="00A6741A"/>
    <w:rsid w:val="00A67AD3"/>
    <w:rsid w:val="00A71A93"/>
    <w:rsid w:val="00A71FF8"/>
    <w:rsid w:val="00A73902"/>
    <w:rsid w:val="00A73925"/>
    <w:rsid w:val="00A756D5"/>
    <w:rsid w:val="00A75C27"/>
    <w:rsid w:val="00A76823"/>
    <w:rsid w:val="00A76B1E"/>
    <w:rsid w:val="00A77A39"/>
    <w:rsid w:val="00A77AE9"/>
    <w:rsid w:val="00A814A0"/>
    <w:rsid w:val="00A81503"/>
    <w:rsid w:val="00A8233D"/>
    <w:rsid w:val="00A85D20"/>
    <w:rsid w:val="00A86332"/>
    <w:rsid w:val="00A86DD4"/>
    <w:rsid w:val="00A91504"/>
    <w:rsid w:val="00A92F62"/>
    <w:rsid w:val="00A93449"/>
    <w:rsid w:val="00A946EB"/>
    <w:rsid w:val="00AA1A0C"/>
    <w:rsid w:val="00AA1CAC"/>
    <w:rsid w:val="00AA2810"/>
    <w:rsid w:val="00AA3C89"/>
    <w:rsid w:val="00AA4452"/>
    <w:rsid w:val="00AA6315"/>
    <w:rsid w:val="00AB18F1"/>
    <w:rsid w:val="00AB26E0"/>
    <w:rsid w:val="00AB27CB"/>
    <w:rsid w:val="00AB2C05"/>
    <w:rsid w:val="00AB4A8C"/>
    <w:rsid w:val="00AB71F2"/>
    <w:rsid w:val="00AC49A3"/>
    <w:rsid w:val="00AC4A36"/>
    <w:rsid w:val="00AC5613"/>
    <w:rsid w:val="00AC759D"/>
    <w:rsid w:val="00AD490B"/>
    <w:rsid w:val="00AE1E32"/>
    <w:rsid w:val="00AE3458"/>
    <w:rsid w:val="00AE36DC"/>
    <w:rsid w:val="00AE6103"/>
    <w:rsid w:val="00AE6A6D"/>
    <w:rsid w:val="00AF00F9"/>
    <w:rsid w:val="00AF0888"/>
    <w:rsid w:val="00AF0D99"/>
    <w:rsid w:val="00AF30BD"/>
    <w:rsid w:val="00AF31D5"/>
    <w:rsid w:val="00AF6810"/>
    <w:rsid w:val="00B0001B"/>
    <w:rsid w:val="00B034AA"/>
    <w:rsid w:val="00B03EB7"/>
    <w:rsid w:val="00B0594C"/>
    <w:rsid w:val="00B05FC7"/>
    <w:rsid w:val="00B06E05"/>
    <w:rsid w:val="00B13ECD"/>
    <w:rsid w:val="00B172BA"/>
    <w:rsid w:val="00B17B36"/>
    <w:rsid w:val="00B2034A"/>
    <w:rsid w:val="00B2097F"/>
    <w:rsid w:val="00B22512"/>
    <w:rsid w:val="00B23268"/>
    <w:rsid w:val="00B244A2"/>
    <w:rsid w:val="00B277C1"/>
    <w:rsid w:val="00B3323E"/>
    <w:rsid w:val="00B342DE"/>
    <w:rsid w:val="00B34F9B"/>
    <w:rsid w:val="00B36F96"/>
    <w:rsid w:val="00B42022"/>
    <w:rsid w:val="00B459FB"/>
    <w:rsid w:val="00B50249"/>
    <w:rsid w:val="00B50840"/>
    <w:rsid w:val="00B54885"/>
    <w:rsid w:val="00B54994"/>
    <w:rsid w:val="00B5539B"/>
    <w:rsid w:val="00B574DB"/>
    <w:rsid w:val="00B60816"/>
    <w:rsid w:val="00B60C8A"/>
    <w:rsid w:val="00B610A6"/>
    <w:rsid w:val="00B63FF0"/>
    <w:rsid w:val="00B6498C"/>
    <w:rsid w:val="00B67E2C"/>
    <w:rsid w:val="00B70F05"/>
    <w:rsid w:val="00B76C5D"/>
    <w:rsid w:val="00B77E6E"/>
    <w:rsid w:val="00B809BA"/>
    <w:rsid w:val="00B80F15"/>
    <w:rsid w:val="00B820B0"/>
    <w:rsid w:val="00B83268"/>
    <w:rsid w:val="00B83905"/>
    <w:rsid w:val="00B84510"/>
    <w:rsid w:val="00B84A37"/>
    <w:rsid w:val="00B92430"/>
    <w:rsid w:val="00B92EB2"/>
    <w:rsid w:val="00B9384A"/>
    <w:rsid w:val="00B96267"/>
    <w:rsid w:val="00B97730"/>
    <w:rsid w:val="00BA10E0"/>
    <w:rsid w:val="00BA415B"/>
    <w:rsid w:val="00BA5954"/>
    <w:rsid w:val="00BA66B6"/>
    <w:rsid w:val="00BA6891"/>
    <w:rsid w:val="00BA6DDE"/>
    <w:rsid w:val="00BB3744"/>
    <w:rsid w:val="00BB378E"/>
    <w:rsid w:val="00BB4EF7"/>
    <w:rsid w:val="00BB5CE1"/>
    <w:rsid w:val="00BB73A2"/>
    <w:rsid w:val="00BB778B"/>
    <w:rsid w:val="00BC072A"/>
    <w:rsid w:val="00BC0911"/>
    <w:rsid w:val="00BC1B69"/>
    <w:rsid w:val="00BC289B"/>
    <w:rsid w:val="00BD100A"/>
    <w:rsid w:val="00BD119E"/>
    <w:rsid w:val="00BD1BD8"/>
    <w:rsid w:val="00BD1D83"/>
    <w:rsid w:val="00BD4B19"/>
    <w:rsid w:val="00BD4D60"/>
    <w:rsid w:val="00BD719F"/>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3454"/>
    <w:rsid w:val="00C0710F"/>
    <w:rsid w:val="00C17D71"/>
    <w:rsid w:val="00C20C6E"/>
    <w:rsid w:val="00C2130B"/>
    <w:rsid w:val="00C21371"/>
    <w:rsid w:val="00C21495"/>
    <w:rsid w:val="00C23AC6"/>
    <w:rsid w:val="00C23E97"/>
    <w:rsid w:val="00C25578"/>
    <w:rsid w:val="00C26CB0"/>
    <w:rsid w:val="00C360FE"/>
    <w:rsid w:val="00C4213E"/>
    <w:rsid w:val="00C44D73"/>
    <w:rsid w:val="00C47105"/>
    <w:rsid w:val="00C47560"/>
    <w:rsid w:val="00C4784C"/>
    <w:rsid w:val="00C51F13"/>
    <w:rsid w:val="00C526B4"/>
    <w:rsid w:val="00C5320A"/>
    <w:rsid w:val="00C53D24"/>
    <w:rsid w:val="00C55CEE"/>
    <w:rsid w:val="00C6148C"/>
    <w:rsid w:val="00C61C6F"/>
    <w:rsid w:val="00C65273"/>
    <w:rsid w:val="00C66418"/>
    <w:rsid w:val="00C66692"/>
    <w:rsid w:val="00C66C7B"/>
    <w:rsid w:val="00C71C36"/>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02E6"/>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C0712"/>
    <w:rsid w:val="00CC0EBA"/>
    <w:rsid w:val="00CC22D6"/>
    <w:rsid w:val="00CC29A6"/>
    <w:rsid w:val="00CC2C72"/>
    <w:rsid w:val="00CC4558"/>
    <w:rsid w:val="00CC54FA"/>
    <w:rsid w:val="00CC5521"/>
    <w:rsid w:val="00CC55EB"/>
    <w:rsid w:val="00CC65E9"/>
    <w:rsid w:val="00CD17F0"/>
    <w:rsid w:val="00CD26F0"/>
    <w:rsid w:val="00CD2A9F"/>
    <w:rsid w:val="00CD2ABA"/>
    <w:rsid w:val="00CD401C"/>
    <w:rsid w:val="00CE017B"/>
    <w:rsid w:val="00CE2DCF"/>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27F30"/>
    <w:rsid w:val="00D30937"/>
    <w:rsid w:val="00D345EB"/>
    <w:rsid w:val="00D40ACF"/>
    <w:rsid w:val="00D425C1"/>
    <w:rsid w:val="00D517C0"/>
    <w:rsid w:val="00D53CBF"/>
    <w:rsid w:val="00D54E76"/>
    <w:rsid w:val="00D56097"/>
    <w:rsid w:val="00D57FB4"/>
    <w:rsid w:val="00D60175"/>
    <w:rsid w:val="00D603B4"/>
    <w:rsid w:val="00D6219D"/>
    <w:rsid w:val="00D6225B"/>
    <w:rsid w:val="00D63801"/>
    <w:rsid w:val="00D6456C"/>
    <w:rsid w:val="00D7179F"/>
    <w:rsid w:val="00D72128"/>
    <w:rsid w:val="00D7391A"/>
    <w:rsid w:val="00D74235"/>
    <w:rsid w:val="00D74DD5"/>
    <w:rsid w:val="00D7798C"/>
    <w:rsid w:val="00D809B2"/>
    <w:rsid w:val="00D80BD2"/>
    <w:rsid w:val="00D8240B"/>
    <w:rsid w:val="00D82E50"/>
    <w:rsid w:val="00D87B67"/>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3DB8"/>
    <w:rsid w:val="00DF4B7F"/>
    <w:rsid w:val="00DF6CF0"/>
    <w:rsid w:val="00E0176F"/>
    <w:rsid w:val="00E07B47"/>
    <w:rsid w:val="00E07D18"/>
    <w:rsid w:val="00E1258E"/>
    <w:rsid w:val="00E143BF"/>
    <w:rsid w:val="00E165B0"/>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46C4A"/>
    <w:rsid w:val="00E5297C"/>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BCB"/>
    <w:rsid w:val="00EA3C5E"/>
    <w:rsid w:val="00EA510A"/>
    <w:rsid w:val="00EA6335"/>
    <w:rsid w:val="00EB0F58"/>
    <w:rsid w:val="00EB22B0"/>
    <w:rsid w:val="00EB4528"/>
    <w:rsid w:val="00EB4987"/>
    <w:rsid w:val="00EB5A25"/>
    <w:rsid w:val="00EB7E47"/>
    <w:rsid w:val="00EC03A4"/>
    <w:rsid w:val="00EC0580"/>
    <w:rsid w:val="00EC0720"/>
    <w:rsid w:val="00EC1F01"/>
    <w:rsid w:val="00EC7309"/>
    <w:rsid w:val="00ED2461"/>
    <w:rsid w:val="00ED4B30"/>
    <w:rsid w:val="00ED6959"/>
    <w:rsid w:val="00ED7C5D"/>
    <w:rsid w:val="00EE0AAC"/>
    <w:rsid w:val="00EE0F8E"/>
    <w:rsid w:val="00EE12C1"/>
    <w:rsid w:val="00EE2D8D"/>
    <w:rsid w:val="00EE4A7D"/>
    <w:rsid w:val="00EE4FCC"/>
    <w:rsid w:val="00EE59DF"/>
    <w:rsid w:val="00EE669A"/>
    <w:rsid w:val="00EE6ED5"/>
    <w:rsid w:val="00EF454C"/>
    <w:rsid w:val="00F00E3A"/>
    <w:rsid w:val="00F020FA"/>
    <w:rsid w:val="00F021A7"/>
    <w:rsid w:val="00F03624"/>
    <w:rsid w:val="00F04A60"/>
    <w:rsid w:val="00F04B0C"/>
    <w:rsid w:val="00F04CBC"/>
    <w:rsid w:val="00F05186"/>
    <w:rsid w:val="00F05B4B"/>
    <w:rsid w:val="00F067B1"/>
    <w:rsid w:val="00F07ACC"/>
    <w:rsid w:val="00F10054"/>
    <w:rsid w:val="00F10AF9"/>
    <w:rsid w:val="00F11A44"/>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00A4"/>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869FC"/>
    <w:rsid w:val="00F93D1B"/>
    <w:rsid w:val="00F94848"/>
    <w:rsid w:val="00F95E09"/>
    <w:rsid w:val="00FA61FC"/>
    <w:rsid w:val="00FA6673"/>
    <w:rsid w:val="00FA6FBF"/>
    <w:rsid w:val="00FB272A"/>
    <w:rsid w:val="00FB297C"/>
    <w:rsid w:val="00FB3B64"/>
    <w:rsid w:val="00FB3BE3"/>
    <w:rsid w:val="00FB42F8"/>
    <w:rsid w:val="00FB4359"/>
    <w:rsid w:val="00FB47CC"/>
    <w:rsid w:val="00FB4C97"/>
    <w:rsid w:val="00FB508E"/>
    <w:rsid w:val="00FB5469"/>
    <w:rsid w:val="00FC0161"/>
    <w:rsid w:val="00FC1898"/>
    <w:rsid w:val="00FC63A7"/>
    <w:rsid w:val="00FC6AFF"/>
    <w:rsid w:val="00FD07A4"/>
    <w:rsid w:val="00FD32E4"/>
    <w:rsid w:val="00FD6030"/>
    <w:rsid w:val="00FD743D"/>
    <w:rsid w:val="00FE04EE"/>
    <w:rsid w:val="00FE13E2"/>
    <w:rsid w:val="00FE387E"/>
    <w:rsid w:val="00FE42E5"/>
    <w:rsid w:val="00FE66B1"/>
    <w:rsid w:val="00FE769B"/>
    <w:rsid w:val="00FF146D"/>
    <w:rsid w:val="00FF2104"/>
    <w:rsid w:val="00FF3B47"/>
    <w:rsid w:val="00FF41B3"/>
    <w:rsid w:val="00FF516D"/>
    <w:rsid w:val="00FF5DC4"/>
    <w:rsid w:val="00FF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F772E"/>
  <w15:docId w15:val="{63F14928-9661-47A7-B4C5-65DF553E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Pr>
      <w:rFonts w:ascii="宋体"/>
      <w:lang w:val="x-none" w:eastAsia="x-none"/>
    </w:rPr>
  </w:style>
  <w:style w:type="character" w:styleId="a5">
    <w:name w:val="annotation reference"/>
    <w:rPr>
      <w:sz w:val="21"/>
    </w:rPr>
  </w:style>
  <w:style w:type="character" w:customStyle="1" w:styleId="unnamed11">
    <w:name w:val="unnamed11"/>
    <w:rPr>
      <w:rFonts w:ascii="宋体" w:eastAsia="宋体" w:hAnsi="宋体" w:hint="eastAsia"/>
      <w:sz w:val="18"/>
    </w:rPr>
  </w:style>
  <w:style w:type="character" w:styleId="a6">
    <w:name w:val="footnote reference"/>
    <w:rPr>
      <w:vertAlign w:val="superscript"/>
    </w:rPr>
  </w:style>
  <w:style w:type="character" w:customStyle="1" w:styleId="a7">
    <w:name w:val="标题 字符"/>
    <w:link w:val="a8"/>
    <w:rPr>
      <w:rFonts w:ascii="Cambria" w:hAnsi="Cambria"/>
      <w:b/>
      <w:kern w:val="2"/>
      <w:sz w:val="32"/>
      <w:lang w:val="x-none" w:eastAsia="x-none"/>
    </w:rPr>
  </w:style>
  <w:style w:type="character" w:customStyle="1" w:styleId="a9">
    <w:name w:val="页眉 字符"/>
    <w:link w:val="aa"/>
    <w:uiPriority w:val="99"/>
    <w:rPr>
      <w:kern w:val="2"/>
      <w:sz w:val="18"/>
    </w:rPr>
  </w:style>
  <w:style w:type="character" w:customStyle="1" w:styleId="read">
    <w:name w:val="read"/>
    <w:basedOn w:val="a0"/>
    <w:qFormat/>
    <w:rsid w:val="004D087E"/>
  </w:style>
  <w:style w:type="character" w:styleId="ab">
    <w:name w:val="page number"/>
    <w:basedOn w:val="a0"/>
  </w:style>
  <w:style w:type="character" w:styleId="ac">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d">
    <w:name w:val="正文正文"/>
    <w:basedOn w:val="a"/>
    <w:rsid w:val="004D087E"/>
    <w:pPr>
      <w:spacing w:afterLines="25" w:after="78" w:line="360" w:lineRule="auto"/>
      <w:ind w:firstLineChars="200" w:firstLine="200"/>
    </w:pPr>
    <w:rPr>
      <w:sz w:val="24"/>
    </w:rPr>
  </w:style>
  <w:style w:type="paragraph" w:styleId="ae">
    <w:name w:val="annotation subject"/>
    <w:basedOn w:val="af"/>
    <w:next w:val="af"/>
    <w:rPr>
      <w:b/>
    </w:rPr>
  </w:style>
  <w:style w:type="paragraph" w:styleId="af">
    <w:name w:val="annotation text"/>
    <w:basedOn w:val="a"/>
    <w:link w:val="af0"/>
    <w:qFormat/>
    <w:rsid w:val="004D087E"/>
    <w:pPr>
      <w:jc w:val="left"/>
    </w:pPr>
  </w:style>
  <w:style w:type="paragraph" w:styleId="af1">
    <w:name w:val="Document Map"/>
    <w:basedOn w:val="a"/>
    <w:pPr>
      <w:shd w:val="clear" w:color="auto" w:fill="000080"/>
    </w:pPr>
  </w:style>
  <w:style w:type="paragraph" w:customStyle="1" w:styleId="Char">
    <w:name w:val="Char"/>
    <w:basedOn w:val="a"/>
  </w:style>
  <w:style w:type="paragraph" w:styleId="a8">
    <w:name w:val="Title"/>
    <w:basedOn w:val="a"/>
    <w:next w:val="a"/>
    <w:link w:val="a7"/>
    <w:qFormat/>
    <w:rsid w:val="004D087E"/>
    <w:pPr>
      <w:spacing w:before="240" w:after="60"/>
      <w:jc w:val="center"/>
      <w:outlineLvl w:val="0"/>
    </w:pPr>
    <w:rPr>
      <w:rFonts w:ascii="Cambria" w:hAnsi="Cambria"/>
      <w:b/>
      <w:sz w:val="32"/>
      <w:lang w:val="x-none" w:eastAsia="x-none"/>
    </w:rPr>
  </w:style>
  <w:style w:type="paragraph" w:styleId="a4">
    <w:name w:val="Body Text"/>
    <w:basedOn w:val="a"/>
    <w:link w:val="a3"/>
    <w:rsid w:val="004D087E"/>
    <w:pPr>
      <w:autoSpaceDE w:val="0"/>
      <w:autoSpaceDN w:val="0"/>
      <w:adjustRightInd w:val="0"/>
      <w:spacing w:line="360" w:lineRule="auto"/>
      <w:jc w:val="left"/>
    </w:pPr>
    <w:rPr>
      <w:rFonts w:ascii="宋体"/>
      <w:kern w:val="0"/>
      <w:sz w:val="20"/>
      <w:lang w:val="x-none" w:eastAsia="x-none"/>
    </w:rPr>
  </w:style>
  <w:style w:type="paragraph" w:styleId="af2">
    <w:name w:val="Normal Indent"/>
    <w:basedOn w:val="a"/>
    <w:pPr>
      <w:ind w:firstLineChars="200" w:firstLine="420"/>
    </w:pPr>
  </w:style>
  <w:style w:type="paragraph" w:styleId="aa">
    <w:name w:val="header"/>
    <w:basedOn w:val="a"/>
    <w:link w:val="a9"/>
    <w:uiPriority w:val="99"/>
    <w:rsid w:val="004D087E"/>
    <w:pPr>
      <w:pBdr>
        <w:bottom w:val="single" w:sz="6" w:space="1" w:color="auto"/>
      </w:pBdr>
      <w:tabs>
        <w:tab w:val="center" w:pos="4153"/>
        <w:tab w:val="right" w:pos="8306"/>
      </w:tabs>
      <w:snapToGrid w:val="0"/>
      <w:jc w:val="center"/>
    </w:pPr>
    <w:rPr>
      <w:sz w:val="18"/>
    </w:rPr>
  </w:style>
  <w:style w:type="paragraph" w:customStyle="1" w:styleId="Char0">
    <w:name w:val="Char_0"/>
    <w:basedOn w:val="a"/>
  </w:style>
  <w:style w:type="paragraph" w:customStyle="1" w:styleId="CharCharChar">
    <w:name w:val="Char Char Char"/>
    <w:basedOn w:val="a"/>
  </w:style>
  <w:style w:type="paragraph" w:styleId="af3">
    <w:name w:val="Balloon Text"/>
    <w:basedOn w:val="a"/>
    <w:rPr>
      <w:sz w:val="18"/>
    </w:rPr>
  </w:style>
  <w:style w:type="paragraph" w:styleId="af4">
    <w:name w:val="footnote text"/>
    <w:basedOn w:val="a"/>
    <w:pPr>
      <w:snapToGrid w:val="0"/>
      <w:jc w:val="left"/>
    </w:pPr>
    <w:rPr>
      <w:sz w:val="18"/>
    </w:rPr>
  </w:style>
  <w:style w:type="paragraph" w:styleId="11">
    <w:name w:val="toc 1"/>
    <w:basedOn w:val="a"/>
    <w:next w:val="a"/>
    <w:pPr>
      <w:tabs>
        <w:tab w:val="right" w:leader="dot" w:pos="8296"/>
      </w:tabs>
    </w:pPr>
    <w:rPr>
      <w:sz w:val="22"/>
    </w:rPr>
  </w:style>
  <w:style w:type="paragraph" w:styleId="af5">
    <w:name w:val="footer"/>
    <w:basedOn w:val="a"/>
    <w:link w:val="af6"/>
    <w:uiPriority w:val="99"/>
    <w:qFormat/>
    <w:pPr>
      <w:tabs>
        <w:tab w:val="center" w:pos="4153"/>
        <w:tab w:val="right" w:pos="8306"/>
      </w:tabs>
      <w:snapToGrid w:val="0"/>
      <w:jc w:val="left"/>
    </w:pPr>
    <w:rPr>
      <w:sz w:val="18"/>
    </w:rPr>
  </w:style>
  <w:style w:type="paragraph" w:styleId="af7">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4"/>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8">
    <w:name w:val="正文所"/>
    <w:basedOn w:val="a"/>
    <w:pPr>
      <w:spacing w:line="360" w:lineRule="auto"/>
      <w:ind w:firstLineChars="200" w:firstLine="420"/>
    </w:pPr>
    <w:rPr>
      <w:rFonts w:ascii="宋体"/>
    </w:rPr>
  </w:style>
  <w:style w:type="paragraph" w:styleId="af9">
    <w:name w:val="Revision"/>
    <w:hidden/>
    <w:uiPriority w:val="99"/>
    <w:semiHidden/>
    <w:rsid w:val="00315C67"/>
    <w:rPr>
      <w:kern w:val="2"/>
      <w:sz w:val="21"/>
    </w:rPr>
  </w:style>
  <w:style w:type="character" w:customStyle="1" w:styleId="10">
    <w:name w:val="标题 1 字符"/>
    <w:link w:val="1"/>
    <w:rsid w:val="001B1027"/>
    <w:rPr>
      <w:rFonts w:ascii="宋体"/>
      <w:b/>
      <w:color w:val="000000"/>
      <w:sz w:val="24"/>
    </w:rPr>
  </w:style>
  <w:style w:type="character" w:customStyle="1" w:styleId="af0">
    <w:name w:val="批注文字 字符"/>
    <w:link w:val="af"/>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a">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
    <w:name w:val="Char_2"/>
    <w:basedOn w:val="a"/>
    <w:rsid w:val="006701B3"/>
  </w:style>
  <w:style w:type="paragraph" w:customStyle="1" w:styleId="CharChar12">
    <w:name w:val="Char Char1_2"/>
    <w:basedOn w:val="a"/>
    <w:rsid w:val="00923276"/>
  </w:style>
  <w:style w:type="paragraph" w:customStyle="1" w:styleId="Char3">
    <w:name w:val="Char_3"/>
    <w:basedOn w:val="a"/>
    <w:rsid w:val="00923276"/>
  </w:style>
  <w:style w:type="paragraph" w:styleId="afb">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
    <w:name w:val="Char_4"/>
    <w:basedOn w:val="a"/>
    <w:rsid w:val="004D087E"/>
  </w:style>
  <w:style w:type="paragraph" w:customStyle="1" w:styleId="CharChar3">
    <w:name w:val="Char Char_3"/>
    <w:basedOn w:val="a"/>
    <w:rsid w:val="00503385"/>
  </w:style>
  <w:style w:type="character" w:customStyle="1" w:styleId="af6">
    <w:name w:val="页脚 字符"/>
    <w:basedOn w:val="a0"/>
    <w:link w:val="af5"/>
    <w:uiPriority w:val="99"/>
    <w:qFormat/>
    <w:rsid w:val="00E5297C"/>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style>
  <w:style w:type="character" w:customStyle="1" w:styleId="divCharacter">
    <w:name w:val="div Character"/>
    <w:basedOn w:val="a0"/>
  </w:style>
  <w:style w:type="paragraph" w:styleId="21">
    <w:name w:val="toc 2"/>
    <w:basedOn w:val="a"/>
    <w:next w:val="a"/>
    <w:autoRedefine/>
    <w:rsid w:val="00805BCE"/>
    <w:pPr>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6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B6E9-CF97-4E5B-AFE6-41721E8BF7EE}">
  <ds:schemaRefs>
    <ds:schemaRef ds:uri="http://schemas.openxmlformats.org/officeDocument/2006/bibliography"/>
  </ds:schemaRefs>
</ds:datastoreItem>
</file>

<file path=customXml/itemProps2.xml><?xml version="1.0" encoding="utf-8"?>
<ds:datastoreItem xmlns:ds="http://schemas.openxmlformats.org/officeDocument/2006/customXml" ds:itemID="{423ED674-2AA5-49D6-B844-D6C489E1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12329</Words>
  <Characters>70277</Characters>
  <Application>Microsoft Office Word</Application>
  <DocSecurity>0</DocSecurity>
  <Lines>585</Lines>
  <Paragraphs>164</Paragraphs>
  <ScaleCrop>false</ScaleCrop>
  <Company>神州网信技术有限公司</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yfy</dc:creator>
  <cp:lastModifiedBy>李金洋</cp:lastModifiedBy>
  <cp:revision>4</cp:revision>
  <cp:lastPrinted>2025-08-13T05:33:00Z</cp:lastPrinted>
  <dcterms:created xsi:type="dcterms:W3CDTF">2026-05-18T03:16:00Z</dcterms:created>
  <dcterms:modified xsi:type="dcterms:W3CDTF">2026-05-18T03:17:00Z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