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7CC4" w14:textId="77777777" w:rsidR="00B05562" w:rsidRDefault="00B05562">
      <w:pPr>
        <w:adjustRightInd w:val="0"/>
        <w:snapToGrid w:val="0"/>
        <w:spacing w:line="360" w:lineRule="auto"/>
        <w:jc w:val="center"/>
        <w:rPr>
          <w:rFonts w:ascii="宋体" w:hAnsi="宋体" w:cs="Arial"/>
          <w:sz w:val="24"/>
        </w:rPr>
      </w:pPr>
    </w:p>
    <w:p w14:paraId="6EB25B71" w14:textId="77777777" w:rsidR="00B05562" w:rsidRDefault="00B05562">
      <w:pPr>
        <w:adjustRightInd w:val="0"/>
        <w:snapToGrid w:val="0"/>
        <w:spacing w:line="360" w:lineRule="auto"/>
        <w:jc w:val="center"/>
        <w:rPr>
          <w:rFonts w:ascii="宋体" w:hAnsi="宋体" w:cs="Arial"/>
          <w:sz w:val="24"/>
        </w:rPr>
      </w:pPr>
    </w:p>
    <w:p w14:paraId="4B6B0226" w14:textId="77777777" w:rsidR="00B05562" w:rsidRDefault="00B05562">
      <w:pPr>
        <w:adjustRightInd w:val="0"/>
        <w:snapToGrid w:val="0"/>
        <w:spacing w:line="360" w:lineRule="auto"/>
        <w:jc w:val="center"/>
        <w:rPr>
          <w:rFonts w:ascii="宋体" w:hAnsi="宋体" w:cs="Arial"/>
          <w:sz w:val="24"/>
        </w:rPr>
      </w:pPr>
    </w:p>
    <w:p w14:paraId="633E4EA2" w14:textId="77777777" w:rsidR="00B05562" w:rsidRDefault="00B05562">
      <w:pPr>
        <w:adjustRightInd w:val="0"/>
        <w:snapToGrid w:val="0"/>
        <w:spacing w:line="360" w:lineRule="auto"/>
        <w:jc w:val="center"/>
        <w:rPr>
          <w:rFonts w:ascii="宋体" w:hAnsi="宋体" w:cs="Arial"/>
          <w:sz w:val="24"/>
        </w:rPr>
      </w:pPr>
    </w:p>
    <w:p w14:paraId="685B8D18" w14:textId="77777777" w:rsidR="00B05562" w:rsidRDefault="00B05562">
      <w:pPr>
        <w:adjustRightInd w:val="0"/>
        <w:snapToGrid w:val="0"/>
        <w:spacing w:line="360" w:lineRule="auto"/>
        <w:jc w:val="center"/>
        <w:rPr>
          <w:rFonts w:ascii="宋体" w:hAnsi="宋体" w:cs="Arial"/>
          <w:sz w:val="24"/>
        </w:rPr>
      </w:pPr>
    </w:p>
    <w:p w14:paraId="1B40AF4F" w14:textId="77777777" w:rsidR="00B05562" w:rsidRDefault="00B05562">
      <w:pPr>
        <w:adjustRightInd w:val="0"/>
        <w:snapToGrid w:val="0"/>
        <w:spacing w:line="360" w:lineRule="auto"/>
        <w:jc w:val="center"/>
        <w:rPr>
          <w:rFonts w:ascii="宋体" w:hAnsi="宋体" w:cs="Arial"/>
          <w:sz w:val="24"/>
        </w:rPr>
      </w:pPr>
    </w:p>
    <w:p w14:paraId="1B921828" w14:textId="77777777" w:rsidR="00B05562" w:rsidRDefault="00B05562">
      <w:pPr>
        <w:adjustRightInd w:val="0"/>
        <w:snapToGrid w:val="0"/>
        <w:spacing w:line="360" w:lineRule="auto"/>
        <w:jc w:val="center"/>
        <w:rPr>
          <w:rFonts w:ascii="宋体" w:hAnsi="宋体" w:cs="Arial"/>
          <w:sz w:val="24"/>
        </w:rPr>
      </w:pPr>
    </w:p>
    <w:p w14:paraId="4EB581AF" w14:textId="77777777" w:rsidR="00B05562" w:rsidRDefault="00B05562">
      <w:pPr>
        <w:adjustRightInd w:val="0"/>
        <w:snapToGrid w:val="0"/>
        <w:spacing w:line="360" w:lineRule="auto"/>
        <w:jc w:val="center"/>
        <w:rPr>
          <w:rFonts w:ascii="宋体" w:hAnsi="宋体" w:cs="Arial"/>
          <w:sz w:val="24"/>
        </w:rPr>
      </w:pPr>
    </w:p>
    <w:p w14:paraId="243CF789" w14:textId="77777777" w:rsidR="00B05562" w:rsidRDefault="00B05562">
      <w:pPr>
        <w:adjustRightInd w:val="0"/>
        <w:snapToGrid w:val="0"/>
        <w:spacing w:line="360" w:lineRule="auto"/>
        <w:jc w:val="center"/>
        <w:rPr>
          <w:rFonts w:ascii="宋体" w:hAnsi="宋体" w:cs="Arial"/>
          <w:sz w:val="24"/>
        </w:rPr>
      </w:pPr>
    </w:p>
    <w:p w14:paraId="51F0F7E5" w14:textId="77777777" w:rsidR="00B05562" w:rsidRDefault="00B05562">
      <w:pPr>
        <w:adjustRightInd w:val="0"/>
        <w:snapToGrid w:val="0"/>
        <w:spacing w:line="360" w:lineRule="auto"/>
        <w:jc w:val="center"/>
        <w:rPr>
          <w:rFonts w:ascii="宋体" w:hAnsi="宋体" w:cs="Arial"/>
          <w:sz w:val="24"/>
        </w:rPr>
      </w:pPr>
    </w:p>
    <w:p w14:paraId="2462DDB7" w14:textId="77777777" w:rsidR="00B05562" w:rsidRDefault="00B05562">
      <w:pPr>
        <w:adjustRightInd w:val="0"/>
        <w:snapToGrid w:val="0"/>
        <w:spacing w:line="360" w:lineRule="auto"/>
        <w:jc w:val="center"/>
        <w:rPr>
          <w:rFonts w:ascii="宋体" w:hAnsi="宋体" w:cs="Arial"/>
          <w:sz w:val="24"/>
        </w:rPr>
      </w:pPr>
    </w:p>
    <w:p w14:paraId="0E3EEAF7" w14:textId="77777777" w:rsidR="00B05562" w:rsidRDefault="004C5F38">
      <w:pPr>
        <w:adjustRightInd w:val="0"/>
        <w:snapToGrid w:val="0"/>
        <w:spacing w:line="360" w:lineRule="auto"/>
        <w:jc w:val="center"/>
        <w:rPr>
          <w:rFonts w:ascii="宋体" w:hAnsi="宋体" w:cs="Arial"/>
          <w:b/>
          <w:sz w:val="44"/>
        </w:rPr>
      </w:pPr>
      <w:r>
        <w:rPr>
          <w:rFonts w:ascii="宋体" w:hAnsi="宋体" w:cs="Arial" w:hint="eastAsia"/>
          <w:b/>
          <w:sz w:val="44"/>
        </w:rPr>
        <w:t>广发匠心精选混合型证券投资基金</w:t>
      </w:r>
    </w:p>
    <w:p w14:paraId="7FE080EE" w14:textId="7DE17F0D" w:rsidR="00B05562" w:rsidRDefault="004C5F38">
      <w:pPr>
        <w:adjustRightInd w:val="0"/>
        <w:snapToGrid w:val="0"/>
        <w:spacing w:line="360" w:lineRule="auto"/>
        <w:jc w:val="center"/>
        <w:rPr>
          <w:rFonts w:ascii="宋体" w:hAnsi="宋体" w:cs="Arial"/>
          <w:b/>
          <w:sz w:val="44"/>
        </w:rPr>
      </w:pPr>
      <w:r>
        <w:rPr>
          <w:rFonts w:ascii="宋体" w:hAnsi="宋体" w:cs="Arial" w:hint="eastAsia"/>
          <w:b/>
          <w:sz w:val="44"/>
        </w:rPr>
        <w:t>托管协议</w:t>
      </w:r>
    </w:p>
    <w:p w14:paraId="5A533366" w14:textId="77777777" w:rsidR="00B05562" w:rsidRDefault="00B05562">
      <w:pPr>
        <w:adjustRightInd w:val="0"/>
        <w:snapToGrid w:val="0"/>
        <w:spacing w:line="360" w:lineRule="auto"/>
        <w:jc w:val="center"/>
        <w:outlineLvl w:val="0"/>
        <w:rPr>
          <w:rFonts w:ascii="宋体" w:hAnsi="宋体" w:cs="Arial"/>
          <w:sz w:val="24"/>
        </w:rPr>
      </w:pPr>
    </w:p>
    <w:p w14:paraId="44E7B103" w14:textId="77777777" w:rsidR="00B05562" w:rsidRDefault="00B05562">
      <w:pPr>
        <w:adjustRightInd w:val="0"/>
        <w:snapToGrid w:val="0"/>
        <w:spacing w:line="360" w:lineRule="auto"/>
        <w:jc w:val="center"/>
        <w:outlineLvl w:val="0"/>
        <w:rPr>
          <w:rFonts w:ascii="宋体" w:hAnsi="宋体" w:cs="Arial"/>
          <w:sz w:val="24"/>
        </w:rPr>
      </w:pPr>
    </w:p>
    <w:p w14:paraId="077E9B95" w14:textId="77777777" w:rsidR="00B05562" w:rsidRDefault="00B05562">
      <w:pPr>
        <w:adjustRightInd w:val="0"/>
        <w:snapToGrid w:val="0"/>
        <w:spacing w:line="360" w:lineRule="auto"/>
        <w:jc w:val="center"/>
        <w:outlineLvl w:val="0"/>
        <w:rPr>
          <w:rFonts w:ascii="宋体" w:hAnsi="宋体" w:cs="Arial"/>
          <w:sz w:val="24"/>
        </w:rPr>
      </w:pPr>
    </w:p>
    <w:p w14:paraId="1F234E4A" w14:textId="77777777" w:rsidR="00B05562" w:rsidRDefault="00B05562">
      <w:pPr>
        <w:adjustRightInd w:val="0"/>
        <w:snapToGrid w:val="0"/>
        <w:spacing w:line="360" w:lineRule="auto"/>
        <w:jc w:val="center"/>
        <w:outlineLvl w:val="0"/>
        <w:rPr>
          <w:rFonts w:ascii="宋体" w:hAnsi="宋体" w:cs="Arial"/>
          <w:sz w:val="24"/>
        </w:rPr>
      </w:pPr>
    </w:p>
    <w:p w14:paraId="287F3856" w14:textId="77777777" w:rsidR="00B05562" w:rsidRDefault="00B05562">
      <w:pPr>
        <w:adjustRightInd w:val="0"/>
        <w:snapToGrid w:val="0"/>
        <w:spacing w:line="360" w:lineRule="auto"/>
        <w:jc w:val="center"/>
        <w:outlineLvl w:val="0"/>
        <w:rPr>
          <w:rFonts w:ascii="宋体" w:hAnsi="宋体" w:cs="Arial"/>
          <w:sz w:val="24"/>
        </w:rPr>
      </w:pPr>
    </w:p>
    <w:p w14:paraId="33A111B6" w14:textId="77777777" w:rsidR="00B05562" w:rsidRDefault="00B05562">
      <w:pPr>
        <w:adjustRightInd w:val="0"/>
        <w:snapToGrid w:val="0"/>
        <w:spacing w:line="360" w:lineRule="auto"/>
        <w:jc w:val="center"/>
        <w:outlineLvl w:val="0"/>
        <w:rPr>
          <w:rFonts w:ascii="宋体" w:hAnsi="宋体" w:cs="Arial"/>
          <w:sz w:val="24"/>
        </w:rPr>
      </w:pPr>
    </w:p>
    <w:p w14:paraId="45313E1F" w14:textId="77777777" w:rsidR="00B05562" w:rsidRDefault="004C5F38">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基金管理人：广发基金管理有限公司</w:t>
      </w:r>
    </w:p>
    <w:p w14:paraId="0D28FE49" w14:textId="77777777" w:rsidR="00B05562" w:rsidRDefault="004C5F38">
      <w:pPr>
        <w:adjustRightInd w:val="0"/>
        <w:snapToGrid w:val="0"/>
        <w:spacing w:line="360" w:lineRule="auto"/>
        <w:jc w:val="center"/>
        <w:outlineLvl w:val="0"/>
        <w:rPr>
          <w:rFonts w:ascii="宋体" w:hAnsi="宋体" w:cs="Arial"/>
          <w:b/>
          <w:bCs/>
          <w:sz w:val="28"/>
        </w:rPr>
      </w:pPr>
      <w:r>
        <w:rPr>
          <w:rFonts w:ascii="宋体" w:hAnsi="宋体" w:cs="Arial" w:hint="eastAsia"/>
          <w:b/>
          <w:bCs/>
          <w:sz w:val="28"/>
        </w:rPr>
        <w:t xml:space="preserve">    基金托管人：中国建设银行股份有限公司</w:t>
      </w:r>
    </w:p>
    <w:p w14:paraId="78AFF3E2" w14:textId="77777777" w:rsidR="00B05562" w:rsidRDefault="00B05562">
      <w:pPr>
        <w:adjustRightInd w:val="0"/>
        <w:snapToGrid w:val="0"/>
        <w:spacing w:line="360" w:lineRule="auto"/>
        <w:outlineLvl w:val="0"/>
        <w:rPr>
          <w:rFonts w:ascii="宋体" w:hAnsi="宋体" w:cs="Arial"/>
          <w:sz w:val="24"/>
        </w:rPr>
      </w:pPr>
    </w:p>
    <w:p w14:paraId="112C1C3E" w14:textId="77777777" w:rsidR="00B05562" w:rsidRDefault="004C5F38">
      <w:pPr>
        <w:adjustRightInd w:val="0"/>
        <w:snapToGrid w:val="0"/>
        <w:spacing w:line="360" w:lineRule="auto"/>
        <w:outlineLvl w:val="0"/>
        <w:rPr>
          <w:rFonts w:ascii="宋体" w:hAnsi="宋体" w:cs="Arial"/>
          <w:sz w:val="24"/>
        </w:rPr>
      </w:pPr>
      <w:r>
        <w:rPr>
          <w:rFonts w:ascii="宋体" w:hAnsi="宋体" w:cs="Arial" w:hint="eastAsia"/>
          <w:sz w:val="24"/>
        </w:rPr>
        <w:t xml:space="preserve">                       </w:t>
      </w:r>
    </w:p>
    <w:p w14:paraId="644422CE" w14:textId="77777777" w:rsidR="00B05562" w:rsidRDefault="00B05562">
      <w:pPr>
        <w:adjustRightInd w:val="0"/>
        <w:snapToGrid w:val="0"/>
        <w:spacing w:line="360" w:lineRule="auto"/>
        <w:jc w:val="center"/>
        <w:rPr>
          <w:rFonts w:ascii="宋体" w:hAnsi="宋体" w:cs="Arial"/>
          <w:bCs/>
          <w:sz w:val="24"/>
        </w:rPr>
      </w:pPr>
    </w:p>
    <w:p w14:paraId="24F82017" w14:textId="77777777" w:rsidR="00B05562" w:rsidRDefault="00B05562">
      <w:pPr>
        <w:adjustRightInd w:val="0"/>
        <w:snapToGrid w:val="0"/>
        <w:spacing w:line="360" w:lineRule="auto"/>
        <w:jc w:val="center"/>
        <w:rPr>
          <w:rFonts w:ascii="宋体" w:hAnsi="宋体" w:cs="Arial"/>
          <w:bCs/>
          <w:sz w:val="24"/>
        </w:rPr>
      </w:pPr>
    </w:p>
    <w:p w14:paraId="5DF3D15E" w14:textId="77777777" w:rsidR="00B05562" w:rsidRDefault="00B05562">
      <w:pPr>
        <w:adjustRightInd w:val="0"/>
        <w:snapToGrid w:val="0"/>
        <w:spacing w:line="360" w:lineRule="auto"/>
        <w:jc w:val="center"/>
        <w:rPr>
          <w:rFonts w:ascii="宋体" w:hAnsi="宋体" w:cs="Arial"/>
          <w:bCs/>
          <w:sz w:val="24"/>
        </w:rPr>
      </w:pPr>
    </w:p>
    <w:p w14:paraId="0D4C91F9" w14:textId="77777777" w:rsidR="00B05562" w:rsidRDefault="00B05562">
      <w:pPr>
        <w:adjustRightInd w:val="0"/>
        <w:snapToGrid w:val="0"/>
        <w:spacing w:line="360" w:lineRule="auto"/>
        <w:jc w:val="center"/>
        <w:rPr>
          <w:rFonts w:ascii="宋体" w:hAnsi="宋体" w:cs="Arial"/>
          <w:bCs/>
          <w:sz w:val="24"/>
        </w:rPr>
        <w:sectPr w:rsidR="00B05562">
          <w:footerReference w:type="even" r:id="rId7"/>
          <w:footerReference w:type="default" r:id="rId8"/>
          <w:pgSz w:w="11906" w:h="16838"/>
          <w:pgMar w:top="1418" w:right="1701" w:bottom="1418" w:left="1701" w:header="851" w:footer="992" w:gutter="0"/>
          <w:cols w:space="720"/>
          <w:docGrid w:type="lines" w:linePitch="312"/>
        </w:sectPr>
      </w:pPr>
    </w:p>
    <w:p w14:paraId="4D88C863" w14:textId="77777777" w:rsidR="00B05562" w:rsidRDefault="00B05562">
      <w:pPr>
        <w:adjustRightInd w:val="0"/>
        <w:snapToGrid w:val="0"/>
        <w:spacing w:line="360" w:lineRule="auto"/>
        <w:rPr>
          <w:rFonts w:ascii="宋体" w:hAnsi="宋体" w:cs="Arial"/>
          <w:bCs/>
          <w:sz w:val="24"/>
        </w:rPr>
      </w:pPr>
    </w:p>
    <w:p w14:paraId="137C4A05" w14:textId="77777777" w:rsidR="00B05562" w:rsidRDefault="004C5F38">
      <w:pPr>
        <w:spacing w:line="360" w:lineRule="auto"/>
        <w:jc w:val="center"/>
        <w:rPr>
          <w:rFonts w:ascii="宋体" w:hAnsi="宋体"/>
          <w:b/>
          <w:bCs/>
          <w:sz w:val="30"/>
        </w:rPr>
      </w:pPr>
      <w:r>
        <w:rPr>
          <w:rFonts w:ascii="宋体" w:hAnsi="宋体" w:hint="eastAsia"/>
          <w:b/>
          <w:bCs/>
          <w:sz w:val="30"/>
        </w:rPr>
        <w:t>目    录</w:t>
      </w:r>
    </w:p>
    <w:p w14:paraId="2230634E" w14:textId="4AD79FA3" w:rsidR="00B05562" w:rsidRDefault="004C5F38">
      <w:pPr>
        <w:pStyle w:val="23"/>
        <w:tabs>
          <w:tab w:val="right" w:leader="dot" w:pos="8494"/>
        </w:tabs>
        <w:spacing w:line="360" w:lineRule="auto"/>
        <w:rPr>
          <w:rFonts w:ascii="宋体" w:hAnsi="宋体"/>
          <w:noProof/>
          <w:sz w:val="24"/>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Pr>
            <w:rStyle w:val="af1"/>
            <w:rFonts w:ascii="宋体" w:hAnsi="宋体" w:hint="eastAsia"/>
            <w:noProof/>
            <w:sz w:val="24"/>
          </w:rPr>
          <w:t>一、基金托管协议当</w:t>
        </w:r>
        <w:bookmarkStart w:id="0" w:name="_Hlt498420680"/>
        <w:bookmarkStart w:id="1" w:name="_Hlt498420681"/>
        <w:r>
          <w:rPr>
            <w:rStyle w:val="af1"/>
            <w:rFonts w:ascii="宋体" w:hAnsi="宋体" w:hint="eastAsia"/>
            <w:noProof/>
            <w:sz w:val="24"/>
          </w:rPr>
          <w:t>事</w:t>
        </w:r>
        <w:bookmarkEnd w:id="0"/>
        <w:bookmarkEnd w:id="1"/>
        <w:r>
          <w:rPr>
            <w:rStyle w:val="af1"/>
            <w:rFonts w:ascii="宋体" w:hAnsi="宋体" w:hint="eastAsia"/>
            <w:noProof/>
            <w:sz w:val="24"/>
          </w:rPr>
          <w:t>人</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PAGEREF _Toc124325885 \h </w:instrText>
        </w:r>
        <w:r>
          <w:rPr>
            <w:rFonts w:ascii="宋体" w:hAnsi="宋体" w:hint="eastAsia"/>
            <w:noProof/>
            <w:sz w:val="24"/>
          </w:rPr>
        </w:r>
        <w:r>
          <w:rPr>
            <w:rFonts w:ascii="宋体" w:hAnsi="宋体" w:hint="eastAsia"/>
            <w:noProof/>
            <w:sz w:val="24"/>
          </w:rPr>
          <w:fldChar w:fldCharType="separate"/>
        </w:r>
        <w:r w:rsidR="005B52BE">
          <w:rPr>
            <w:rFonts w:ascii="宋体" w:hAnsi="宋体"/>
            <w:noProof/>
            <w:sz w:val="24"/>
          </w:rPr>
          <w:t>2</w:t>
        </w:r>
        <w:r>
          <w:rPr>
            <w:rFonts w:ascii="宋体" w:hAnsi="宋体" w:hint="eastAsia"/>
            <w:noProof/>
            <w:sz w:val="24"/>
          </w:rPr>
          <w:fldChar w:fldCharType="end"/>
        </w:r>
      </w:hyperlink>
    </w:p>
    <w:p w14:paraId="355E77BC" w14:textId="299471C6" w:rsidR="00B05562" w:rsidRDefault="00343AE1">
      <w:pPr>
        <w:pStyle w:val="23"/>
        <w:tabs>
          <w:tab w:val="right" w:leader="dot" w:pos="8494"/>
        </w:tabs>
        <w:spacing w:line="360" w:lineRule="auto"/>
        <w:rPr>
          <w:rFonts w:ascii="宋体" w:hAnsi="宋体"/>
          <w:noProof/>
          <w:sz w:val="24"/>
        </w:rPr>
      </w:pPr>
      <w:hyperlink w:anchor="_Toc124325886" w:history="1">
        <w:r w:rsidR="004C5F38">
          <w:rPr>
            <w:rStyle w:val="af1"/>
            <w:rFonts w:ascii="宋体" w:hAnsi="宋体" w:hint="eastAsia"/>
            <w:noProof/>
            <w:sz w:val="24"/>
          </w:rPr>
          <w:t>二、基金托管协议的依据、目的和原则</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_Toc124325886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w:t>
        </w:r>
        <w:r w:rsidR="004C5F38">
          <w:rPr>
            <w:rFonts w:ascii="宋体" w:hAnsi="宋体" w:hint="eastAsia"/>
            <w:noProof/>
            <w:sz w:val="24"/>
          </w:rPr>
          <w:fldChar w:fldCharType="end"/>
        </w:r>
      </w:hyperlink>
    </w:p>
    <w:p w14:paraId="04243D52" w14:textId="0E3D6F05" w:rsidR="00B05562" w:rsidRDefault="00343AE1">
      <w:pPr>
        <w:pStyle w:val="23"/>
        <w:tabs>
          <w:tab w:val="right" w:leader="dot" w:pos="8494"/>
        </w:tabs>
        <w:spacing w:line="360" w:lineRule="auto"/>
        <w:rPr>
          <w:rFonts w:ascii="宋体" w:hAnsi="宋体"/>
          <w:noProof/>
          <w:sz w:val="24"/>
        </w:rPr>
      </w:pPr>
      <w:hyperlink w:anchor="_Toc124325887" w:history="1">
        <w:r w:rsidR="004C5F38">
          <w:rPr>
            <w:rStyle w:val="af1"/>
            <w:rFonts w:ascii="宋体" w:hAnsi="宋体" w:hint="eastAsia"/>
            <w:noProof/>
            <w:sz w:val="24"/>
          </w:rPr>
          <w:t>三、基金托管人对基金管理人的业务监督和核查</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_Toc124325887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w:t>
        </w:r>
        <w:r w:rsidR="004C5F38">
          <w:rPr>
            <w:rFonts w:ascii="宋体" w:hAnsi="宋体" w:hint="eastAsia"/>
            <w:noProof/>
            <w:sz w:val="24"/>
          </w:rPr>
          <w:fldChar w:fldCharType="end"/>
        </w:r>
      </w:hyperlink>
    </w:p>
    <w:p w14:paraId="7D5113FB" w14:textId="5D666E25" w:rsidR="00B05562" w:rsidRDefault="00343AE1">
      <w:pPr>
        <w:pStyle w:val="23"/>
        <w:tabs>
          <w:tab w:val="right" w:leader="dot" w:pos="8494"/>
        </w:tabs>
        <w:spacing w:line="360" w:lineRule="auto"/>
        <w:rPr>
          <w:rFonts w:ascii="宋体" w:hAnsi="宋体"/>
          <w:noProof/>
          <w:sz w:val="24"/>
        </w:rPr>
      </w:pPr>
      <w:hyperlink w:anchor="_Toc124325888" w:history="1">
        <w:r w:rsidR="004C5F38">
          <w:rPr>
            <w:rStyle w:val="af1"/>
            <w:rFonts w:ascii="宋体" w:hAnsi="宋体" w:hint="eastAsia"/>
            <w:noProof/>
            <w:sz w:val="24"/>
          </w:rPr>
          <w:t>四、基金管理人对基金托管人的业务核查</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_Toc124325888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9</w:t>
        </w:r>
        <w:r w:rsidR="004C5F38">
          <w:rPr>
            <w:rFonts w:ascii="宋体" w:hAnsi="宋体" w:hint="eastAsia"/>
            <w:noProof/>
            <w:sz w:val="24"/>
          </w:rPr>
          <w:fldChar w:fldCharType="end"/>
        </w:r>
      </w:hyperlink>
    </w:p>
    <w:p w14:paraId="2A786FEF" w14:textId="5A7DCA3E" w:rsidR="00B05562" w:rsidRDefault="00343AE1">
      <w:pPr>
        <w:pStyle w:val="23"/>
        <w:tabs>
          <w:tab w:val="right" w:leader="dot" w:pos="8494"/>
        </w:tabs>
        <w:spacing w:line="360" w:lineRule="auto"/>
        <w:rPr>
          <w:rFonts w:ascii="宋体" w:hAnsi="宋体"/>
          <w:noProof/>
          <w:sz w:val="24"/>
        </w:rPr>
      </w:pPr>
      <w:hyperlink w:anchor="_Toc124325889" w:history="1">
        <w:r w:rsidR="004C5F38">
          <w:rPr>
            <w:rStyle w:val="af1"/>
            <w:rFonts w:ascii="宋体" w:hAnsi="宋体" w:hint="eastAsia"/>
            <w:noProof/>
            <w:sz w:val="24"/>
          </w:rPr>
          <w:t>五、基金财产的保管</w:t>
        </w:r>
        <w:bookmarkStart w:id="2" w:name="_Hlt130398333"/>
        <w:bookmarkStart w:id="3" w:name="_Hlt130398332"/>
        <w:r w:rsidR="004C5F38">
          <w:rPr>
            <w:rFonts w:ascii="宋体" w:hAnsi="宋体" w:hint="eastAsia"/>
            <w:noProof/>
            <w:sz w:val="24"/>
          </w:rPr>
          <w:tab/>
        </w:r>
        <w:bookmarkEnd w:id="2"/>
        <w:bookmarkEnd w:id="3"/>
        <w:r w:rsidR="004C5F38">
          <w:rPr>
            <w:rFonts w:ascii="宋体" w:hAnsi="宋体" w:hint="eastAsia"/>
            <w:noProof/>
            <w:sz w:val="24"/>
          </w:rPr>
          <w:fldChar w:fldCharType="begin"/>
        </w:r>
        <w:r w:rsidR="004C5F38">
          <w:rPr>
            <w:rFonts w:ascii="宋体" w:hAnsi="宋体" w:hint="eastAsia"/>
            <w:noProof/>
            <w:sz w:val="24"/>
          </w:rPr>
          <w:instrText xml:space="preserve"> PAGEREF _Toc124325889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10</w:t>
        </w:r>
        <w:r w:rsidR="004C5F38">
          <w:rPr>
            <w:rFonts w:ascii="宋体" w:hAnsi="宋体" w:hint="eastAsia"/>
            <w:noProof/>
            <w:sz w:val="24"/>
          </w:rPr>
          <w:fldChar w:fldCharType="end"/>
        </w:r>
      </w:hyperlink>
    </w:p>
    <w:p w14:paraId="696ADF17" w14:textId="0D5D18FD" w:rsidR="00B05562" w:rsidRDefault="00343AE1">
      <w:pPr>
        <w:pStyle w:val="23"/>
        <w:tabs>
          <w:tab w:val="right" w:leader="dot" w:pos="8494"/>
        </w:tabs>
        <w:spacing w:line="360" w:lineRule="auto"/>
        <w:rPr>
          <w:rFonts w:ascii="宋体" w:hAnsi="宋体"/>
          <w:noProof/>
          <w:sz w:val="24"/>
        </w:rPr>
      </w:pPr>
      <w:hyperlink w:anchor="_Toc124325890" w:history="1">
        <w:r w:rsidR="004C5F38">
          <w:rPr>
            <w:rStyle w:val="af1"/>
            <w:rFonts w:ascii="宋体" w:hAnsi="宋体" w:hint="eastAsia"/>
            <w:noProof/>
            <w:sz w:val="24"/>
          </w:rPr>
          <w:t>六、指令的发送、确认及执行</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_Toc124325890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13</w:t>
        </w:r>
        <w:r w:rsidR="004C5F38">
          <w:rPr>
            <w:rFonts w:ascii="宋体" w:hAnsi="宋体" w:hint="eastAsia"/>
            <w:noProof/>
            <w:sz w:val="24"/>
          </w:rPr>
          <w:fldChar w:fldCharType="end"/>
        </w:r>
      </w:hyperlink>
    </w:p>
    <w:p w14:paraId="43FD6932" w14:textId="169F4E07" w:rsidR="00B05562" w:rsidRDefault="00343AE1">
      <w:pPr>
        <w:pStyle w:val="23"/>
        <w:tabs>
          <w:tab w:val="right" w:leader="dot" w:pos="8494"/>
        </w:tabs>
        <w:spacing w:line="360" w:lineRule="auto"/>
        <w:rPr>
          <w:rFonts w:ascii="宋体" w:hAnsi="宋体"/>
          <w:noProof/>
          <w:sz w:val="24"/>
        </w:rPr>
      </w:pPr>
      <w:hyperlink w:anchor="_Toc124325891" w:history="1">
        <w:r w:rsidR="004C5F38">
          <w:rPr>
            <w:rStyle w:val="af1"/>
            <w:rFonts w:ascii="宋体" w:hAnsi="宋体" w:hint="eastAsia"/>
            <w:noProof/>
            <w:sz w:val="24"/>
          </w:rPr>
          <w:t>七、交易及清算</w:t>
        </w:r>
        <w:bookmarkStart w:id="4" w:name="_Hlt497143548"/>
        <w:bookmarkStart w:id="5" w:name="_Hlt497143549"/>
        <w:r w:rsidR="004C5F38">
          <w:rPr>
            <w:rStyle w:val="af1"/>
            <w:rFonts w:ascii="宋体" w:hAnsi="宋体" w:hint="eastAsia"/>
            <w:noProof/>
            <w:sz w:val="24"/>
          </w:rPr>
          <w:t>交</w:t>
        </w:r>
        <w:bookmarkEnd w:id="4"/>
        <w:bookmarkEnd w:id="5"/>
        <w:r w:rsidR="004C5F38">
          <w:rPr>
            <w:rStyle w:val="af1"/>
            <w:rFonts w:ascii="宋体" w:hAnsi="宋体" w:hint="eastAsia"/>
            <w:noProof/>
            <w:sz w:val="24"/>
          </w:rPr>
          <w:t>收安</w:t>
        </w:r>
        <w:bookmarkStart w:id="6" w:name="_Hlt419449173"/>
        <w:r w:rsidR="004C5F38">
          <w:rPr>
            <w:rStyle w:val="af1"/>
            <w:rFonts w:ascii="宋体" w:hAnsi="宋体" w:hint="eastAsia"/>
            <w:noProof/>
            <w:sz w:val="24"/>
          </w:rPr>
          <w:t>排</w:t>
        </w:r>
        <w:bookmarkEnd w:id="6"/>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_Toc124325891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15</w:t>
        </w:r>
        <w:r w:rsidR="004C5F38">
          <w:rPr>
            <w:rFonts w:ascii="宋体" w:hAnsi="宋体" w:hint="eastAsia"/>
            <w:noProof/>
            <w:sz w:val="24"/>
          </w:rPr>
          <w:fldChar w:fldCharType="end"/>
        </w:r>
      </w:hyperlink>
    </w:p>
    <w:p w14:paraId="6BB975F5" w14:textId="0F7C5007" w:rsidR="00B05562" w:rsidRDefault="00343AE1">
      <w:pPr>
        <w:pStyle w:val="23"/>
        <w:tabs>
          <w:tab w:val="right" w:leader="dot" w:pos="8494"/>
        </w:tabs>
        <w:spacing w:line="360" w:lineRule="auto"/>
        <w:rPr>
          <w:rFonts w:ascii="宋体" w:hAnsi="宋体"/>
          <w:noProof/>
          <w:sz w:val="24"/>
        </w:rPr>
      </w:pPr>
      <w:hyperlink w:anchor="_Toc124325892" w:history="1">
        <w:r w:rsidR="004C5F38">
          <w:rPr>
            <w:rStyle w:val="af1"/>
            <w:rFonts w:ascii="宋体" w:hAnsi="宋体" w:hint="eastAsia"/>
            <w:noProof/>
            <w:sz w:val="24"/>
          </w:rPr>
          <w:t>八、基金资产净值</w:t>
        </w:r>
        <w:bookmarkStart w:id="7" w:name="_Hlt419449178"/>
        <w:r w:rsidR="004C5F38">
          <w:rPr>
            <w:rStyle w:val="af1"/>
            <w:rFonts w:ascii="宋体" w:hAnsi="宋体" w:hint="eastAsia"/>
            <w:noProof/>
            <w:sz w:val="24"/>
          </w:rPr>
          <w:t>计</w:t>
        </w:r>
        <w:bookmarkEnd w:id="7"/>
        <w:r w:rsidR="004C5F38">
          <w:rPr>
            <w:rStyle w:val="af1"/>
            <w:rFonts w:ascii="宋体" w:hAnsi="宋体" w:hint="eastAsia"/>
            <w:noProof/>
            <w:sz w:val="24"/>
          </w:rPr>
          <w:t>算和会计核算</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_Toc124325892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21</w:t>
        </w:r>
        <w:r w:rsidR="004C5F38">
          <w:rPr>
            <w:rFonts w:ascii="宋体" w:hAnsi="宋体" w:hint="eastAsia"/>
            <w:noProof/>
            <w:sz w:val="24"/>
          </w:rPr>
          <w:fldChar w:fldCharType="end"/>
        </w:r>
      </w:hyperlink>
    </w:p>
    <w:p w14:paraId="44EF2D31" w14:textId="10ABF4B9" w:rsidR="00B05562" w:rsidRDefault="00343AE1">
      <w:pPr>
        <w:pStyle w:val="23"/>
        <w:tabs>
          <w:tab w:val="right" w:leader="dot" w:pos="8494"/>
        </w:tabs>
        <w:spacing w:line="360" w:lineRule="auto"/>
        <w:rPr>
          <w:rFonts w:ascii="宋体" w:hAnsi="宋体"/>
          <w:noProof/>
          <w:sz w:val="24"/>
        </w:rPr>
      </w:pPr>
      <w:hyperlink w:anchor="_Toc124325893" w:history="1">
        <w:r w:rsidR="004C5F38">
          <w:rPr>
            <w:rStyle w:val="af1"/>
            <w:rFonts w:ascii="宋体" w:hAnsi="宋体" w:hint="eastAsia"/>
            <w:noProof/>
            <w:sz w:val="24"/>
          </w:rPr>
          <w:t>九、基金收益分配</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_Toc124325893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27</w:t>
        </w:r>
        <w:r w:rsidR="004C5F38">
          <w:rPr>
            <w:rFonts w:ascii="宋体" w:hAnsi="宋体" w:hint="eastAsia"/>
            <w:noProof/>
            <w:sz w:val="24"/>
          </w:rPr>
          <w:fldChar w:fldCharType="end"/>
        </w:r>
      </w:hyperlink>
    </w:p>
    <w:p w14:paraId="26A58DF0" w14:textId="24AA72D8" w:rsidR="00B05562" w:rsidRDefault="00343AE1">
      <w:pPr>
        <w:pStyle w:val="23"/>
        <w:tabs>
          <w:tab w:val="right" w:leader="dot" w:pos="8494"/>
        </w:tabs>
        <w:spacing w:line="360" w:lineRule="auto"/>
        <w:rPr>
          <w:rFonts w:ascii="宋体" w:hAnsi="宋体"/>
          <w:noProof/>
          <w:sz w:val="24"/>
        </w:rPr>
      </w:pPr>
      <w:hyperlink w:anchor="_Toc124325894" w:history="1">
        <w:r w:rsidR="004C5F38">
          <w:rPr>
            <w:rStyle w:val="af1"/>
            <w:rFonts w:ascii="宋体" w:hAnsi="宋体" w:hint="eastAsia"/>
            <w:noProof/>
            <w:sz w:val="24"/>
          </w:rPr>
          <w:t>十、基金信息披露</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_Toc124325894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28</w:t>
        </w:r>
        <w:r w:rsidR="004C5F38">
          <w:rPr>
            <w:rFonts w:ascii="宋体" w:hAnsi="宋体" w:hint="eastAsia"/>
            <w:noProof/>
            <w:sz w:val="24"/>
          </w:rPr>
          <w:fldChar w:fldCharType="end"/>
        </w:r>
      </w:hyperlink>
    </w:p>
    <w:p w14:paraId="3843018F" w14:textId="6F506AAA" w:rsidR="00B05562" w:rsidRDefault="00343AE1">
      <w:pPr>
        <w:pStyle w:val="23"/>
        <w:tabs>
          <w:tab w:val="right" w:leader="dot" w:pos="8494"/>
        </w:tabs>
        <w:spacing w:line="360" w:lineRule="auto"/>
        <w:rPr>
          <w:rFonts w:ascii="宋体" w:hAnsi="宋体"/>
          <w:noProof/>
          <w:sz w:val="24"/>
        </w:rPr>
      </w:pPr>
      <w:hyperlink w:anchor="_Toc124325895" w:history="1">
        <w:r w:rsidR="004C5F38">
          <w:rPr>
            <w:rStyle w:val="af1"/>
            <w:rFonts w:ascii="宋体" w:hAnsi="宋体" w:hint="eastAsia"/>
            <w:noProof/>
            <w:sz w:val="24"/>
          </w:rPr>
          <w:t>十一、基金费用</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_Toc124325895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29</w:t>
        </w:r>
        <w:r w:rsidR="004C5F38">
          <w:rPr>
            <w:rFonts w:ascii="宋体" w:hAnsi="宋体" w:hint="eastAsia"/>
            <w:noProof/>
            <w:sz w:val="24"/>
          </w:rPr>
          <w:fldChar w:fldCharType="end"/>
        </w:r>
      </w:hyperlink>
    </w:p>
    <w:p w14:paraId="7D9FAED3" w14:textId="60C147BD" w:rsidR="00B05562" w:rsidRDefault="00343AE1">
      <w:pPr>
        <w:pStyle w:val="23"/>
        <w:tabs>
          <w:tab w:val="right" w:leader="dot" w:pos="8494"/>
        </w:tabs>
        <w:spacing w:line="360" w:lineRule="auto"/>
        <w:rPr>
          <w:rFonts w:ascii="宋体" w:hAnsi="宋体"/>
          <w:noProof/>
          <w:sz w:val="24"/>
        </w:rPr>
      </w:pPr>
      <w:hyperlink w:anchor="_Toc124325896" w:history="1">
        <w:r w:rsidR="004C5F38">
          <w:rPr>
            <w:rStyle w:val="af1"/>
            <w:rFonts w:ascii="宋体" w:hAnsi="宋体" w:hint="eastAsia"/>
            <w:noProof/>
            <w:sz w:val="24"/>
          </w:rPr>
          <w:t>十二、基金份额持有人名册的保管</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_Toc124325896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35</w:t>
        </w:r>
        <w:r w:rsidR="004C5F38">
          <w:rPr>
            <w:rFonts w:ascii="宋体" w:hAnsi="宋体" w:hint="eastAsia"/>
            <w:noProof/>
            <w:sz w:val="24"/>
          </w:rPr>
          <w:fldChar w:fldCharType="end"/>
        </w:r>
      </w:hyperlink>
    </w:p>
    <w:p w14:paraId="7202D9B9" w14:textId="31C15F2C" w:rsidR="00B05562" w:rsidRDefault="00343AE1">
      <w:pPr>
        <w:pStyle w:val="23"/>
        <w:tabs>
          <w:tab w:val="right" w:leader="dot" w:pos="8494"/>
        </w:tabs>
        <w:spacing w:line="360" w:lineRule="auto"/>
        <w:rPr>
          <w:rFonts w:ascii="宋体" w:hAnsi="宋体"/>
          <w:noProof/>
          <w:sz w:val="24"/>
        </w:rPr>
      </w:pPr>
      <w:hyperlink w:anchor="_Toc124325897" w:history="1">
        <w:r w:rsidR="004C5F38">
          <w:rPr>
            <w:rStyle w:val="af1"/>
            <w:rFonts w:ascii="宋体" w:hAnsi="宋体" w:hint="eastAsia"/>
            <w:noProof/>
            <w:sz w:val="24"/>
          </w:rPr>
          <w:t>十三、基金有关文件档案的保存</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_Toc124325897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36</w:t>
        </w:r>
        <w:r w:rsidR="004C5F38">
          <w:rPr>
            <w:rFonts w:ascii="宋体" w:hAnsi="宋体" w:hint="eastAsia"/>
            <w:noProof/>
            <w:sz w:val="24"/>
          </w:rPr>
          <w:fldChar w:fldCharType="end"/>
        </w:r>
      </w:hyperlink>
    </w:p>
    <w:p w14:paraId="72677ED2" w14:textId="045CF9D5" w:rsidR="00B05562" w:rsidRDefault="00343AE1">
      <w:pPr>
        <w:pStyle w:val="23"/>
        <w:tabs>
          <w:tab w:val="right" w:leader="dot" w:pos="8494"/>
        </w:tabs>
        <w:spacing w:line="360" w:lineRule="auto"/>
        <w:rPr>
          <w:rFonts w:ascii="宋体" w:hAnsi="宋体"/>
          <w:noProof/>
          <w:sz w:val="24"/>
        </w:rPr>
      </w:pPr>
      <w:hyperlink w:anchor="_Toc124325898" w:history="1">
        <w:r w:rsidR="004C5F38">
          <w:rPr>
            <w:rStyle w:val="af1"/>
            <w:rFonts w:ascii="宋体" w:hAnsi="宋体" w:hint="eastAsia"/>
            <w:noProof/>
            <w:sz w:val="24"/>
          </w:rPr>
          <w:t>十四、基金管理人和基金托管人的更换</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_Toc124325898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36</w:t>
        </w:r>
        <w:r w:rsidR="004C5F38">
          <w:rPr>
            <w:rFonts w:ascii="宋体" w:hAnsi="宋体" w:hint="eastAsia"/>
            <w:noProof/>
            <w:sz w:val="24"/>
          </w:rPr>
          <w:fldChar w:fldCharType="end"/>
        </w:r>
      </w:hyperlink>
    </w:p>
    <w:p w14:paraId="07793ECB" w14:textId="23C92B6A" w:rsidR="00B05562" w:rsidRDefault="00343AE1">
      <w:pPr>
        <w:pStyle w:val="23"/>
        <w:tabs>
          <w:tab w:val="right" w:leader="dot" w:pos="8494"/>
        </w:tabs>
        <w:spacing w:line="360" w:lineRule="auto"/>
        <w:rPr>
          <w:rFonts w:ascii="宋体" w:hAnsi="宋体"/>
          <w:noProof/>
          <w:sz w:val="24"/>
        </w:rPr>
      </w:pPr>
      <w:hyperlink w:anchor="_Toc124325899" w:history="1">
        <w:r w:rsidR="004C5F38">
          <w:rPr>
            <w:rStyle w:val="af1"/>
            <w:rFonts w:ascii="宋体" w:hAnsi="宋体" w:hint="eastAsia"/>
            <w:noProof/>
            <w:sz w:val="24"/>
          </w:rPr>
          <w:t>十五、禁止</w:t>
        </w:r>
        <w:bookmarkStart w:id="8" w:name="_Hlt133480885"/>
        <w:bookmarkStart w:id="9" w:name="_Hlt133480886"/>
        <w:r w:rsidR="004C5F38">
          <w:rPr>
            <w:rStyle w:val="af1"/>
            <w:rFonts w:ascii="宋体" w:hAnsi="宋体" w:hint="eastAsia"/>
            <w:noProof/>
            <w:sz w:val="24"/>
          </w:rPr>
          <w:t>行</w:t>
        </w:r>
        <w:bookmarkEnd w:id="8"/>
        <w:bookmarkEnd w:id="9"/>
        <w:r w:rsidR="004C5F38">
          <w:rPr>
            <w:rStyle w:val="af1"/>
            <w:rFonts w:ascii="宋体" w:hAnsi="宋体" w:hint="eastAsia"/>
            <w:noProof/>
            <w:sz w:val="24"/>
          </w:rPr>
          <w:t>为</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_Toc124325899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38</w:t>
        </w:r>
        <w:r w:rsidR="004C5F38">
          <w:rPr>
            <w:rFonts w:ascii="宋体" w:hAnsi="宋体" w:hint="eastAsia"/>
            <w:noProof/>
            <w:sz w:val="24"/>
          </w:rPr>
          <w:fldChar w:fldCharType="end"/>
        </w:r>
      </w:hyperlink>
    </w:p>
    <w:p w14:paraId="516AB901" w14:textId="05D82993" w:rsidR="00B05562" w:rsidRDefault="00343AE1">
      <w:pPr>
        <w:pStyle w:val="23"/>
        <w:tabs>
          <w:tab w:val="right" w:leader="dot" w:pos="8494"/>
        </w:tabs>
        <w:spacing w:line="360" w:lineRule="auto"/>
        <w:rPr>
          <w:rFonts w:ascii="宋体" w:hAnsi="宋体"/>
          <w:noProof/>
          <w:sz w:val="24"/>
        </w:rPr>
      </w:pPr>
      <w:hyperlink w:anchor="_Toc124325900" w:history="1">
        <w:r w:rsidR="004C5F38">
          <w:rPr>
            <w:rStyle w:val="af1"/>
            <w:rFonts w:ascii="宋体" w:hAnsi="宋体" w:hint="eastAsia"/>
            <w:noProof/>
            <w:sz w:val="24"/>
          </w:rPr>
          <w:t>十六、托管协议的变更、终止与基金财产的清算</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_Toc124325900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39</w:t>
        </w:r>
        <w:r w:rsidR="004C5F38">
          <w:rPr>
            <w:rFonts w:ascii="宋体" w:hAnsi="宋体" w:hint="eastAsia"/>
            <w:noProof/>
            <w:sz w:val="24"/>
          </w:rPr>
          <w:fldChar w:fldCharType="end"/>
        </w:r>
      </w:hyperlink>
    </w:p>
    <w:p w14:paraId="06482B3E" w14:textId="1638D596" w:rsidR="00B05562" w:rsidRDefault="00343AE1">
      <w:pPr>
        <w:pStyle w:val="23"/>
        <w:tabs>
          <w:tab w:val="right" w:leader="dot" w:pos="8494"/>
        </w:tabs>
        <w:spacing w:line="360" w:lineRule="auto"/>
        <w:rPr>
          <w:rFonts w:ascii="宋体" w:hAnsi="宋体"/>
          <w:noProof/>
          <w:sz w:val="24"/>
        </w:rPr>
      </w:pPr>
      <w:hyperlink w:anchor="_Toc124325901" w:history="1">
        <w:r w:rsidR="004C5F38">
          <w:rPr>
            <w:rStyle w:val="af1"/>
            <w:rFonts w:ascii="宋体" w:hAnsi="宋体" w:hint="eastAsia"/>
            <w:noProof/>
            <w:sz w:val="24"/>
          </w:rPr>
          <w:t>十七、违约责任</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_Toc124325901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41</w:t>
        </w:r>
        <w:r w:rsidR="004C5F38">
          <w:rPr>
            <w:rFonts w:ascii="宋体" w:hAnsi="宋体" w:hint="eastAsia"/>
            <w:noProof/>
            <w:sz w:val="24"/>
          </w:rPr>
          <w:fldChar w:fldCharType="end"/>
        </w:r>
      </w:hyperlink>
    </w:p>
    <w:p w14:paraId="19AF8EC4" w14:textId="6073FCCA" w:rsidR="00B05562" w:rsidRDefault="00343AE1">
      <w:pPr>
        <w:pStyle w:val="23"/>
        <w:tabs>
          <w:tab w:val="right" w:leader="dot" w:pos="8494"/>
        </w:tabs>
        <w:spacing w:line="360" w:lineRule="auto"/>
        <w:rPr>
          <w:rFonts w:ascii="宋体" w:hAnsi="宋体"/>
          <w:noProof/>
          <w:sz w:val="24"/>
        </w:rPr>
      </w:pPr>
      <w:hyperlink w:anchor="_Toc124325902" w:history="1">
        <w:r w:rsidR="004C5F38">
          <w:rPr>
            <w:rStyle w:val="af1"/>
            <w:rFonts w:ascii="宋体" w:hAnsi="宋体" w:hint="eastAsia"/>
            <w:noProof/>
            <w:sz w:val="24"/>
          </w:rPr>
          <w:t>十八、争议解决方式</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_Toc124325902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42</w:t>
        </w:r>
        <w:r w:rsidR="004C5F38">
          <w:rPr>
            <w:rFonts w:ascii="宋体" w:hAnsi="宋体" w:hint="eastAsia"/>
            <w:noProof/>
            <w:sz w:val="24"/>
          </w:rPr>
          <w:fldChar w:fldCharType="end"/>
        </w:r>
      </w:hyperlink>
    </w:p>
    <w:p w14:paraId="7F04B33D" w14:textId="62B2D887" w:rsidR="00B05562" w:rsidRDefault="00343AE1">
      <w:pPr>
        <w:pStyle w:val="23"/>
        <w:tabs>
          <w:tab w:val="right" w:leader="dot" w:pos="8494"/>
        </w:tabs>
        <w:spacing w:line="360" w:lineRule="auto"/>
        <w:rPr>
          <w:rFonts w:ascii="宋体" w:hAnsi="宋体"/>
          <w:noProof/>
          <w:sz w:val="24"/>
        </w:rPr>
      </w:pPr>
      <w:hyperlink w:anchor="_Toc124325903" w:history="1">
        <w:r w:rsidR="004C5F38">
          <w:rPr>
            <w:rStyle w:val="af1"/>
            <w:rFonts w:ascii="宋体" w:hAnsi="宋体" w:hint="eastAsia"/>
            <w:noProof/>
            <w:sz w:val="24"/>
          </w:rPr>
          <w:t>十九、托管协议的效力</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_Toc124325903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42</w:t>
        </w:r>
        <w:r w:rsidR="004C5F38">
          <w:rPr>
            <w:rFonts w:ascii="宋体" w:hAnsi="宋体" w:hint="eastAsia"/>
            <w:noProof/>
            <w:sz w:val="24"/>
          </w:rPr>
          <w:fldChar w:fldCharType="end"/>
        </w:r>
      </w:hyperlink>
    </w:p>
    <w:p w14:paraId="725D3AA5" w14:textId="3D4139BF" w:rsidR="00B05562" w:rsidRDefault="00343AE1">
      <w:pPr>
        <w:pStyle w:val="23"/>
        <w:tabs>
          <w:tab w:val="right" w:leader="dot" w:pos="8494"/>
        </w:tabs>
        <w:spacing w:line="360" w:lineRule="auto"/>
        <w:rPr>
          <w:rFonts w:ascii="宋体" w:hAnsi="宋体"/>
          <w:noProof/>
          <w:sz w:val="24"/>
        </w:rPr>
      </w:pPr>
      <w:hyperlink w:anchor="_Toc124325904" w:history="1">
        <w:r w:rsidR="004C5F38">
          <w:rPr>
            <w:rStyle w:val="af1"/>
            <w:rFonts w:ascii="宋体" w:hAnsi="宋体" w:hint="eastAsia"/>
            <w:noProof/>
            <w:sz w:val="24"/>
          </w:rPr>
          <w:t>二十、其他事项</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_Toc124325904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43</w:t>
        </w:r>
        <w:r w:rsidR="004C5F38">
          <w:rPr>
            <w:rFonts w:ascii="宋体" w:hAnsi="宋体" w:hint="eastAsia"/>
            <w:noProof/>
            <w:sz w:val="24"/>
          </w:rPr>
          <w:fldChar w:fldCharType="end"/>
        </w:r>
      </w:hyperlink>
    </w:p>
    <w:p w14:paraId="7D9FC625" w14:textId="3D81ACCF" w:rsidR="00B05562" w:rsidRDefault="00343AE1">
      <w:pPr>
        <w:pStyle w:val="23"/>
        <w:tabs>
          <w:tab w:val="right" w:leader="dot" w:pos="8494"/>
        </w:tabs>
        <w:spacing w:line="360" w:lineRule="auto"/>
        <w:rPr>
          <w:rFonts w:ascii="宋体" w:hAnsi="宋体"/>
          <w:noProof/>
          <w:sz w:val="24"/>
        </w:rPr>
      </w:pPr>
      <w:hyperlink w:anchor="_Toc124325905" w:history="1">
        <w:r w:rsidR="004C5F38">
          <w:rPr>
            <w:rStyle w:val="af1"/>
            <w:rFonts w:ascii="宋体" w:hAnsi="宋体" w:hint="eastAsia"/>
            <w:noProof/>
            <w:sz w:val="24"/>
          </w:rPr>
          <w:t>二十一、托管协议的签订</w:t>
        </w:r>
        <w:r w:rsidR="004C5F38">
          <w:rPr>
            <w:rFonts w:ascii="宋体" w:hAnsi="宋体" w:hint="eastAsia"/>
            <w:noProof/>
            <w:sz w:val="24"/>
          </w:rPr>
          <w:tab/>
        </w:r>
        <w:r w:rsidR="004C5F38">
          <w:rPr>
            <w:rFonts w:ascii="宋体" w:hAnsi="宋体" w:hint="eastAsia"/>
            <w:noProof/>
            <w:sz w:val="24"/>
          </w:rPr>
          <w:fldChar w:fldCharType="begin"/>
        </w:r>
        <w:r w:rsidR="004C5F38">
          <w:rPr>
            <w:rFonts w:ascii="宋体" w:hAnsi="宋体" w:hint="eastAsia"/>
            <w:noProof/>
            <w:sz w:val="24"/>
          </w:rPr>
          <w:instrText xml:space="preserve"> PAGEREF _Toc124325905 \h </w:instrText>
        </w:r>
        <w:r w:rsidR="004C5F38">
          <w:rPr>
            <w:rFonts w:ascii="宋体" w:hAnsi="宋体" w:hint="eastAsia"/>
            <w:noProof/>
            <w:sz w:val="24"/>
          </w:rPr>
        </w:r>
        <w:r w:rsidR="004C5F38">
          <w:rPr>
            <w:rFonts w:ascii="宋体" w:hAnsi="宋体" w:hint="eastAsia"/>
            <w:noProof/>
            <w:sz w:val="24"/>
          </w:rPr>
          <w:fldChar w:fldCharType="separate"/>
        </w:r>
        <w:r w:rsidR="005B52BE">
          <w:rPr>
            <w:rFonts w:ascii="宋体" w:hAnsi="宋体"/>
            <w:noProof/>
            <w:sz w:val="24"/>
          </w:rPr>
          <w:t>43</w:t>
        </w:r>
        <w:r w:rsidR="004C5F38">
          <w:rPr>
            <w:rFonts w:ascii="宋体" w:hAnsi="宋体" w:hint="eastAsia"/>
            <w:noProof/>
            <w:sz w:val="24"/>
          </w:rPr>
          <w:fldChar w:fldCharType="end"/>
        </w:r>
      </w:hyperlink>
    </w:p>
    <w:p w14:paraId="75818388" w14:textId="77777777" w:rsidR="00B05562" w:rsidRDefault="004C5F38">
      <w:pPr>
        <w:spacing w:line="360" w:lineRule="auto"/>
        <w:rPr>
          <w:rFonts w:ascii="宋体" w:hAnsi="宋体"/>
          <w:sz w:val="28"/>
        </w:rPr>
      </w:pPr>
      <w:r>
        <w:rPr>
          <w:rFonts w:ascii="宋体" w:hAnsi="宋体" w:hint="eastAsia"/>
          <w:sz w:val="28"/>
        </w:rPr>
        <w:fldChar w:fldCharType="end"/>
      </w:r>
    </w:p>
    <w:p w14:paraId="049FEF9F" w14:textId="77777777" w:rsidR="00B05562" w:rsidRDefault="004C5F38">
      <w:pPr>
        <w:widowControl/>
        <w:jc w:val="left"/>
        <w:rPr>
          <w:rFonts w:ascii="宋体" w:hAnsi="宋体"/>
          <w:sz w:val="28"/>
        </w:rPr>
      </w:pPr>
      <w:r>
        <w:rPr>
          <w:rFonts w:ascii="宋体" w:hAnsi="宋体"/>
          <w:sz w:val="28"/>
        </w:rPr>
        <w:br w:type="page"/>
      </w:r>
    </w:p>
    <w:p w14:paraId="06B859F1" w14:textId="77777777" w:rsidR="00B05562" w:rsidRDefault="00B05562">
      <w:pPr>
        <w:spacing w:line="360" w:lineRule="auto"/>
        <w:rPr>
          <w:rFonts w:ascii="宋体" w:hAnsi="宋体"/>
          <w:sz w:val="24"/>
        </w:rPr>
      </w:pPr>
    </w:p>
    <w:p w14:paraId="695F2859" w14:textId="77777777" w:rsidR="00B05562" w:rsidRDefault="004C5F38">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鉴于广发基金管理有限公司系一家依照中国法律合法成立并有效存续的有限责任公司，按照相关法律法规的规定具备担任基金管理人的资格和能力，拟募集发行广发匠心精选混合型证券投资基金；</w:t>
      </w:r>
    </w:p>
    <w:p w14:paraId="029BC836" w14:textId="77777777" w:rsidR="00B05562" w:rsidRDefault="004C5F38">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2D5C65FB" w14:textId="77777777" w:rsidR="00B05562" w:rsidRDefault="004C5F38">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鉴于广发基金管理有限公司拟担任广发匠心精选混合型证券投资基金的基金管理人，中国建设银行股份有限公司拟担任广发匠心精选混合型证券投资基金的基金托管人；</w:t>
      </w:r>
    </w:p>
    <w:p w14:paraId="4CC12806" w14:textId="77777777" w:rsidR="00B05562" w:rsidRDefault="004C5F38">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w:t>
      </w:r>
      <w:proofErr w:type="gramStart"/>
      <w:r>
        <w:rPr>
          <w:rFonts w:ascii="宋体" w:hAnsi="宋体" w:cs="Arial" w:hint="eastAsia"/>
          <w:kern w:val="0"/>
          <w:sz w:val="24"/>
        </w:rPr>
        <w:t>明确广</w:t>
      </w:r>
      <w:proofErr w:type="gramEnd"/>
      <w:r>
        <w:rPr>
          <w:rFonts w:ascii="宋体" w:hAnsi="宋体" w:cs="Arial" w:hint="eastAsia"/>
          <w:kern w:val="0"/>
          <w:sz w:val="24"/>
        </w:rPr>
        <w:t>发匠心精选混合型证券投资基金的基金管理人和基金托管人之间的权利义务关系，特制订本托管协议；</w:t>
      </w:r>
    </w:p>
    <w:p w14:paraId="292956DB" w14:textId="77777777" w:rsidR="00B05562" w:rsidRDefault="004C5F38">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除非另有约定，《广发匠心精选混合型证券投资基金基金合同》(以下简称“基金合同”)中定义的术语在用于本托管协议时应具有相同的含义；若有抵触应以《基金合同》为准，并依其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31F5DFE2" w14:textId="77777777" w:rsidR="00B05562" w:rsidRDefault="00B05562">
      <w:pPr>
        <w:spacing w:line="360" w:lineRule="auto"/>
        <w:rPr>
          <w:rFonts w:ascii="宋体" w:hAnsi="宋体"/>
          <w:sz w:val="24"/>
          <w:lang w:val="en-GB"/>
        </w:rPr>
      </w:pPr>
    </w:p>
    <w:p w14:paraId="409AB027" w14:textId="77777777" w:rsidR="00B05562" w:rsidRDefault="004C5F38">
      <w:pPr>
        <w:pStyle w:val="2"/>
        <w:spacing w:line="360" w:lineRule="auto"/>
        <w:jc w:val="center"/>
        <w:rPr>
          <w:rFonts w:ascii="宋体" w:eastAsia="宋体" w:hAnsi="宋体"/>
        </w:rPr>
      </w:pPr>
      <w:bookmarkStart w:id="10" w:name="_Toc124325885"/>
      <w:r>
        <w:rPr>
          <w:rFonts w:ascii="宋体" w:eastAsia="宋体" w:hAnsi="宋体" w:hint="eastAsia"/>
        </w:rPr>
        <w:t>一、基金托管协议当事人</w:t>
      </w:r>
      <w:bookmarkEnd w:id="10"/>
    </w:p>
    <w:p w14:paraId="096493D9"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w:t>
      </w:r>
    </w:p>
    <w:p w14:paraId="7288B0D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名称：广发基金管理有限公司</w:t>
      </w:r>
    </w:p>
    <w:p w14:paraId="00F50D1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注册地址：广东省珠海市横琴新区环岛东路3018号2608室</w:t>
      </w:r>
    </w:p>
    <w:p w14:paraId="5404BF51" w14:textId="4E767E99"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w:t>
      </w:r>
      <w:r w:rsidR="005B1ADA" w:rsidRPr="005B1ADA">
        <w:rPr>
          <w:rFonts w:ascii="宋体" w:hAnsi="宋体" w:cs="Arial" w:hint="eastAsia"/>
          <w:sz w:val="24"/>
        </w:rPr>
        <w:t>广东省广州市海珠区</w:t>
      </w:r>
      <w:proofErr w:type="gramStart"/>
      <w:r w:rsidR="005B1ADA" w:rsidRPr="005B1ADA">
        <w:rPr>
          <w:rFonts w:ascii="宋体" w:hAnsi="宋体" w:cs="Arial" w:hint="eastAsia"/>
          <w:sz w:val="24"/>
        </w:rPr>
        <w:t>琶</w:t>
      </w:r>
      <w:proofErr w:type="gramEnd"/>
      <w:r w:rsidR="005B1ADA" w:rsidRPr="005B1ADA">
        <w:rPr>
          <w:rFonts w:ascii="宋体" w:hAnsi="宋体" w:cs="Arial" w:hint="eastAsia"/>
          <w:sz w:val="24"/>
        </w:rPr>
        <w:t>洲大道168号星河湾中心28-38层</w:t>
      </w:r>
      <w:r w:rsidR="005B1ADA">
        <w:rPr>
          <w:rFonts w:ascii="宋体" w:hAnsi="宋体" w:cs="Arial" w:hint="eastAsia"/>
          <w:sz w:val="24"/>
        </w:rPr>
        <w:t>；</w:t>
      </w:r>
      <w:r>
        <w:rPr>
          <w:rFonts w:ascii="宋体" w:hAnsi="宋体" w:cs="Arial" w:hint="eastAsia"/>
          <w:sz w:val="24"/>
        </w:rPr>
        <w:t>广东省广州市海珠区</w:t>
      </w:r>
      <w:proofErr w:type="gramStart"/>
      <w:r>
        <w:rPr>
          <w:rFonts w:ascii="宋体" w:hAnsi="宋体" w:cs="Arial" w:hint="eastAsia"/>
          <w:sz w:val="24"/>
        </w:rPr>
        <w:t>琶</w:t>
      </w:r>
      <w:proofErr w:type="gramEnd"/>
      <w:r>
        <w:rPr>
          <w:rFonts w:ascii="宋体" w:hAnsi="宋体" w:cs="Arial" w:hint="eastAsia"/>
          <w:sz w:val="24"/>
        </w:rPr>
        <w:t>洲大道东1号保利国际广场南塔31－33楼；广东省珠海市横琴新区环岛东路3018号2603-2622室</w:t>
      </w:r>
    </w:p>
    <w:p w14:paraId="552C5F9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510308</w:t>
      </w:r>
    </w:p>
    <w:p w14:paraId="225C0F0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法定代表人：葛长伟</w:t>
      </w:r>
    </w:p>
    <w:p w14:paraId="40B8697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w:t>
      </w:r>
      <w:r>
        <w:rPr>
          <w:rStyle w:val="read"/>
          <w:rFonts w:ascii="宋体" w:hAnsi="宋体" w:cs="Arial" w:hint="eastAsia"/>
          <w:sz w:val="24"/>
        </w:rPr>
        <w:t>2003年8月5日</w:t>
      </w:r>
    </w:p>
    <w:p w14:paraId="7DB2B45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批准设立机关及批准设立文号：中国证监会</w:t>
      </w:r>
      <w:proofErr w:type="gramStart"/>
      <w:r>
        <w:rPr>
          <w:rFonts w:ascii="宋体" w:hAnsi="宋体" w:cs="Arial" w:hint="eastAsia"/>
          <w:sz w:val="24"/>
        </w:rPr>
        <w:t>证监基字</w:t>
      </w:r>
      <w:proofErr w:type="gramEnd"/>
      <w:r>
        <w:rPr>
          <w:rStyle w:val="read"/>
          <w:rFonts w:ascii="宋体" w:hAnsi="宋体" w:cs="Arial" w:hint="eastAsia"/>
          <w:sz w:val="24"/>
        </w:rPr>
        <w:t>[</w:t>
      </w:r>
      <w:r>
        <w:rPr>
          <w:rStyle w:val="read"/>
          <w:rFonts w:ascii="宋体" w:hAnsi="宋体" w:cs="Arial"/>
          <w:sz w:val="24"/>
        </w:rPr>
        <w:t>2003</w:t>
      </w:r>
      <w:r>
        <w:rPr>
          <w:rStyle w:val="read"/>
          <w:rFonts w:ascii="宋体" w:hAnsi="宋体" w:cs="Arial" w:hint="eastAsia"/>
          <w:sz w:val="24"/>
        </w:rPr>
        <w:t>]</w:t>
      </w:r>
      <w:r>
        <w:rPr>
          <w:rStyle w:val="read"/>
          <w:rFonts w:ascii="宋体" w:hAnsi="宋体" w:cs="Arial"/>
          <w:sz w:val="24"/>
        </w:rPr>
        <w:t>91</w:t>
      </w:r>
      <w:r>
        <w:rPr>
          <w:rFonts w:ascii="宋体" w:hAnsi="宋体" w:cs="Arial" w:hint="eastAsia"/>
          <w:sz w:val="24"/>
        </w:rPr>
        <w:t>号</w:t>
      </w:r>
    </w:p>
    <w:p w14:paraId="4BBE9EE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组织形式：有限责任公司</w:t>
      </w:r>
    </w:p>
    <w:p w14:paraId="6AE3615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注册资本：14,097.8万元人民币</w:t>
      </w:r>
    </w:p>
    <w:p w14:paraId="3019CA0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存续期间：持续经营</w:t>
      </w:r>
    </w:p>
    <w:p w14:paraId="68693C5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经营范围：基金募集、基金销售、资产管理和中国证监会许可的其他业务</w:t>
      </w:r>
    </w:p>
    <w:p w14:paraId="283D0431"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（二）基金托管人</w:t>
      </w:r>
    </w:p>
    <w:p w14:paraId="47D687D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名称：中国建设银行股份有限公司(简称：中国建设银行)</w:t>
      </w:r>
    </w:p>
    <w:p w14:paraId="0C2549B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0D8A0E2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044DE71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3BA7B0B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2B33B91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7A4FB7C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w:t>
      </w:r>
      <w:proofErr w:type="gramStart"/>
      <w:r>
        <w:rPr>
          <w:rFonts w:ascii="宋体" w:hAnsi="宋体" w:cs="Arial" w:hint="eastAsia"/>
          <w:sz w:val="24"/>
        </w:rPr>
        <w:t>证监基字</w:t>
      </w:r>
      <w:proofErr w:type="gramEnd"/>
      <w:r>
        <w:rPr>
          <w:rFonts w:ascii="宋体" w:hAnsi="宋体" w:cs="Arial" w:hint="eastAsia"/>
          <w:sz w:val="24"/>
        </w:rPr>
        <w:t>[1998</w:t>
      </w:r>
      <w:bookmarkStart w:id="11" w:name="OLE_LINK3"/>
      <w:r>
        <w:rPr>
          <w:rFonts w:ascii="宋体" w:hAnsi="宋体" w:cs="Arial" w:hint="eastAsia"/>
          <w:sz w:val="24"/>
        </w:rPr>
        <w:t>]</w:t>
      </w:r>
      <w:bookmarkEnd w:id="11"/>
      <w:r>
        <w:rPr>
          <w:rFonts w:ascii="宋体" w:hAnsi="宋体" w:cs="Arial" w:hint="eastAsia"/>
          <w:sz w:val="24"/>
        </w:rPr>
        <w:t>12号</w:t>
      </w:r>
    </w:p>
    <w:p w14:paraId="5F4A887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49620D2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proofErr w:type="gramStart"/>
      <w:r>
        <w:rPr>
          <w:rFonts w:ascii="宋体" w:hAnsi="宋体" w:hint="eastAsia"/>
          <w:sz w:val="24"/>
        </w:rPr>
        <w:t>贰仟陆佰壹拾陆亿叁拾捌万壹仟肆佰伍拾玖</w:t>
      </w:r>
      <w:proofErr w:type="gramEnd"/>
      <w:r>
        <w:rPr>
          <w:rFonts w:ascii="宋体" w:hAnsi="宋体" w:hint="eastAsia"/>
          <w:sz w:val="24"/>
        </w:rPr>
        <w:t>元整</w:t>
      </w:r>
    </w:p>
    <w:p w14:paraId="51A0704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13005A71" w14:textId="77777777" w:rsidR="00B05562" w:rsidRDefault="004C5F38">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F9A6431" w14:textId="77777777" w:rsidR="00B05562" w:rsidRDefault="00B05562">
      <w:pPr>
        <w:spacing w:line="360" w:lineRule="auto"/>
        <w:rPr>
          <w:rFonts w:ascii="宋体" w:hAnsi="宋体"/>
          <w:sz w:val="24"/>
        </w:rPr>
      </w:pPr>
    </w:p>
    <w:p w14:paraId="310255B0" w14:textId="77777777" w:rsidR="00B05562" w:rsidRDefault="004C5F38">
      <w:pPr>
        <w:pStyle w:val="2"/>
        <w:spacing w:line="360" w:lineRule="auto"/>
        <w:jc w:val="center"/>
        <w:rPr>
          <w:rFonts w:ascii="宋体" w:eastAsia="宋体" w:hAnsi="宋体"/>
          <w:sz w:val="30"/>
        </w:rPr>
      </w:pPr>
      <w:bookmarkStart w:id="12" w:name="_Toc124325886"/>
      <w:r>
        <w:rPr>
          <w:rFonts w:ascii="宋体" w:eastAsia="宋体" w:hAnsi="宋体" w:hint="eastAsia"/>
          <w:sz w:val="30"/>
        </w:rPr>
        <w:t>二、基金托管协议的依据、目的和原则</w:t>
      </w:r>
      <w:bookmarkEnd w:id="12"/>
    </w:p>
    <w:p w14:paraId="419E0905" w14:textId="77777777" w:rsidR="00B05562" w:rsidRDefault="004C5F38">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66CCD49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本协议依据《中华人民共和国证券投资基金法》(以下简称“《基金法》”)等有关法律法规、《基金合同》及其他有关规定制订。</w:t>
      </w:r>
    </w:p>
    <w:p w14:paraId="5B05760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7B8DF96E" w14:textId="77777777" w:rsidR="00B05562" w:rsidRDefault="004C5F38">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A6D9B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6BFAF28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基金管理人和基金托管人本着平等自愿、诚实信用、充分保护基金份额持有人合法权益的原则，经协商一致，签订本协议。</w:t>
      </w:r>
    </w:p>
    <w:p w14:paraId="153830D1" w14:textId="77777777" w:rsidR="00B05562" w:rsidRDefault="00B05562">
      <w:pPr>
        <w:spacing w:line="360" w:lineRule="auto"/>
        <w:rPr>
          <w:rFonts w:ascii="宋体" w:hAnsi="宋体"/>
          <w:sz w:val="24"/>
        </w:rPr>
      </w:pPr>
    </w:p>
    <w:p w14:paraId="27B585E3" w14:textId="77777777" w:rsidR="00B05562" w:rsidRDefault="004C5F38">
      <w:pPr>
        <w:pStyle w:val="2"/>
        <w:spacing w:line="360" w:lineRule="auto"/>
        <w:jc w:val="center"/>
        <w:rPr>
          <w:rFonts w:ascii="宋体" w:eastAsia="宋体" w:hAnsi="宋体"/>
          <w:sz w:val="30"/>
        </w:rPr>
      </w:pPr>
      <w:bookmarkStart w:id="13" w:name="_Toc124325887"/>
      <w:r>
        <w:rPr>
          <w:rFonts w:ascii="宋体" w:eastAsia="宋体" w:hAnsi="宋体" w:hint="eastAsia"/>
          <w:sz w:val="30"/>
        </w:rPr>
        <w:t>三、基金托管人对基金管理人的业务监督和核查</w:t>
      </w:r>
      <w:bookmarkEnd w:id="13"/>
    </w:p>
    <w:p w14:paraId="79DE25A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w:t>
      </w:r>
      <w:proofErr w:type="gramStart"/>
      <w:r>
        <w:rPr>
          <w:rFonts w:ascii="宋体" w:hAnsi="宋体" w:cs="Arial" w:hint="eastAsia"/>
          <w:sz w:val="24"/>
        </w:rPr>
        <w:t>库提供</w:t>
      </w:r>
      <w:proofErr w:type="gramEnd"/>
      <w:r>
        <w:rPr>
          <w:rFonts w:ascii="宋体" w:hAnsi="宋体" w:cs="Arial" w:hint="eastAsia"/>
          <w:sz w:val="24"/>
        </w:rPr>
        <w:t>给基金托管人，基金管理人可以根据实际情况的变化，对标的证券</w:t>
      </w:r>
      <w:proofErr w:type="gramStart"/>
      <w:r>
        <w:rPr>
          <w:rFonts w:ascii="宋体" w:hAnsi="宋体" w:cs="Arial" w:hint="eastAsia"/>
          <w:sz w:val="24"/>
        </w:rPr>
        <w:t>库予以</w:t>
      </w:r>
      <w:proofErr w:type="gramEnd"/>
      <w:r>
        <w:rPr>
          <w:rFonts w:ascii="宋体" w:hAnsi="宋体" w:cs="Arial" w:hint="eastAsia"/>
          <w:sz w:val="24"/>
        </w:rPr>
        <w:t>更新和调整并及时书面通知基金托管人。基金托管人根据上述投资范围对基金实际投资是否符合《基金合同》关于证券选择标准的约定进行监督。</w:t>
      </w:r>
    </w:p>
    <w:p w14:paraId="303943F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本基金的投资范围为具有良好流动性的金融工具，包括国内依法发行上市的股票（包括创业板、</w:t>
      </w:r>
      <w:proofErr w:type="gramStart"/>
      <w:r>
        <w:rPr>
          <w:rFonts w:ascii="宋体" w:hAnsi="宋体" w:cs="Arial" w:hint="eastAsia"/>
          <w:sz w:val="24"/>
        </w:rPr>
        <w:t>科创板</w:t>
      </w:r>
      <w:proofErr w:type="gramEnd"/>
      <w:r>
        <w:rPr>
          <w:rFonts w:ascii="宋体" w:hAnsi="宋体" w:cs="Arial" w:hint="eastAsia"/>
          <w:sz w:val="24"/>
        </w:rPr>
        <w:t>及其他依法发行上市的股票、存托凭证）、港股通标的股票、债券（国债、地方政府债、金融债、企业债、公司债、次级债、可转换债券（</w:t>
      </w:r>
      <w:proofErr w:type="gramStart"/>
      <w:r>
        <w:rPr>
          <w:rFonts w:ascii="宋体" w:hAnsi="宋体" w:cs="Arial" w:hint="eastAsia"/>
          <w:sz w:val="24"/>
        </w:rPr>
        <w:t>含可分离</w:t>
      </w:r>
      <w:proofErr w:type="gramEnd"/>
      <w:r>
        <w:rPr>
          <w:rFonts w:ascii="宋体" w:hAnsi="宋体" w:cs="Arial" w:hint="eastAsia"/>
          <w:sz w:val="24"/>
        </w:rPr>
        <w:t>交易可转债）、可交换债券、央行票据、中期票据、短期融资</w:t>
      </w:r>
      <w:proofErr w:type="gramStart"/>
      <w:r>
        <w:rPr>
          <w:rFonts w:ascii="宋体" w:hAnsi="宋体" w:cs="Arial" w:hint="eastAsia"/>
          <w:sz w:val="24"/>
        </w:rPr>
        <w:t>券</w:t>
      </w:r>
      <w:proofErr w:type="gramEnd"/>
      <w:r>
        <w:rPr>
          <w:rFonts w:ascii="宋体" w:hAnsi="宋体" w:cs="Arial" w:hint="eastAsia"/>
          <w:sz w:val="24"/>
        </w:rPr>
        <w:t>（包括超短期融资</w:t>
      </w:r>
      <w:proofErr w:type="gramStart"/>
      <w:r>
        <w:rPr>
          <w:rFonts w:ascii="宋体" w:hAnsi="宋体" w:cs="Arial" w:hint="eastAsia"/>
          <w:sz w:val="24"/>
        </w:rPr>
        <w:t>券</w:t>
      </w:r>
      <w:proofErr w:type="gramEnd"/>
      <w:r>
        <w:rPr>
          <w:rFonts w:ascii="宋体" w:hAnsi="宋体" w:cs="Arial" w:hint="eastAsia"/>
          <w:sz w:val="24"/>
        </w:rPr>
        <w:t>）等）、资产支持证券、债券回购、同业存单、银行存款、货币市场工具、股指期货、国债期货、股票期权以及法律法规或中国证监会允许基金投资的其他金融工具（但须符合中国证监会相关规定）。</w:t>
      </w:r>
    </w:p>
    <w:p w14:paraId="4DEAEB4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如法律法规或监管机构以后允许基金投资其他品种，基金管理人在履行适当程序后，可以将其纳入投资范围，并可依据届时有效的法律法规适时合理地调整投资范围。</w:t>
      </w:r>
    </w:p>
    <w:p w14:paraId="2BF1B2C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为混合型基金，基金的投资组合比例为：股票资产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14:paraId="7BBB32A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如法律法规或监管机构以后对投资比例要求有变更的，基金管理人在履行适当程序后，可以做出相应调整。</w:t>
      </w:r>
    </w:p>
    <w:p w14:paraId="5793A17D" w14:textId="77777777" w:rsidR="00B05562" w:rsidRDefault="004C5F38">
      <w:pPr>
        <w:adjustRightInd w:val="0"/>
        <w:snapToGrid w:val="0"/>
        <w:spacing w:line="360" w:lineRule="auto"/>
        <w:ind w:firstLineChars="200" w:firstLine="480"/>
        <w:rPr>
          <w:rFonts w:ascii="宋体" w:hAnsi="宋体"/>
          <w:sz w:val="24"/>
        </w:rPr>
      </w:pPr>
      <w:r>
        <w:rPr>
          <w:rFonts w:ascii="宋体" w:hAnsi="宋体" w:hint="eastAsia"/>
          <w:sz w:val="24"/>
        </w:rPr>
        <w:lastRenderedPageBreak/>
        <w:t>（二）基金托管人根据有关法律法规的规定及《基金合同》的约定，对基金投资、融资比例进行监督。基金托管人按下述比例和调整期限进行监督：</w:t>
      </w:r>
    </w:p>
    <w:p w14:paraId="1A0B879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w:t>
      </w:r>
      <w:r>
        <w:rPr>
          <w:rFonts w:ascii="宋体" w:hAnsi="宋体" w:cs="Arial" w:hint="eastAsia"/>
          <w:sz w:val="24"/>
        </w:rPr>
        <w:t>股票资产占基金资产的比例为60%-95%，其中投资于港股通标的股票不超过股票资产的50%；</w:t>
      </w:r>
    </w:p>
    <w:p w14:paraId="475D956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sz w:val="24"/>
        </w:rPr>
        <w:t>2.</w:t>
      </w:r>
      <w:r>
        <w:rPr>
          <w:rFonts w:ascii="宋体" w:hAnsi="宋体" w:cs="Arial" w:hint="eastAsia"/>
          <w:sz w:val="24"/>
        </w:rPr>
        <w:t>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w:t>
      </w:r>
    </w:p>
    <w:p w14:paraId="6C3A742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本基金持有一家公司发行的证券，其市值（同一家公司在境内和香港同时上市的A+H股合并计算）不超过基金资产净值的10%；</w:t>
      </w:r>
    </w:p>
    <w:p w14:paraId="1987CCA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cs="Arial"/>
          <w:sz w:val="24"/>
        </w:rPr>
        <w:t>.</w:t>
      </w:r>
      <w:r>
        <w:rPr>
          <w:rFonts w:ascii="宋体" w:hAnsi="宋体" w:cs="Arial" w:hint="eastAsia"/>
          <w:sz w:val="24"/>
        </w:rPr>
        <w:t>本基金管理人管理且由本基金托管人托管的全部基金持有一家公司发行的证券（同一家公司在境内和香港同时上市的A+H股合并计算），不超过该证券的10%；</w:t>
      </w:r>
    </w:p>
    <w:p w14:paraId="09C3B2B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Pr>
          <w:rFonts w:ascii="宋体" w:hAnsi="宋体" w:cs="Arial"/>
          <w:sz w:val="24"/>
        </w:rPr>
        <w:t>.</w:t>
      </w:r>
      <w:r>
        <w:rPr>
          <w:rFonts w:ascii="宋体" w:hAnsi="宋体" w:cs="Arial" w:hint="eastAsia"/>
          <w:sz w:val="24"/>
        </w:rPr>
        <w:t>本基金投资于同一原始权益人的各类资产支持证券的比例，不得超过基金资产净值的10%；</w:t>
      </w:r>
    </w:p>
    <w:p w14:paraId="33AC9E6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w:t>
      </w:r>
      <w:r>
        <w:rPr>
          <w:rFonts w:ascii="宋体" w:hAnsi="宋体" w:cs="Arial"/>
          <w:sz w:val="24"/>
        </w:rPr>
        <w:t>.</w:t>
      </w:r>
      <w:r>
        <w:rPr>
          <w:rFonts w:ascii="宋体" w:hAnsi="宋体" w:cs="Arial" w:hint="eastAsia"/>
          <w:sz w:val="24"/>
        </w:rPr>
        <w:t>本基金持有的全部资产支持证券，其市值不得超过基金资产净值的20%；</w:t>
      </w:r>
    </w:p>
    <w:p w14:paraId="0044BF0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Pr>
          <w:rFonts w:ascii="宋体" w:hAnsi="宋体" w:cs="Arial"/>
          <w:sz w:val="24"/>
        </w:rPr>
        <w:t>.</w:t>
      </w:r>
      <w:r>
        <w:rPr>
          <w:rFonts w:ascii="宋体" w:hAnsi="宋体" w:cs="Arial" w:hint="eastAsia"/>
          <w:sz w:val="24"/>
        </w:rPr>
        <w:t>本基金持有的同一（指同一信用级别）资产支持证券的比例，不得超过该资产支持证券规模的10%；</w:t>
      </w:r>
    </w:p>
    <w:p w14:paraId="6861A74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8</w:t>
      </w:r>
      <w:r>
        <w:rPr>
          <w:rFonts w:ascii="宋体" w:hAnsi="宋体" w:cs="Arial"/>
          <w:sz w:val="24"/>
        </w:rPr>
        <w:t>.</w:t>
      </w:r>
      <w:r>
        <w:rPr>
          <w:rFonts w:ascii="宋体" w:hAnsi="宋体" w:cs="Arial" w:hint="eastAsia"/>
          <w:sz w:val="24"/>
        </w:rPr>
        <w:t>本基金管理人管理且由本基金托管人托管的全部基金投资于同一原始权益人的各类资产支持证券，不得超过其各类资产支持证券合计规模的10%；</w:t>
      </w:r>
    </w:p>
    <w:p w14:paraId="055AC43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9</w:t>
      </w:r>
      <w:r>
        <w:rPr>
          <w:rFonts w:ascii="宋体" w:hAnsi="宋体" w:cs="Arial"/>
          <w:sz w:val="24"/>
        </w:rPr>
        <w:t>.</w:t>
      </w:r>
      <w:r>
        <w:rPr>
          <w:rFonts w:ascii="宋体"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0626DC3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10</w:t>
      </w:r>
      <w:r>
        <w:rPr>
          <w:rFonts w:ascii="宋体" w:hAnsi="宋体" w:cs="Arial"/>
          <w:sz w:val="24"/>
        </w:rPr>
        <w:t>.</w:t>
      </w:r>
      <w:r>
        <w:rPr>
          <w:rFonts w:ascii="宋体" w:hAnsi="宋体" w:cs="Arial" w:hint="eastAsia"/>
          <w:sz w:val="24"/>
        </w:rPr>
        <w:t>基金财产参与股票发行申购，本基金所申报的金额不超过本基金的总资产，本基金所申报的股票数量不超过拟发行股票公司本次发行股票的总量；</w:t>
      </w:r>
    </w:p>
    <w:p w14:paraId="1BDAAFC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11</w:t>
      </w:r>
      <w:r>
        <w:rPr>
          <w:rFonts w:ascii="宋体" w:hAnsi="宋体" w:cs="Arial"/>
          <w:sz w:val="24"/>
        </w:rPr>
        <w:t>.</w:t>
      </w:r>
      <w:r>
        <w:rPr>
          <w:rFonts w:ascii="宋体" w:hAnsi="宋体" w:cs="Arial" w:hint="eastAsia"/>
          <w:sz w:val="24"/>
        </w:rPr>
        <w:t>本基金投资股指期货，还需遵守以下限制：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w:t>
      </w:r>
      <w:r>
        <w:rPr>
          <w:rFonts w:ascii="宋体" w:hAnsi="宋体" w:cs="Arial" w:hint="eastAsia"/>
          <w:sz w:val="24"/>
        </w:rPr>
        <w:lastRenderedPageBreak/>
        <w:t>20%；本基金所持有的股票市值和买入、卖出股指期货合约价值合计（轧差计算）应当符合基金合同关于股票投资比例的有关约定；</w:t>
      </w:r>
    </w:p>
    <w:p w14:paraId="2F95321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12</w:t>
      </w:r>
      <w:r>
        <w:rPr>
          <w:rFonts w:ascii="宋体" w:hAnsi="宋体" w:cs="Arial"/>
          <w:sz w:val="24"/>
        </w:rPr>
        <w:t>.</w:t>
      </w:r>
      <w:r>
        <w:rPr>
          <w:rFonts w:ascii="宋体" w:hAnsi="宋体" w:cs="Arial" w:hint="eastAsia"/>
          <w:sz w:val="24"/>
        </w:rPr>
        <w:t xml:space="preserve">本基金投资国债期货，还需遵守以下限制：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 </w:t>
      </w:r>
    </w:p>
    <w:p w14:paraId="09AE7D7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13</w:t>
      </w:r>
      <w:r>
        <w:rPr>
          <w:rFonts w:ascii="宋体" w:hAnsi="宋体" w:cs="Arial"/>
          <w:sz w:val="24"/>
        </w:rPr>
        <w:t>.</w:t>
      </w:r>
      <w:r>
        <w:rPr>
          <w:rFonts w:ascii="宋体" w:hAnsi="宋体" w:cs="Arial" w:hint="eastAsia"/>
          <w:sz w:val="24"/>
        </w:rPr>
        <w:t>本基金参与股票期权交易的，应当符合下列风险控制指标要求：基金因未平仓的期权合约支付和收取的权利金总额不得超过基金资产净值的10%；未平仓的期权合约面值不得超过基金资产净值的20%。其中，合约面值按照行权价乘以合约乘数计算；</w:t>
      </w:r>
    </w:p>
    <w:p w14:paraId="060EDB3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14</w:t>
      </w:r>
      <w:r>
        <w:rPr>
          <w:rFonts w:ascii="宋体" w:hAnsi="宋体" w:cs="Arial"/>
          <w:sz w:val="24"/>
        </w:rPr>
        <w:t>.</w:t>
      </w:r>
      <w:r>
        <w:rPr>
          <w:rFonts w:ascii="宋体" w:hAnsi="宋体" w:cs="Arial" w:hint="eastAsia"/>
          <w:sz w:val="24"/>
        </w:rPr>
        <w:t xml:space="preserve">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 </w:t>
      </w:r>
    </w:p>
    <w:p w14:paraId="1877796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15</w:t>
      </w:r>
      <w:r>
        <w:rPr>
          <w:rFonts w:ascii="宋体" w:hAnsi="宋体" w:cs="Arial"/>
          <w:sz w:val="24"/>
        </w:rPr>
        <w:t>.</w:t>
      </w:r>
      <w:r>
        <w:rPr>
          <w:rFonts w:ascii="宋体" w:hAnsi="宋体" w:cs="Arial"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r>
        <w:rPr>
          <w:rFonts w:ascii="宋体" w:hAnsi="宋体" w:cs="Arial"/>
          <w:sz w:val="24"/>
        </w:rPr>
        <w:t xml:space="preserve"> </w:t>
      </w:r>
    </w:p>
    <w:p w14:paraId="3A78DA7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6</w:t>
      </w:r>
      <w:r>
        <w:rPr>
          <w:rFonts w:ascii="宋体" w:hAnsi="宋体" w:cs="Arial" w:hint="eastAsia"/>
          <w:sz w:val="24"/>
        </w:rPr>
        <w:t>.本</w:t>
      </w:r>
      <w:proofErr w:type="gramStart"/>
      <w:r>
        <w:rPr>
          <w:rFonts w:ascii="宋体" w:hAnsi="宋体" w:cs="Arial" w:hint="eastAsia"/>
          <w:sz w:val="24"/>
        </w:rPr>
        <w:t>基金基金</w:t>
      </w:r>
      <w:proofErr w:type="gramEnd"/>
      <w:r>
        <w:rPr>
          <w:rFonts w:ascii="宋体" w:hAnsi="宋体" w:cs="Arial" w:hint="eastAsia"/>
          <w:sz w:val="24"/>
        </w:rPr>
        <w:t>总资产不得超过基金净资产的140%；</w:t>
      </w:r>
    </w:p>
    <w:p w14:paraId="49617EE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7</w:t>
      </w:r>
      <w:r>
        <w:rPr>
          <w:rFonts w:ascii="宋体" w:hAnsi="宋体" w:cs="Arial" w:hint="eastAsia"/>
          <w:sz w:val="24"/>
        </w:rPr>
        <w:t>.本基金投资存托凭证的比例限制依照境内上市交易的股票执行，与境内上市交易的股票合并计算；</w:t>
      </w:r>
    </w:p>
    <w:p w14:paraId="3C4EAAA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8</w:t>
      </w:r>
      <w:r>
        <w:rPr>
          <w:rFonts w:ascii="宋体" w:hAnsi="宋体" w:cs="Arial" w:hint="eastAsia"/>
          <w:sz w:val="24"/>
        </w:rPr>
        <w:t>.法律法规及中国证监会规定的和《基金合同》约定的其他投资限制。</w:t>
      </w:r>
    </w:p>
    <w:p w14:paraId="30F4B13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除上述第2、9、15项规定的情形外，因证券、期货市场波动、上市公司合并、基金规模变动等基金管理人之外的因素致使基金投资比例不符合上述规定投资比例的，基金管理人应当在10个交易日内进行调整，但中国证监会规定的特殊情形除外。</w:t>
      </w:r>
    </w:p>
    <w:p w14:paraId="74951EE5" w14:textId="77777777" w:rsidR="00B05562" w:rsidRDefault="004C5F38">
      <w:pPr>
        <w:adjustRightInd w:val="0"/>
        <w:snapToGrid w:val="0"/>
        <w:spacing w:line="360" w:lineRule="auto"/>
        <w:ind w:firstLineChars="200" w:firstLine="480"/>
        <w:rPr>
          <w:rFonts w:ascii="宋体" w:hAnsi="宋体"/>
          <w:sz w:val="24"/>
        </w:rPr>
      </w:pPr>
      <w:r>
        <w:rPr>
          <w:rFonts w:ascii="宋体" w:hAnsi="宋体" w:cs="Arial" w:hint="eastAsia"/>
          <w:sz w:val="24"/>
        </w:rPr>
        <w:t>基金管理人应当自基金合同生效之日起6个月内使基金的投资组合比例符合基金合同的有关约定。在上述期间内，本基金的投资范围、投资策略应当符合基金</w:t>
      </w:r>
      <w:r>
        <w:rPr>
          <w:rFonts w:ascii="宋体" w:hAnsi="宋体" w:cs="Arial" w:hint="eastAsia"/>
          <w:sz w:val="24"/>
        </w:rPr>
        <w:lastRenderedPageBreak/>
        <w:t>合同的约定。基金托管人对基金的投资的监督与检查自基金合同生效之日起开始。</w:t>
      </w:r>
    </w:p>
    <w:p w14:paraId="17CF284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w:t>
      </w:r>
      <w:bookmarkStart w:id="14" w:name="OLE_LINK1"/>
      <w:r>
        <w:rPr>
          <w:rFonts w:ascii="宋体" w:hAnsi="宋体" w:cs="Arial" w:hint="eastAsia"/>
          <w:sz w:val="24"/>
        </w:rPr>
        <w:t>根据有关法律法规的规定及《基金合同》的约定，</w:t>
      </w:r>
      <w:bookmarkEnd w:id="14"/>
      <w:r>
        <w:rPr>
          <w:rFonts w:ascii="宋体" w:hAnsi="宋体" w:cs="Arial" w:hint="eastAsia"/>
          <w:sz w:val="24"/>
        </w:rPr>
        <w:t>对本托管协议第十五条第（九）</w:t>
      </w:r>
      <w:proofErr w:type="gramStart"/>
      <w:r>
        <w:rPr>
          <w:rFonts w:ascii="宋体" w:hAnsi="宋体" w:cs="Arial" w:hint="eastAsia"/>
          <w:sz w:val="24"/>
        </w:rPr>
        <w:t>款基金</w:t>
      </w:r>
      <w:proofErr w:type="gramEnd"/>
      <w:r>
        <w:rPr>
          <w:rFonts w:ascii="宋体" w:hAnsi="宋体" w:cs="Arial" w:hint="eastAsia"/>
          <w:sz w:val="24"/>
        </w:rPr>
        <w:t>投资禁止行为通过事后监督方式进行监督。</w:t>
      </w:r>
    </w:p>
    <w:p w14:paraId="0149B97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45CB32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73514CA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10F6D9E7" w14:textId="77777777" w:rsidR="00B05562" w:rsidRDefault="004C5F38">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hint="eastAsia"/>
          <w:sz w:val="24"/>
        </w:rPr>
        <w:t>券</w:t>
      </w:r>
      <w:proofErr w:type="gramEnd"/>
      <w:r>
        <w:rPr>
          <w:rFonts w:ascii="宋体" w:hAnsi="宋体" w:hint="eastAsia"/>
          <w:sz w:val="24"/>
        </w:rPr>
        <w:t>等流通受限证券。本基金不投资有</w:t>
      </w:r>
      <w:proofErr w:type="gramStart"/>
      <w:r>
        <w:rPr>
          <w:rFonts w:ascii="宋体" w:hAnsi="宋体" w:hint="eastAsia"/>
          <w:sz w:val="24"/>
        </w:rPr>
        <w:t>锁定期但锁定</w:t>
      </w:r>
      <w:proofErr w:type="gramEnd"/>
      <w:r>
        <w:rPr>
          <w:rFonts w:ascii="宋体" w:hAnsi="宋体" w:hint="eastAsia"/>
          <w:sz w:val="24"/>
        </w:rPr>
        <w:t>期不明确的证券。</w:t>
      </w:r>
    </w:p>
    <w:p w14:paraId="691239B9" w14:textId="77777777" w:rsidR="00B05562" w:rsidRDefault="004C5F38">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7B3D60FE" w14:textId="77777777" w:rsidR="00B05562" w:rsidRDefault="004C5F38">
      <w:pPr>
        <w:adjustRightInd w:val="0"/>
        <w:snapToGrid w:val="0"/>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投资的流通受限证券应保证登记存管在本基金名下，基金管理人负责相关工作的落实和协调，并确保基金托管人能够正常查询。因基金管理</w:t>
      </w:r>
      <w:proofErr w:type="gramStart"/>
      <w:r>
        <w:rPr>
          <w:rFonts w:ascii="宋体" w:hAnsi="宋体" w:hint="eastAsia"/>
          <w:sz w:val="24"/>
        </w:rPr>
        <w:t>人原因</w:t>
      </w:r>
      <w:proofErr w:type="gramEnd"/>
      <w:r>
        <w:rPr>
          <w:rFonts w:ascii="宋体" w:hAnsi="宋体" w:hint="eastAsia"/>
          <w:sz w:val="24"/>
        </w:rPr>
        <w:t>产生的流通受限证券登记存管问题，造成基金托管人无法安全保管本基金资产的责任与损失，及因流通受限证券存管直接影响本基金安全的责任及损失，由基金管理人承担。</w:t>
      </w:r>
    </w:p>
    <w:p w14:paraId="7CBEFAF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若有最新法律法规、监管政策变更规定的，根据最新法律法规、监管政策执行</w:t>
      </w:r>
    </w:p>
    <w:p w14:paraId="45AEB7F6" w14:textId="77777777" w:rsidR="00B05562" w:rsidRDefault="004C5F38">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w:t>
      </w:r>
      <w:r>
        <w:rPr>
          <w:rFonts w:ascii="宋体" w:hAnsi="宋体" w:hint="eastAsia"/>
          <w:sz w:val="24"/>
        </w:rPr>
        <w:lastRenderedPageBreak/>
        <w:t>会批准。风险处置预案应包括但不限于因投资流通受限证券需要解决的基金投资比例限制失调、基金流动性困难以及相关损失的应对解决措施，以及有关异常情况的处置。</w:t>
      </w:r>
    </w:p>
    <w:p w14:paraId="5AD4374D" w14:textId="77777777" w:rsidR="00B05562" w:rsidRDefault="004C5F38">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宋体" w:hAnsi="宋体" w:hint="eastAsia"/>
          <w:sz w:val="24"/>
        </w:rPr>
        <w:t>人原因</w:t>
      </w:r>
      <w:proofErr w:type="gramEnd"/>
      <w:r>
        <w:rPr>
          <w:rFonts w:ascii="宋体" w:hAnsi="宋体" w:hint="eastAsia"/>
          <w:sz w:val="24"/>
        </w:rPr>
        <w:t>导致本基金出现损失致使基金托管人承担连带赔偿责任的，基金管理人应赔偿基金托管人由此遭受的损失。</w:t>
      </w:r>
    </w:p>
    <w:p w14:paraId="1A5A6422" w14:textId="77777777" w:rsidR="00B05562" w:rsidRDefault="004C5F38">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C03A0E" w14:textId="77777777" w:rsidR="00B05562" w:rsidRDefault="004C5F38">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217FEC6D" w14:textId="77777777" w:rsidR="00B05562" w:rsidRDefault="004C5F38">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439DD40F" w14:textId="77777777" w:rsidR="00B05562" w:rsidRDefault="004C5F38">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）基金拟认购的数量、价格、总成本、账面价值。</w:t>
      </w:r>
    </w:p>
    <w:p w14:paraId="18DD21B6" w14:textId="77777777" w:rsidR="00B05562" w:rsidRDefault="004C5F38">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66309EC" w14:textId="77777777" w:rsidR="00B05562" w:rsidRDefault="004C5F38">
      <w:pPr>
        <w:spacing w:line="360" w:lineRule="auto"/>
        <w:ind w:firstLineChars="200" w:firstLine="480"/>
        <w:rPr>
          <w:rFonts w:ascii="宋体" w:hAnsi="宋体"/>
          <w:sz w:val="24"/>
        </w:rPr>
      </w:pPr>
      <w:r>
        <w:rPr>
          <w:rFonts w:ascii="宋体" w:hAnsi="宋体" w:hint="eastAsia"/>
          <w:sz w:val="24"/>
        </w:rPr>
        <w:t>本基金有关投资流通受限证券比例如违反有关限制规定，在合理期限内未能进行及时调整，基金管理人应在两日内编制临时报告书，予以公告。</w:t>
      </w:r>
    </w:p>
    <w:p w14:paraId="50809586" w14:textId="77777777" w:rsidR="00B05562" w:rsidRDefault="004C5F38">
      <w:pPr>
        <w:adjustRightInd w:val="0"/>
        <w:snapToGrid w:val="0"/>
        <w:spacing w:line="360" w:lineRule="auto"/>
        <w:ind w:firstLineChars="200" w:firstLine="480"/>
        <w:rPr>
          <w:rFonts w:ascii="宋体" w:hAnsi="宋体"/>
          <w:sz w:val="24"/>
        </w:rPr>
      </w:pPr>
      <w:r>
        <w:rPr>
          <w:rFonts w:ascii="宋体" w:hAnsi="宋体" w:cs="Arial"/>
          <w:sz w:val="24"/>
        </w:rPr>
        <w:t>5</w:t>
      </w:r>
      <w:r>
        <w:rPr>
          <w:rFonts w:ascii="宋体" w:hAnsi="宋体" w:cs="Arial" w:hint="eastAsia"/>
          <w:sz w:val="24"/>
        </w:rPr>
        <w:t>.</w:t>
      </w:r>
      <w:r>
        <w:rPr>
          <w:rFonts w:ascii="宋体" w:hAnsi="宋体" w:hint="eastAsia"/>
          <w:sz w:val="24"/>
        </w:rPr>
        <w:t>相关法律法规对基金投资流通受限证券有新规定的，从其规定。</w:t>
      </w:r>
    </w:p>
    <w:p w14:paraId="6FF51A0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cs="Times New Roman"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28F3A0E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w:t>
      </w:r>
      <w:r>
        <w:rPr>
          <w:rFonts w:ascii="宋体" w:hAnsi="宋体" w:cs="Arial" w:hint="eastAsia"/>
          <w:sz w:val="24"/>
        </w:rPr>
        <w:lastRenderedPageBreak/>
        <w:t>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56FD62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E770D5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（八）</w:t>
      </w:r>
      <w:proofErr w:type="gramStart"/>
      <w:r>
        <w:rPr>
          <w:rFonts w:ascii="宋体" w:hAnsi="宋体" w:cs="Arial" w:hint="eastAsia"/>
          <w:sz w:val="24"/>
        </w:rPr>
        <w:t>若基金</w:t>
      </w:r>
      <w:proofErr w:type="gramEnd"/>
      <w:r>
        <w:rPr>
          <w:rFonts w:ascii="宋体" w:hAnsi="宋体" w:cs="Arial" w:hint="eastAsia"/>
          <w:sz w:val="24"/>
        </w:rPr>
        <w:t>托管人发现基金管理人依据交易程序已经生效的指令违反法律、行政法规和其他有关规定，或者违反《基金合同》约定的，应当及时通知基金管理人，由此造成的损失由基金管理人承担。</w:t>
      </w:r>
    </w:p>
    <w:p w14:paraId="484718B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A8C3670" w14:textId="77777777" w:rsidR="00B05562" w:rsidRDefault="004C5F38">
      <w:pPr>
        <w:pStyle w:val="2"/>
        <w:spacing w:line="360" w:lineRule="auto"/>
        <w:jc w:val="center"/>
        <w:rPr>
          <w:rFonts w:ascii="宋体" w:eastAsia="宋体" w:hAnsi="宋体"/>
          <w:sz w:val="30"/>
        </w:rPr>
      </w:pPr>
      <w:bookmarkStart w:id="15" w:name="_Toc89163368"/>
      <w:bookmarkStart w:id="16" w:name="_Toc118212950"/>
      <w:bookmarkStart w:id="17" w:name="_Toc86727355"/>
      <w:bookmarkStart w:id="18" w:name="_Toc119402710"/>
      <w:bookmarkStart w:id="19" w:name="_Toc118972648"/>
      <w:bookmarkStart w:id="20" w:name="_Toc118774803"/>
      <w:bookmarkStart w:id="21" w:name="_Toc86223242"/>
      <w:bookmarkStart w:id="22" w:name="_Toc108512358"/>
      <w:bookmarkStart w:id="23" w:name="_Toc120435783"/>
      <w:bookmarkStart w:id="24" w:name="_Toc86737929"/>
      <w:bookmarkStart w:id="25" w:name="_Toc110765660"/>
      <w:bookmarkStart w:id="26" w:name="_Toc124325888"/>
      <w:bookmarkStart w:id="27" w:name="_Toc110761796"/>
      <w:bookmarkStart w:id="28" w:name="_Toc86225291"/>
      <w:bookmarkStart w:id="29" w:name="_Toc86649722"/>
      <w:bookmarkStart w:id="30" w:name="_Toc110830492"/>
      <w:bookmarkStart w:id="31" w:name="_Toc86726439"/>
      <w:r>
        <w:rPr>
          <w:rFonts w:ascii="宋体" w:eastAsia="宋体" w:hAnsi="宋体" w:hint="eastAsia"/>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0116099"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w:t>
      </w:r>
      <w:r>
        <w:rPr>
          <w:rFonts w:asciiTheme="minorEastAsia" w:hAnsiTheme="minorEastAsia" w:cs="Times New Roman" w:hint="eastAsia"/>
          <w:sz w:val="24"/>
        </w:rPr>
        <w:t>各类</w:t>
      </w:r>
      <w:r>
        <w:rPr>
          <w:rFonts w:ascii="宋体" w:hAnsi="宋体" w:cs="Arial" w:hint="eastAsia"/>
          <w:sz w:val="24"/>
        </w:rPr>
        <w:t>基金份额净值、根据基金管理人指令办理清算交收、相关信息披露和监督基金投资运作等行为。</w:t>
      </w:r>
    </w:p>
    <w:p w14:paraId="55B3955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w:t>
      </w:r>
      <w:r>
        <w:rPr>
          <w:rFonts w:ascii="宋体" w:hAnsi="宋体" w:cs="Arial" w:hint="eastAsia"/>
          <w:sz w:val="24"/>
        </w:rPr>
        <w:lastRenderedPageBreak/>
        <w:t>期限内，基金管理人有权随时对通知事项进行复查，督促基金托管人改正。基金托管人应积极配合基金管理人的核查行为，包括但不限于：提交相关资料以</w:t>
      </w:r>
      <w:proofErr w:type="gramStart"/>
      <w:r>
        <w:rPr>
          <w:rFonts w:ascii="宋体" w:hAnsi="宋体" w:cs="Arial" w:hint="eastAsia"/>
          <w:sz w:val="24"/>
        </w:rPr>
        <w:t>供基金</w:t>
      </w:r>
      <w:proofErr w:type="gramEnd"/>
      <w:r>
        <w:rPr>
          <w:rFonts w:ascii="宋体" w:hAnsi="宋体" w:cs="Arial" w:hint="eastAsia"/>
          <w:sz w:val="24"/>
        </w:rPr>
        <w:t>管理人核查托管财产的完整性和真实性，在规定时间内答复基金管理人并改正。</w:t>
      </w:r>
    </w:p>
    <w:p w14:paraId="6575EB12"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7C80D05" w14:textId="77777777" w:rsidR="00B05562" w:rsidRDefault="00B05562">
      <w:pPr>
        <w:spacing w:line="360" w:lineRule="auto"/>
        <w:rPr>
          <w:rFonts w:ascii="宋体" w:hAnsi="宋体"/>
          <w:sz w:val="24"/>
        </w:rPr>
      </w:pPr>
    </w:p>
    <w:p w14:paraId="50A85FD8" w14:textId="77777777" w:rsidR="00B05562" w:rsidRDefault="004C5F38">
      <w:pPr>
        <w:pStyle w:val="2"/>
        <w:spacing w:line="360" w:lineRule="auto"/>
        <w:jc w:val="center"/>
        <w:rPr>
          <w:rFonts w:ascii="宋体" w:eastAsia="宋体" w:hAnsi="宋体"/>
          <w:sz w:val="30"/>
        </w:rPr>
      </w:pPr>
      <w:bookmarkStart w:id="32" w:name="_Toc108512359"/>
      <w:bookmarkStart w:id="33" w:name="_Toc124325889"/>
      <w:bookmarkStart w:id="34" w:name="_Toc118972649"/>
      <w:bookmarkStart w:id="35" w:name="_Toc110765661"/>
      <w:bookmarkStart w:id="36" w:name="_Toc86726440"/>
      <w:bookmarkStart w:id="37" w:name="_Toc86225292"/>
      <w:bookmarkStart w:id="38" w:name="_Toc86204789"/>
      <w:bookmarkStart w:id="39" w:name="_Toc118212951"/>
      <w:bookmarkStart w:id="40" w:name="_Toc86727356"/>
      <w:bookmarkStart w:id="41" w:name="_Toc84234435"/>
      <w:bookmarkStart w:id="42" w:name="_Toc118774804"/>
      <w:bookmarkStart w:id="43" w:name="_Toc119402711"/>
      <w:bookmarkStart w:id="44" w:name="_Toc89163369"/>
      <w:bookmarkStart w:id="45" w:name="_Toc110830493"/>
      <w:bookmarkStart w:id="46" w:name="_Toc120435784"/>
      <w:bookmarkStart w:id="47" w:name="_Toc86223243"/>
      <w:bookmarkStart w:id="48" w:name="_Toc110761797"/>
      <w:bookmarkStart w:id="49" w:name="_Toc84133786"/>
      <w:bookmarkStart w:id="50" w:name="_Toc84234388"/>
      <w:bookmarkStart w:id="51" w:name="_Toc86737930"/>
      <w:bookmarkStart w:id="52" w:name="_Toc86649723"/>
      <w:r>
        <w:rPr>
          <w:rFonts w:ascii="宋体" w:eastAsia="宋体" w:hAnsi="宋体" w:hint="eastAsia"/>
          <w:sz w:val="30"/>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671B204"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32C72769"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1D3FA676"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2DE1C30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4902B17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075DF8BF"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宋体" w:hAnsi="宋体" w:hint="eastAsia"/>
          <w:sz w:val="24"/>
        </w:rPr>
        <w:t>收交易</w:t>
      </w:r>
      <w:proofErr w:type="gramEnd"/>
      <w:r>
        <w:rPr>
          <w:rFonts w:ascii="宋体" w:hAnsi="宋体" w:hint="eastAsia"/>
          <w:sz w:val="24"/>
        </w:rPr>
        <w:t>费、结算费和账户维护费等费用）。</w:t>
      </w:r>
    </w:p>
    <w:p w14:paraId="3B1C6FCF"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FA296C"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3413EA2E"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7B0BA74C"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lastRenderedPageBreak/>
        <w:t>1.基金募集期间募集的资金应存于“基金募集专户”。该账户由基金管理人开立并管理。</w:t>
      </w:r>
    </w:p>
    <w:p w14:paraId="091DFE7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5EB86F8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w:t>
      </w:r>
      <w:proofErr w:type="gramStart"/>
      <w:r>
        <w:rPr>
          <w:rFonts w:ascii="宋体" w:hAnsi="宋体" w:cs="Arial" w:hint="eastAsia"/>
          <w:sz w:val="24"/>
        </w:rPr>
        <w:t>若基金</w:t>
      </w:r>
      <w:proofErr w:type="gramEnd"/>
      <w:r>
        <w:rPr>
          <w:rFonts w:ascii="宋体" w:hAnsi="宋体" w:cs="Arial" w:hint="eastAsia"/>
          <w:sz w:val="24"/>
        </w:rPr>
        <w:t>募集期限届满，未能达到《基金合同》生效的条件，由基金管理人按规定办理退款等事宜。</w:t>
      </w:r>
    </w:p>
    <w:p w14:paraId="649A71E4"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1410235A"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w:t>
      </w:r>
      <w:proofErr w:type="gramStart"/>
      <w:r>
        <w:rPr>
          <w:rFonts w:ascii="宋体" w:hAnsi="宋体" w:cs="Arial" w:hint="eastAsia"/>
          <w:sz w:val="24"/>
        </w:rPr>
        <w:t>规</w:t>
      </w:r>
      <w:proofErr w:type="gramEnd"/>
      <w:r>
        <w:rPr>
          <w:rFonts w:ascii="宋体" w:hAnsi="宋体" w:cs="Arial" w:hint="eastAsia"/>
          <w:sz w:val="24"/>
        </w:rPr>
        <w:t>的指令办理资金收付。本基金的银行预留印鉴由基金托管人保管和使用。</w:t>
      </w:r>
    </w:p>
    <w:p w14:paraId="4A290046"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1FC4956"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66961BCA"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27B51363" w14:textId="77777777" w:rsidR="00B05562" w:rsidRDefault="004C5F38">
      <w:pPr>
        <w:adjustRightInd w:val="0"/>
        <w:snapToGrid w:val="0"/>
        <w:spacing w:line="360" w:lineRule="auto"/>
        <w:ind w:firstLine="480"/>
        <w:rPr>
          <w:rFonts w:ascii="宋体" w:hAnsi="宋体" w:cs="Arial"/>
          <w:sz w:val="24"/>
        </w:rPr>
      </w:pPr>
      <w:r>
        <w:rPr>
          <w:rFonts w:ascii="宋体" w:hAnsi="宋体" w:cs="Arial"/>
          <w:sz w:val="24"/>
        </w:rPr>
        <w:t>5.基金管理人应于托管产品到期后及时完成收益兑付、费用结清及其他应收应付款项资金划转，在确保后续不再发生款项进出后的10个工作日内向托管人发出销户申请。</w:t>
      </w:r>
    </w:p>
    <w:p w14:paraId="68B5923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18B7D66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p>
    <w:p w14:paraId="5FA8CF4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25014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w:t>
      </w:r>
      <w:r>
        <w:rPr>
          <w:rFonts w:ascii="宋体" w:hAnsi="宋体" w:cs="Arial" w:hint="eastAsia"/>
          <w:sz w:val="24"/>
        </w:rPr>
        <w:lastRenderedPageBreak/>
        <w:t>管理和运用由基金管理人负责。</w:t>
      </w:r>
    </w:p>
    <w:p w14:paraId="28ADFD5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5DDE86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宋体" w:hAnsi="宋体" w:cs="Arial" w:hint="eastAsia"/>
          <w:sz w:val="24"/>
        </w:rPr>
        <w:t>收资金</w:t>
      </w:r>
      <w:proofErr w:type="gramEnd"/>
      <w:r>
        <w:rPr>
          <w:rFonts w:ascii="宋体" w:hAnsi="宋体" w:cs="Arial" w:hint="eastAsia"/>
          <w:sz w:val="24"/>
        </w:rPr>
        <w:t>等的收取按照中国证券登记结算有限责任公司的规定以及基金管理人与基金托管人签署的《托管银行证券资金结算协议》执行。</w:t>
      </w:r>
    </w:p>
    <w:p w14:paraId="1D2A58F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7CA2E9F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w:t>
      </w:r>
      <w:proofErr w:type="gramStart"/>
      <w:r>
        <w:rPr>
          <w:rFonts w:ascii="宋体" w:hAnsi="宋体" w:cs="Arial" w:hint="eastAsia"/>
          <w:sz w:val="24"/>
        </w:rPr>
        <w:t>则基金</w:t>
      </w:r>
      <w:proofErr w:type="gramEnd"/>
      <w:r>
        <w:rPr>
          <w:rFonts w:ascii="宋体" w:hAnsi="宋体" w:cs="Arial" w:hint="eastAsia"/>
          <w:sz w:val="24"/>
        </w:rPr>
        <w:t>托管人比照上述关于账户开立、使用的规定执行。</w:t>
      </w:r>
    </w:p>
    <w:p w14:paraId="10F7AA5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084D8E6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225D39B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（六）其他账户的开立和管理</w:t>
      </w:r>
    </w:p>
    <w:p w14:paraId="6D7B3C8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BCED3BA"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2.法律法规等有关规定对相关账户的开立和管理另有规定的，从其规定办理。</w:t>
      </w:r>
    </w:p>
    <w:p w14:paraId="389D4CA1"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（七）基金财产投资的有关有价凭证等的保管</w:t>
      </w:r>
    </w:p>
    <w:p w14:paraId="05918FF6" w14:textId="77777777" w:rsidR="00B05562" w:rsidRDefault="004C5F38">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w:t>
      </w:r>
      <w:proofErr w:type="gramStart"/>
      <w:r>
        <w:rPr>
          <w:rFonts w:ascii="宋体" w:hAnsi="宋体" w:cs="Arial" w:hint="eastAsia"/>
          <w:sz w:val="24"/>
        </w:rPr>
        <w:t>各类代保管</w:t>
      </w:r>
      <w:proofErr w:type="gramEnd"/>
      <w:r>
        <w:rPr>
          <w:rFonts w:ascii="宋体" w:hAnsi="宋体" w:cs="Arial" w:hint="eastAsia"/>
          <w:sz w:val="24"/>
        </w:rPr>
        <w:t>库，保管凭证由基金托管人持有。实物证券、银行定期存款证实书等有价凭证的购买和</w:t>
      </w:r>
      <w:r>
        <w:rPr>
          <w:rFonts w:ascii="宋体" w:hAnsi="宋体" w:cs="Arial" w:hint="eastAsia"/>
          <w:sz w:val="24"/>
        </w:rPr>
        <w:lastRenderedPageBreak/>
        <w:t>转让，按基金管理人和基金托管人双方约定办理。基金托管人对由基金托管人以外机构实际有效控制或保管的资产不承担任何责任。</w:t>
      </w:r>
    </w:p>
    <w:p w14:paraId="3C4C912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（八）与基金财产有关的重大合同的保管</w:t>
      </w:r>
    </w:p>
    <w:p w14:paraId="606A701E" w14:textId="77777777" w:rsidR="00B05562" w:rsidRDefault="004C5F38">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6E5C2A01" w14:textId="77777777" w:rsidR="00B05562" w:rsidRDefault="00B05562">
      <w:pPr>
        <w:spacing w:line="360" w:lineRule="auto"/>
        <w:rPr>
          <w:rFonts w:ascii="宋体" w:hAnsi="宋体"/>
          <w:sz w:val="24"/>
        </w:rPr>
      </w:pPr>
    </w:p>
    <w:p w14:paraId="60C452E9" w14:textId="77777777" w:rsidR="00B05562" w:rsidRDefault="004C5F38">
      <w:pPr>
        <w:pStyle w:val="2"/>
        <w:spacing w:line="360" w:lineRule="auto"/>
        <w:jc w:val="center"/>
        <w:rPr>
          <w:rFonts w:ascii="宋体" w:eastAsia="宋体" w:hAnsi="宋体"/>
          <w:sz w:val="30"/>
        </w:rPr>
      </w:pPr>
      <w:bookmarkStart w:id="53" w:name="_Toc86727357"/>
      <w:bookmarkStart w:id="54" w:name="_Toc86649724"/>
      <w:bookmarkStart w:id="55" w:name="_Toc89163370"/>
      <w:bookmarkStart w:id="56" w:name="_Toc84234436"/>
      <w:bookmarkStart w:id="57" w:name="_Toc84234389"/>
      <w:bookmarkStart w:id="58" w:name="_Toc110830494"/>
      <w:bookmarkStart w:id="59" w:name="_Toc118774805"/>
      <w:bookmarkStart w:id="60" w:name="_Toc108512360"/>
      <w:bookmarkStart w:id="61" w:name="_Toc110765662"/>
      <w:bookmarkStart w:id="62" w:name="_Toc86204790"/>
      <w:bookmarkStart w:id="63" w:name="_Toc110761798"/>
      <w:bookmarkStart w:id="64" w:name="_Toc84133787"/>
      <w:bookmarkStart w:id="65" w:name="_Toc86223244"/>
      <w:bookmarkStart w:id="66" w:name="_Toc124325890"/>
      <w:bookmarkStart w:id="67" w:name="_Toc120435785"/>
      <w:bookmarkStart w:id="68" w:name="_Toc119402712"/>
      <w:bookmarkStart w:id="69" w:name="_Toc118212952"/>
      <w:bookmarkStart w:id="70" w:name="_Toc86225293"/>
      <w:bookmarkStart w:id="71" w:name="_Toc86737931"/>
      <w:bookmarkStart w:id="72" w:name="_Toc118972650"/>
      <w:bookmarkStart w:id="73" w:name="_Toc86726441"/>
      <w:r>
        <w:rPr>
          <w:rFonts w:ascii="宋体" w:eastAsia="宋体" w:hAnsi="宋体" w:hint="eastAsia"/>
          <w:sz w:val="30"/>
        </w:rPr>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6AD99DF"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2CF4E91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4A9DD79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246582D8"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2.基金管理人应向基金托管人提供书面授权文件原件，内容包括被授权人名单、预留印鉴及被授权人签字样本，授权文件应注明被授权人相应的权限, 并加盖单位公章。</w:t>
      </w:r>
    </w:p>
    <w:p w14:paraId="65596605"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1ABA795"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148C9D6"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0073CDE5"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75AE71A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2.基金管理人发给基金托管人的指令应写明款项事由、支付时间、到账时间、金额、收付款账户等，加盖预留印鉴并由被授权人签字。</w:t>
      </w:r>
    </w:p>
    <w:p w14:paraId="404BEF7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lastRenderedPageBreak/>
        <w:t>（三）指令的发送、确认及执行的时间和程序</w:t>
      </w:r>
    </w:p>
    <w:p w14:paraId="3C2F542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7EBCD394"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2D0DCC6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5684E96"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0D9B93EE" w14:textId="77777777" w:rsidR="00B05562" w:rsidRDefault="004C5F38">
      <w:pPr>
        <w:adjustRightInd w:val="0"/>
        <w:snapToGrid w:val="0"/>
        <w:spacing w:line="360" w:lineRule="auto"/>
        <w:ind w:firstLine="480"/>
        <w:rPr>
          <w:rFonts w:ascii="宋体" w:hAnsi="宋体" w:cs="Arial"/>
          <w:sz w:val="24"/>
        </w:rPr>
      </w:pPr>
      <w:r>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486D739"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2.指令的确认</w:t>
      </w:r>
    </w:p>
    <w:p w14:paraId="63FB5D4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D374AA2"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0D3705C4" w14:textId="77777777" w:rsidR="00B05562" w:rsidRDefault="004C5F38">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宋体" w:eastAsia="宋体" w:hAnsi="宋体" w:cs="Arial" w:hint="eastAsia"/>
        </w:rPr>
        <w:t>并相关</w:t>
      </w:r>
      <w:proofErr w:type="gramEnd"/>
      <w:r>
        <w:rPr>
          <w:rFonts w:ascii="宋体" w:eastAsia="宋体"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12E4ECAC" w14:textId="77777777" w:rsidR="00B05562" w:rsidRDefault="004C5F38">
      <w:pPr>
        <w:pStyle w:val="a6"/>
        <w:spacing w:line="360" w:lineRule="auto"/>
        <w:ind w:firstLineChars="0"/>
        <w:rPr>
          <w:rFonts w:ascii="宋体" w:eastAsia="宋体" w:hAnsi="宋体" w:cs="Arial"/>
        </w:rPr>
      </w:pPr>
      <w:r>
        <w:rPr>
          <w:rFonts w:ascii="宋体" w:eastAsia="宋体" w:hAnsi="宋体" w:cs="Arial" w:hint="eastAsia"/>
        </w:rPr>
        <w:lastRenderedPageBreak/>
        <w:t>（四）基金管理人发送错误指令的情形和处理程序</w:t>
      </w:r>
    </w:p>
    <w:p w14:paraId="73584C5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基金管理人发送错误指令的情形包括指令违反法律法规、监管规定、《基金合同》或本协议的约定，或指令发送人员无权或超越权限发送指令。</w:t>
      </w:r>
    </w:p>
    <w:p w14:paraId="1D76695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62B5366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（五）基金托管人未按照基金管理人指令执行的处理方法</w:t>
      </w:r>
    </w:p>
    <w:p w14:paraId="5CF505E7"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宋体" w:hAnsi="宋体" w:hint="eastAsia"/>
          <w:sz w:val="24"/>
        </w:rPr>
        <w:t>赔偿由此造成的直接损失。</w:t>
      </w:r>
    </w:p>
    <w:p w14:paraId="3EF04BC1"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（六）更换被授权人员的程序</w:t>
      </w:r>
    </w:p>
    <w:p w14:paraId="239706FA"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w:t>
      </w:r>
      <w:proofErr w:type="gramStart"/>
      <w:r>
        <w:rPr>
          <w:rFonts w:ascii="宋体" w:hAnsi="宋体" w:cs="Arial" w:hint="eastAsia"/>
          <w:sz w:val="24"/>
        </w:rPr>
        <w:t>人文件</w:t>
      </w:r>
      <w:proofErr w:type="gramEnd"/>
      <w:r>
        <w:rPr>
          <w:rFonts w:ascii="宋体" w:hAnsi="宋体" w:cs="Arial" w:hint="eastAsia"/>
          <w:sz w:val="24"/>
        </w:rPr>
        <w:t>正本。新的授权文件生效之后，正本送达之前，基金托管人按照新的授权文件扫描</w:t>
      </w:r>
      <w:proofErr w:type="gramStart"/>
      <w:r>
        <w:rPr>
          <w:rFonts w:ascii="宋体" w:hAnsi="宋体" w:cs="Arial" w:hint="eastAsia"/>
          <w:sz w:val="24"/>
        </w:rPr>
        <w:t>件内容</w:t>
      </w:r>
      <w:proofErr w:type="gramEnd"/>
      <w:r>
        <w:rPr>
          <w:rFonts w:ascii="宋体" w:hAnsi="宋体" w:cs="Arial" w:hint="eastAsia"/>
          <w:sz w:val="24"/>
        </w:rPr>
        <w:t>执行有关业务，如果新的授权文件正本与扫描</w:t>
      </w:r>
      <w:proofErr w:type="gramStart"/>
      <w:r>
        <w:rPr>
          <w:rFonts w:ascii="宋体" w:hAnsi="宋体" w:cs="Arial" w:hint="eastAsia"/>
          <w:sz w:val="24"/>
        </w:rPr>
        <w:t>件内容</w:t>
      </w:r>
      <w:proofErr w:type="gramEnd"/>
      <w:r>
        <w:rPr>
          <w:rFonts w:ascii="宋体" w:hAnsi="宋体" w:cs="Arial" w:hint="eastAsia"/>
          <w:sz w:val="24"/>
        </w:rPr>
        <w:t>不同，由此产生的责任由基金管理人承担</w:t>
      </w:r>
      <w:r>
        <w:rPr>
          <w:rFonts w:ascii="宋体" w:hAnsi="宋体" w:hint="eastAsia"/>
          <w:sz w:val="24"/>
        </w:rPr>
        <w:t>。</w:t>
      </w:r>
      <w:r>
        <w:rPr>
          <w:rFonts w:ascii="宋体" w:hAnsi="宋体" w:cs="Arial" w:hint="eastAsia"/>
          <w:sz w:val="24"/>
        </w:rPr>
        <w:t>基金托管人更换接受基金管理人指令的传真号或邮箱地址，应提前通知基金管理人。</w:t>
      </w:r>
    </w:p>
    <w:p w14:paraId="73F372D1"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5D88BF8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622769D7"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D143CDE" w14:textId="77777777" w:rsidR="00B05562" w:rsidRDefault="00B05562">
      <w:pPr>
        <w:adjustRightInd w:val="0"/>
        <w:snapToGrid w:val="0"/>
        <w:spacing w:line="360" w:lineRule="auto"/>
        <w:rPr>
          <w:rFonts w:ascii="宋体" w:hAnsi="宋体" w:cs="Arial"/>
          <w:sz w:val="24"/>
        </w:rPr>
      </w:pPr>
    </w:p>
    <w:p w14:paraId="2C6FC95F" w14:textId="77777777" w:rsidR="00B05562" w:rsidRDefault="004C5F38">
      <w:pPr>
        <w:pStyle w:val="2"/>
        <w:spacing w:line="360" w:lineRule="auto"/>
        <w:jc w:val="center"/>
        <w:rPr>
          <w:rFonts w:ascii="宋体" w:eastAsia="宋体" w:hAnsi="宋体"/>
          <w:sz w:val="30"/>
        </w:rPr>
      </w:pPr>
      <w:bookmarkStart w:id="74" w:name="_Toc86204791"/>
      <w:bookmarkStart w:id="75" w:name="_Toc84234390"/>
      <w:bookmarkStart w:id="76" w:name="_Toc86225294"/>
      <w:bookmarkStart w:id="77" w:name="_Toc86223245"/>
      <w:bookmarkStart w:id="78" w:name="_Toc84234437"/>
      <w:bookmarkStart w:id="79" w:name="_Toc120435786"/>
      <w:bookmarkStart w:id="80" w:name="_Toc108512361"/>
      <w:bookmarkStart w:id="81" w:name="_Toc110830495"/>
      <w:bookmarkStart w:id="82" w:name="_Toc124325891"/>
      <w:bookmarkStart w:id="83" w:name="_Toc84133788"/>
      <w:bookmarkStart w:id="84" w:name="_Toc86726442"/>
      <w:bookmarkStart w:id="85" w:name="_Toc119402713"/>
      <w:bookmarkStart w:id="86" w:name="_Toc118972651"/>
      <w:bookmarkStart w:id="87" w:name="_Toc110765663"/>
      <w:bookmarkStart w:id="88" w:name="_Toc110761799"/>
      <w:bookmarkStart w:id="89" w:name="_Toc86737932"/>
      <w:bookmarkStart w:id="90" w:name="_Toc89163371"/>
      <w:bookmarkStart w:id="91" w:name="_Toc86727358"/>
      <w:bookmarkStart w:id="92" w:name="_Toc118212953"/>
      <w:bookmarkStart w:id="93" w:name="_Toc118774806"/>
      <w:bookmarkStart w:id="94" w:name="_Toc86649725"/>
      <w:r>
        <w:rPr>
          <w:rFonts w:ascii="宋体" w:eastAsia="宋体" w:hAnsi="宋体"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78D083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hint="eastAsia"/>
          <w:sz w:val="24"/>
        </w:rPr>
        <w:t>本产品参与交易所场内证券投资，采取托管人结算模式，</w:t>
      </w:r>
      <w:r>
        <w:rPr>
          <w:rFonts w:ascii="宋体" w:hAnsi="宋体" w:hint="eastAsia"/>
          <w:bCs/>
          <w:sz w:val="24"/>
        </w:rPr>
        <w:t>基金管理人与基金托</w:t>
      </w:r>
      <w:r>
        <w:rPr>
          <w:rFonts w:ascii="宋体" w:hAnsi="宋体" w:hint="eastAsia"/>
          <w:bCs/>
          <w:sz w:val="24"/>
        </w:rPr>
        <w:lastRenderedPageBreak/>
        <w:t>管人应根据有关法律法规及相关业务规则，签订《托管银行证券资金结算协议》用</w:t>
      </w:r>
      <w:r>
        <w:rPr>
          <w:rFonts w:ascii="宋体" w:hAnsi="宋体" w:cs="Arial" w:hint="eastAsia"/>
          <w:sz w:val="24"/>
        </w:rPr>
        <w:t>以具体明确基金管理人与基金托管人在证券交易资金结算（含港股通）业务中的程序与责任。协议签署前，基金管理人应按基金托管人要求配合提供相应准入材料。</w:t>
      </w:r>
    </w:p>
    <w:p w14:paraId="58821E5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（一）选择证券买卖的证券经营机构</w:t>
      </w:r>
    </w:p>
    <w:p w14:paraId="12D2FE6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37730A7" w14:textId="77777777" w:rsidR="00B05562" w:rsidRDefault="004C5F38">
      <w:pPr>
        <w:adjustRightInd w:val="0"/>
        <w:snapToGrid w:val="0"/>
        <w:spacing w:line="360" w:lineRule="auto"/>
        <w:ind w:firstLineChars="200" w:firstLine="480"/>
        <w:rPr>
          <w:rFonts w:ascii="宋体" w:hAnsi="宋体"/>
          <w:sz w:val="24"/>
        </w:rPr>
      </w:pPr>
      <w:r>
        <w:rPr>
          <w:rFonts w:ascii="宋体" w:hAnsi="宋体" w:hint="eastAsia"/>
          <w:sz w:val="24"/>
        </w:rPr>
        <w:t>本基金在开始进行期货投资之前，应与基金托管人、期货公司三方</w:t>
      </w:r>
      <w:proofErr w:type="gramStart"/>
      <w:r>
        <w:rPr>
          <w:rFonts w:ascii="宋体" w:hAnsi="宋体" w:hint="eastAsia"/>
          <w:sz w:val="24"/>
        </w:rPr>
        <w:t>一同就</w:t>
      </w:r>
      <w:proofErr w:type="gramEnd"/>
      <w:r>
        <w:rPr>
          <w:rFonts w:ascii="宋体" w:hAnsi="宋体" w:hint="eastAsia"/>
          <w:sz w:val="24"/>
        </w:rPr>
        <w:t>期货开户、清算、估值、交收等事宜另行签署《期货投资托管操作三方备忘录》。</w:t>
      </w:r>
    </w:p>
    <w:p w14:paraId="3FB1BA5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E925214"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5E63BA2E"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1.结算备付金与保证金</w:t>
      </w:r>
    </w:p>
    <w:p w14:paraId="32EA6CA6" w14:textId="77777777" w:rsidR="00B05562" w:rsidRDefault="004C5F38">
      <w:pPr>
        <w:spacing w:line="360" w:lineRule="auto"/>
        <w:ind w:firstLineChars="200" w:firstLine="480"/>
        <w:rPr>
          <w:rFonts w:ascii="宋体" w:hAnsi="宋体"/>
          <w:bCs/>
          <w:sz w:val="24"/>
        </w:rPr>
      </w:pPr>
      <w:r>
        <w:rPr>
          <w:rFonts w:ascii="宋体" w:hAnsi="宋体" w:hint="eastAsia"/>
          <w:bCs/>
          <w:sz w:val="24"/>
        </w:rPr>
        <w:t>中国证券登记结算有限责任公司分别于每月前</w:t>
      </w:r>
      <w:r>
        <w:rPr>
          <w:rFonts w:ascii="宋体" w:hAnsi="宋体"/>
          <w:bCs/>
          <w:sz w:val="24"/>
        </w:rPr>
        <w:t>6个交易日</w:t>
      </w:r>
      <w:r>
        <w:rPr>
          <w:rFonts w:ascii="宋体" w:hAnsi="宋体" w:hint="eastAsia"/>
          <w:bCs/>
          <w:sz w:val="24"/>
        </w:rPr>
        <w:t>及每月前</w:t>
      </w:r>
      <w:r>
        <w:rPr>
          <w:rFonts w:ascii="宋体" w:hAnsi="宋体"/>
          <w:bCs/>
          <w:sz w:val="24"/>
        </w:rPr>
        <w:t>3个交易日内，对结算参与人最低备付金限额与结算保证金限额进行重新核算、调整。基金托管人</w:t>
      </w:r>
      <w:r>
        <w:rPr>
          <w:rFonts w:ascii="宋体" w:hAnsi="宋体" w:hint="eastAsia"/>
          <w:bCs/>
          <w:sz w:val="24"/>
        </w:rPr>
        <w:t>应分别于每月前</w:t>
      </w:r>
      <w:r>
        <w:rPr>
          <w:rFonts w:ascii="宋体" w:hAnsi="宋体"/>
          <w:bCs/>
          <w:sz w:val="24"/>
        </w:rPr>
        <w:t>3个交易日内及结算保证金调整当日通过《资金账户报告》通知基金管理人</w:t>
      </w:r>
      <w:r>
        <w:rPr>
          <w:rFonts w:ascii="宋体" w:hAnsi="宋体" w:hint="eastAsia"/>
          <w:bCs/>
          <w:sz w:val="24"/>
        </w:rPr>
        <w:t>本基金最低备付金调整金额以及调整后的结算保证金金额。</w:t>
      </w:r>
      <w:r>
        <w:rPr>
          <w:rFonts w:ascii="宋体" w:hAnsi="宋体"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宋体" w:hAnsi="宋体" w:hint="eastAsia"/>
          <w:sz w:val="24"/>
        </w:rPr>
        <w:t>视基金</w:t>
      </w:r>
      <w:proofErr w:type="gramEnd"/>
      <w:r>
        <w:rPr>
          <w:rFonts w:ascii="宋体" w:hAnsi="宋体" w:hint="eastAsia"/>
          <w:sz w:val="24"/>
        </w:rPr>
        <w:t>托管人最低结算备付金比例计收方式分别于下列时点补足透支金额：</w:t>
      </w:r>
    </w:p>
    <w:p w14:paraId="6656F265" w14:textId="77777777" w:rsidR="00B05562" w:rsidRDefault="004C5F38">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w:t>
      </w:r>
      <w:r>
        <w:rPr>
          <w:rFonts w:ascii="宋体" w:hAnsi="宋体" w:hint="eastAsia"/>
          <w:sz w:val="24"/>
        </w:rPr>
        <w:t>计收方式下，基金管理人应在调整最低备付金、结算保证金当日上午</w:t>
      </w:r>
      <w:r>
        <w:rPr>
          <w:rFonts w:ascii="宋体" w:hAnsi="宋体"/>
          <w:sz w:val="24"/>
        </w:rPr>
        <w:t>11</w:t>
      </w:r>
      <w:r>
        <w:rPr>
          <w:rFonts w:ascii="宋体" w:hAnsi="宋体" w:hint="eastAsia"/>
          <w:sz w:val="24"/>
        </w:rPr>
        <w:t>：</w:t>
      </w:r>
      <w:r>
        <w:rPr>
          <w:rFonts w:ascii="宋体" w:hAnsi="宋体"/>
          <w:sz w:val="24"/>
        </w:rPr>
        <w:t>00之前补足</w:t>
      </w:r>
      <w:r>
        <w:rPr>
          <w:rFonts w:ascii="宋体" w:hAnsi="宋体" w:hint="eastAsia"/>
          <w:sz w:val="24"/>
        </w:rPr>
        <w:t>金额。</w:t>
      </w:r>
    </w:p>
    <w:p w14:paraId="309E0195" w14:textId="77777777" w:rsidR="00B05562" w:rsidRDefault="004C5F38">
      <w:pPr>
        <w:spacing w:line="360" w:lineRule="auto"/>
        <w:ind w:firstLineChars="200" w:firstLine="480"/>
        <w:rPr>
          <w:rFonts w:ascii="宋体" w:hAnsi="宋体" w:cs="Arial"/>
          <w:sz w:val="24"/>
        </w:rPr>
      </w:pPr>
      <w:r>
        <w:rPr>
          <w:rFonts w:ascii="宋体" w:hAnsi="宋体" w:hint="eastAsia"/>
          <w:sz w:val="24"/>
        </w:rPr>
        <w:t>（</w:t>
      </w:r>
      <w:r>
        <w:rPr>
          <w:rFonts w:ascii="宋体" w:hAnsi="宋体"/>
          <w:sz w:val="24"/>
        </w:rPr>
        <w:t>2）差异化备付金比例</w:t>
      </w:r>
      <w:r>
        <w:rPr>
          <w:rFonts w:ascii="宋体" w:hAnsi="宋体" w:hint="eastAsia"/>
          <w:sz w:val="24"/>
        </w:rPr>
        <w:t>计收方式下，基金管理人应最晚于资金</w:t>
      </w:r>
      <w:proofErr w:type="gramStart"/>
      <w:r>
        <w:rPr>
          <w:rFonts w:ascii="宋体" w:hAnsi="宋体" w:hint="eastAsia"/>
          <w:sz w:val="24"/>
        </w:rPr>
        <w:t>交收日上午</w:t>
      </w:r>
      <w:proofErr w:type="gramEnd"/>
      <w:r>
        <w:rPr>
          <w:rFonts w:ascii="宋体" w:hAnsi="宋体"/>
          <w:sz w:val="24"/>
        </w:rPr>
        <w:t>8：</w:t>
      </w:r>
      <w:r>
        <w:rPr>
          <w:rFonts w:ascii="宋体" w:hAnsi="宋体"/>
          <w:sz w:val="24"/>
        </w:rPr>
        <w:lastRenderedPageBreak/>
        <w:t>30前补足金额</w:t>
      </w:r>
      <w:r>
        <w:rPr>
          <w:rFonts w:ascii="宋体" w:hAnsi="宋体" w:hint="eastAsia"/>
          <w:sz w:val="24"/>
        </w:rPr>
        <w:t>。</w:t>
      </w:r>
    </w:p>
    <w:p w14:paraId="38AF7264" w14:textId="77777777" w:rsidR="00B05562" w:rsidRDefault="004C5F38">
      <w:pPr>
        <w:adjustRightInd w:val="0"/>
        <w:snapToGrid w:val="0"/>
        <w:spacing w:line="360" w:lineRule="auto"/>
        <w:ind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清算交收</w:t>
      </w:r>
    </w:p>
    <w:p w14:paraId="3DC4482F"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E121575"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w:t>
      </w:r>
      <w:proofErr w:type="gramStart"/>
      <w:r>
        <w:rPr>
          <w:rFonts w:ascii="宋体" w:hAnsi="宋体" w:cs="Arial" w:hint="eastAsia"/>
          <w:sz w:val="24"/>
        </w:rPr>
        <w:t>非基金</w:t>
      </w:r>
      <w:proofErr w:type="gramEnd"/>
      <w:r>
        <w:rPr>
          <w:rFonts w:ascii="宋体" w:hAnsi="宋体" w:cs="Arial" w:hint="eastAsia"/>
          <w:sz w:val="24"/>
        </w:rPr>
        <w:t>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宋体" w:hAnsi="宋体" w:cs="Arial" w:hint="eastAsia"/>
          <w:sz w:val="24"/>
        </w:rPr>
        <w:t>券</w:t>
      </w:r>
      <w:proofErr w:type="gramEnd"/>
      <w:r>
        <w:rPr>
          <w:rFonts w:ascii="宋体" w:hAnsi="宋体" w:cs="Arial" w:hint="eastAsia"/>
          <w:sz w:val="24"/>
        </w:rPr>
        <w:t>欠库等原因造成基金投资清算困难和风险的，基金托管人在预清算结束后通知基金管理人预透支和预欠库事项</w:t>
      </w:r>
      <w:r>
        <w:rPr>
          <w:rFonts w:ascii="宋体" w:hAnsi="宋体" w:hint="eastAsia"/>
          <w:color w:val="000000"/>
        </w:rPr>
        <w:t>，</w:t>
      </w:r>
      <w:r>
        <w:rPr>
          <w:rFonts w:ascii="宋体"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06CDEFF1" w14:textId="77777777" w:rsidR="00B05562" w:rsidRDefault="004C5F38">
      <w:pPr>
        <w:spacing w:line="360" w:lineRule="auto"/>
        <w:ind w:firstLineChars="200" w:firstLine="480"/>
        <w:rPr>
          <w:rFonts w:ascii="宋体" w:hAnsi="宋体"/>
          <w:sz w:val="24"/>
        </w:rPr>
      </w:pPr>
      <w:r>
        <w:rPr>
          <w:rFonts w:ascii="宋体" w:hAnsi="宋体" w:cs="宋体" w:hint="eastAsia"/>
          <w:color w:val="000000"/>
          <w:kern w:val="0"/>
          <w:sz w:val="24"/>
        </w:rPr>
        <w:t>基金管理人应采取合理、必要措施，确保T日日终有足够的资金头寸完成 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w:t>
      </w:r>
      <w:proofErr w:type="gramStart"/>
      <w:r>
        <w:rPr>
          <w:rFonts w:ascii="宋体" w:hAnsi="宋体" w:cs="宋体" w:hint="eastAsia"/>
          <w:color w:val="000000"/>
          <w:kern w:val="0"/>
          <w:sz w:val="24"/>
        </w:rPr>
        <w:t>人原因</w:t>
      </w:r>
      <w:proofErr w:type="gramEnd"/>
      <w:r>
        <w:rPr>
          <w:rFonts w:ascii="宋体" w:hAnsi="宋体" w:cs="宋体" w:hint="eastAsia"/>
          <w:color w:val="000000"/>
          <w:kern w:val="0"/>
          <w:sz w:val="24"/>
        </w:rPr>
        <w:t>导致资金头寸不足，基金管理人应</w:t>
      </w:r>
      <w:proofErr w:type="gramStart"/>
      <w:r>
        <w:rPr>
          <w:rFonts w:ascii="宋体" w:hAnsi="宋体" w:hint="eastAsia"/>
          <w:sz w:val="24"/>
        </w:rPr>
        <w:t>视基金</w:t>
      </w:r>
      <w:proofErr w:type="gramEnd"/>
      <w:r>
        <w:rPr>
          <w:rFonts w:ascii="宋体" w:hAnsi="宋体" w:hint="eastAsia"/>
          <w:sz w:val="24"/>
        </w:rPr>
        <w:t>托管</w:t>
      </w:r>
      <w:r>
        <w:rPr>
          <w:rFonts w:ascii="宋体" w:hAnsi="宋体"/>
          <w:sz w:val="24"/>
        </w:rPr>
        <w:t>人</w:t>
      </w:r>
      <w:r>
        <w:rPr>
          <w:rFonts w:ascii="宋体" w:hAnsi="宋体" w:hint="eastAsia"/>
          <w:sz w:val="24"/>
        </w:rPr>
        <w:t>最低结算备付金比例计收方式分别于下列时点补足透支金额：</w:t>
      </w:r>
    </w:p>
    <w:p w14:paraId="257A9A23" w14:textId="77777777" w:rsidR="00B05562" w:rsidRDefault="004C5F38">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1）固定备付金比例计收方式下，</w:t>
      </w:r>
      <w:r>
        <w:rPr>
          <w:rFonts w:ascii="宋体" w:hAnsi="宋体" w:hint="eastAsia"/>
          <w:sz w:val="24"/>
        </w:rPr>
        <w:t>基金</w:t>
      </w:r>
      <w:r>
        <w:rPr>
          <w:rFonts w:ascii="宋体" w:hAnsi="宋体"/>
          <w:sz w:val="24"/>
        </w:rPr>
        <w:t>管理人应</w:t>
      </w:r>
      <w:r>
        <w:rPr>
          <w:rFonts w:ascii="宋体" w:hAnsi="宋体" w:hint="eastAsia"/>
          <w:sz w:val="24"/>
        </w:rPr>
        <w:t>最晚于资金</w:t>
      </w:r>
      <w:proofErr w:type="gramStart"/>
      <w:r>
        <w:rPr>
          <w:rFonts w:ascii="宋体" w:hAnsi="宋体" w:hint="eastAsia"/>
          <w:sz w:val="24"/>
        </w:rPr>
        <w:t>交收日上午</w:t>
      </w:r>
      <w:proofErr w:type="gramEnd"/>
      <w:r>
        <w:rPr>
          <w:rFonts w:ascii="宋体" w:hAnsi="宋体"/>
          <w:sz w:val="24"/>
        </w:rPr>
        <w:t>11</w:t>
      </w:r>
      <w:r>
        <w:rPr>
          <w:rFonts w:ascii="宋体" w:hAnsi="宋体" w:hint="eastAsia"/>
          <w:sz w:val="24"/>
        </w:rPr>
        <w:t>：</w:t>
      </w:r>
      <w:r>
        <w:rPr>
          <w:rFonts w:ascii="宋体" w:hAnsi="宋体"/>
          <w:sz w:val="24"/>
        </w:rPr>
        <w:t>00前补足金额。</w:t>
      </w:r>
    </w:p>
    <w:p w14:paraId="6B780349" w14:textId="77777777" w:rsidR="00B05562" w:rsidRDefault="004C5F38">
      <w:pPr>
        <w:adjustRightInd w:val="0"/>
        <w:snapToGrid w:val="0"/>
        <w:spacing w:line="360" w:lineRule="auto"/>
        <w:ind w:firstLine="480"/>
        <w:rPr>
          <w:rFonts w:ascii="宋体" w:hAnsi="宋体" w:cs="宋体"/>
          <w:color w:val="000000"/>
          <w:kern w:val="0"/>
          <w:sz w:val="24"/>
        </w:rPr>
      </w:pPr>
      <w:r>
        <w:rPr>
          <w:rFonts w:ascii="宋体" w:hAnsi="宋体" w:hint="eastAsia"/>
          <w:sz w:val="24"/>
        </w:rPr>
        <w:t>（</w:t>
      </w:r>
      <w:r>
        <w:rPr>
          <w:rFonts w:ascii="宋体" w:hAnsi="宋体"/>
          <w:sz w:val="24"/>
        </w:rPr>
        <w:t>2）差异化备付金比例计收方式下，</w:t>
      </w:r>
      <w:r>
        <w:rPr>
          <w:rFonts w:ascii="宋体" w:hAnsi="宋体" w:hint="eastAsia"/>
          <w:sz w:val="24"/>
        </w:rPr>
        <w:t>基金</w:t>
      </w:r>
      <w:r>
        <w:rPr>
          <w:rFonts w:ascii="宋体" w:hAnsi="宋体"/>
          <w:sz w:val="24"/>
        </w:rPr>
        <w:t>管理人应最晚于资金</w:t>
      </w:r>
      <w:proofErr w:type="gramStart"/>
      <w:r>
        <w:rPr>
          <w:rFonts w:ascii="宋体" w:hAnsi="宋体"/>
          <w:sz w:val="24"/>
        </w:rPr>
        <w:t>交收日</w:t>
      </w:r>
      <w:r>
        <w:rPr>
          <w:rFonts w:ascii="宋体" w:hAnsi="宋体" w:hint="eastAsia"/>
          <w:sz w:val="24"/>
        </w:rPr>
        <w:t>上午</w:t>
      </w:r>
      <w:proofErr w:type="gramEnd"/>
      <w:r>
        <w:rPr>
          <w:rFonts w:ascii="宋体" w:hAnsi="宋体"/>
          <w:sz w:val="24"/>
        </w:rPr>
        <w:t>8：30前补足金额</w:t>
      </w:r>
      <w:r>
        <w:rPr>
          <w:rFonts w:ascii="宋体"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622E7CD" w14:textId="77777777" w:rsidR="00B05562" w:rsidRDefault="004C5F38">
      <w:pPr>
        <w:adjustRightInd w:val="0"/>
        <w:snapToGrid w:val="0"/>
        <w:spacing w:line="360" w:lineRule="auto"/>
        <w:ind w:firstLineChars="200" w:firstLine="480"/>
        <w:rPr>
          <w:rFonts w:ascii="宋体" w:hAnsi="宋体"/>
          <w:sz w:val="24"/>
        </w:rPr>
      </w:pPr>
      <w:r>
        <w:rPr>
          <w:rFonts w:ascii="宋体" w:hAnsi="宋体" w:cs="宋体" w:hint="eastAsia"/>
          <w:color w:val="000000"/>
          <w:kern w:val="0"/>
          <w:sz w:val="24"/>
        </w:rPr>
        <w:t>根据中国证券登记结算有限责任公司结算规定，基金管理人在进行融资回购业务时</w:t>
      </w:r>
      <w:r>
        <w:rPr>
          <w:rFonts w:ascii="宋体" w:hAnsi="宋体" w:hint="eastAsia"/>
          <w:sz w:val="24"/>
        </w:rPr>
        <w:t>，用于融资回购的债券将作为偿还融资回购到期购回款的质押</w:t>
      </w:r>
      <w:proofErr w:type="gramStart"/>
      <w:r>
        <w:rPr>
          <w:rFonts w:ascii="宋体" w:hAnsi="宋体" w:hint="eastAsia"/>
          <w:sz w:val="24"/>
        </w:rPr>
        <w:t>券</w:t>
      </w:r>
      <w:proofErr w:type="gramEnd"/>
      <w:r>
        <w:rPr>
          <w:rFonts w:ascii="宋体" w:hAnsi="宋体" w:hint="eastAsia"/>
          <w:sz w:val="24"/>
        </w:rPr>
        <w:t>。如因基金管理</w:t>
      </w:r>
      <w:proofErr w:type="gramStart"/>
      <w:r>
        <w:rPr>
          <w:rFonts w:ascii="宋体" w:hAnsi="宋体" w:hint="eastAsia"/>
          <w:sz w:val="24"/>
        </w:rPr>
        <w:t>人原因</w:t>
      </w:r>
      <w:proofErr w:type="gramEnd"/>
      <w:r>
        <w:rPr>
          <w:rFonts w:ascii="宋体" w:hAnsi="宋体" w:hint="eastAsia"/>
          <w:sz w:val="24"/>
        </w:rPr>
        <w:t>造成债券回购交收违约或因折算率变化造成质押欠库，导致中国证券</w:t>
      </w:r>
      <w:r>
        <w:rPr>
          <w:rFonts w:ascii="宋体" w:hAnsi="宋体" w:hint="eastAsia"/>
          <w:sz w:val="24"/>
        </w:rPr>
        <w:lastRenderedPageBreak/>
        <w:t>登记结算有限责任公司欠库扣款或对质押</w:t>
      </w:r>
      <w:proofErr w:type="gramStart"/>
      <w:r>
        <w:rPr>
          <w:rFonts w:ascii="宋体" w:hAnsi="宋体" w:hint="eastAsia"/>
          <w:sz w:val="24"/>
        </w:rPr>
        <w:t>券</w:t>
      </w:r>
      <w:proofErr w:type="gramEnd"/>
      <w:r>
        <w:rPr>
          <w:rFonts w:ascii="宋体" w:hAnsi="宋体" w:hint="eastAsia"/>
          <w:sz w:val="24"/>
        </w:rPr>
        <w:t>进行处置造成的投资风险和损失由基金管理人承担。</w:t>
      </w:r>
    </w:p>
    <w:p w14:paraId="34238D0C" w14:textId="77777777" w:rsidR="00B05562" w:rsidRDefault="004C5F38">
      <w:pPr>
        <w:adjustRightInd w:val="0"/>
        <w:snapToGrid w:val="0"/>
        <w:spacing w:line="360" w:lineRule="auto"/>
        <w:ind w:firstLineChars="200" w:firstLine="480"/>
        <w:rPr>
          <w:rFonts w:ascii="宋体" w:hAnsi="宋体"/>
          <w:sz w:val="24"/>
        </w:rPr>
      </w:pPr>
      <w:r>
        <w:rPr>
          <w:rFonts w:ascii="宋体" w:hAnsi="宋体" w:hint="eastAsia"/>
          <w:sz w:val="24"/>
        </w:rPr>
        <w:t>对于中国证券登记结算有限责任公司实行</w:t>
      </w:r>
      <w:r>
        <w:rPr>
          <w:rFonts w:ascii="宋体" w:hAnsi="宋体"/>
          <w:sz w:val="24"/>
        </w:rPr>
        <w:t>T+0</w:t>
      </w:r>
      <w:r>
        <w:rPr>
          <w:rFonts w:ascii="宋体" w:hAnsi="宋体" w:hint="eastAsia"/>
          <w:sz w:val="24"/>
        </w:rPr>
        <w:t>非担保交收的业务，基金管理人应在交易日</w:t>
      </w:r>
      <w:r>
        <w:rPr>
          <w:rFonts w:ascii="宋体" w:hAnsi="宋体"/>
          <w:sz w:val="24"/>
        </w:rPr>
        <w:t>14:00前将划款指令发送至</w:t>
      </w:r>
      <w:r>
        <w:rPr>
          <w:rFonts w:ascii="宋体" w:hAnsi="宋体" w:hint="eastAsia"/>
          <w:sz w:val="24"/>
        </w:rPr>
        <w:t>基金托管人</w:t>
      </w:r>
      <w:r>
        <w:rPr>
          <w:rFonts w:ascii="宋体" w:hAnsi="宋体"/>
          <w:sz w:val="24"/>
        </w:rPr>
        <w:t>。因</w:t>
      </w:r>
      <w:r>
        <w:rPr>
          <w:rFonts w:ascii="宋体"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52E6DCA6" w14:textId="77777777" w:rsidR="00B05562" w:rsidRDefault="004C5F38">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.交易记录、资金和证券账目核对的时间和方式</w:t>
      </w:r>
    </w:p>
    <w:p w14:paraId="7DABBD98" w14:textId="77777777" w:rsidR="00B05562" w:rsidRDefault="004C5F38">
      <w:pPr>
        <w:adjustRightInd w:val="0"/>
        <w:snapToGrid w:val="0"/>
        <w:spacing w:line="360" w:lineRule="auto"/>
        <w:ind w:firstLineChars="200" w:firstLine="480"/>
        <w:rPr>
          <w:rFonts w:ascii="宋体" w:hAnsi="宋体"/>
          <w:sz w:val="24"/>
        </w:rPr>
      </w:pPr>
      <w:r>
        <w:rPr>
          <w:rFonts w:ascii="宋体" w:hAnsi="宋体" w:hint="eastAsia"/>
          <w:sz w:val="24"/>
        </w:rPr>
        <w:t>（1）交易记录的核对</w:t>
      </w:r>
    </w:p>
    <w:p w14:paraId="409562A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hint="eastAsia"/>
          <w:sz w:val="24"/>
        </w:rPr>
        <w:t>基金管理人按日进行交易记录的核对。每日对外披露净值之前，必须保证当天所有实际交易记录与基金会计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账簿上的交易记录完全一致。如果实际交易记录与会计账簿记录不一致，造成基金会计核算不完整或不真实，由此导致的损失由基金管理人承担。</w:t>
      </w:r>
    </w:p>
    <w:p w14:paraId="3DF5C8C7"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（2）资金账目的核对</w:t>
      </w:r>
    </w:p>
    <w:p w14:paraId="192451A9"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资金账目按日核实。</w:t>
      </w:r>
    </w:p>
    <w:p w14:paraId="215D924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（3）证券账目的核对</w:t>
      </w:r>
    </w:p>
    <w:p w14:paraId="1DC20F2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基金管理人和基金托管人每个估值日结束后核对基金证券账目，确保双方账目相符。</w:t>
      </w:r>
    </w:p>
    <w:p w14:paraId="38CD1993"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（三）基金申购、赎回、转换业务处理的基本规定</w:t>
      </w:r>
    </w:p>
    <w:p w14:paraId="2F5AE948"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1.基金份额申购、赎回、转换的确认、清算由基金管理人或其委托的注册登记机构负责。</w:t>
      </w:r>
    </w:p>
    <w:p w14:paraId="4DB43091"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净应收款的到账情况并根据基金管理人指令及时划付净应付款。</w:t>
      </w:r>
    </w:p>
    <w:p w14:paraId="14B81A79"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3.基金管理人应保证本基金（或本基金管理人委托）的注册登记机构每个工作日15:00前向基金托管人发送前一开放</w:t>
      </w:r>
      <w:proofErr w:type="gramStart"/>
      <w:r>
        <w:rPr>
          <w:rFonts w:ascii="宋体" w:hAnsi="宋体" w:cs="Arial" w:hint="eastAsia"/>
          <w:sz w:val="24"/>
        </w:rPr>
        <w:t>日上述</w:t>
      </w:r>
      <w:proofErr w:type="gramEnd"/>
      <w:r>
        <w:rPr>
          <w:rFonts w:ascii="宋体" w:hAnsi="宋体" w:cs="Arial" w:hint="eastAsia"/>
          <w:sz w:val="24"/>
        </w:rPr>
        <w:t>有关数据，并保证相关数据的准确、完整。</w:t>
      </w:r>
    </w:p>
    <w:p w14:paraId="75DC47B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4.注册登记机构应通过与基金托管人建立的系统发送有关数据，如因各种原因，该系统无法正常发送，双方可协商解决处理方式。基金管理人向基金托管人发</w:t>
      </w:r>
      <w:r>
        <w:rPr>
          <w:rFonts w:ascii="宋体" w:hAnsi="宋体" w:cs="Arial" w:hint="eastAsia"/>
          <w:sz w:val="24"/>
        </w:rPr>
        <w:lastRenderedPageBreak/>
        <w:t>送的数据，双方各自按有关规定保存。</w:t>
      </w:r>
    </w:p>
    <w:p w14:paraId="1EB8BE7B"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5.如基金管理人委托其他机构办理本基金的注册登记业务，应保证上述相关事宜按时进行。否则，由基金管理人承担相应的责任。</w:t>
      </w:r>
    </w:p>
    <w:p w14:paraId="30703DB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6.关于清算专用账户的设立和管理</w:t>
      </w:r>
    </w:p>
    <w:p w14:paraId="5CFD5952"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为满足申购、赎回、转换及分红资金汇划的需要，由基金管理人开立资金清算的专用账户，该账户由注册登记机构管理。</w:t>
      </w:r>
    </w:p>
    <w:p w14:paraId="7E587A93"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7.对于基金申购过程中产生的应收款，应由基金管理人负责与有关当事人确定到账日期并通知基金托管人，</w:t>
      </w:r>
      <w:proofErr w:type="gramStart"/>
      <w:r>
        <w:rPr>
          <w:rFonts w:ascii="宋体" w:hAnsi="宋体" w:cs="Arial" w:hint="eastAsia"/>
          <w:sz w:val="24"/>
        </w:rPr>
        <w:t>到账日净应收</w:t>
      </w:r>
      <w:proofErr w:type="gramEnd"/>
      <w:r>
        <w:rPr>
          <w:rFonts w:ascii="宋体" w:hAnsi="宋体" w:cs="Arial" w:hint="eastAsia"/>
          <w:sz w:val="24"/>
        </w:rPr>
        <w:t>款没有到达基金托管资金账户的，基金托管人应及时通知基金管理人采取措施进行催收，由此造成基金损失的，基金管理人应负责向有关当事人追偿基金的损失。</w:t>
      </w:r>
    </w:p>
    <w:p w14:paraId="236346C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8.净应付款和分红资金划拨规定</w:t>
      </w:r>
    </w:p>
    <w:p w14:paraId="329FE171"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拨付净应付款或进行基金分红时，如基金托管资金账户有足够的资金，基金托管人应按时拨付；因基金托管资金账户没有足够的资金，导致基金托管人不能按时拨付，如</w:t>
      </w:r>
      <w:proofErr w:type="gramStart"/>
      <w:r>
        <w:rPr>
          <w:rFonts w:ascii="宋体" w:hAnsi="宋体" w:cs="Arial" w:hint="eastAsia"/>
          <w:sz w:val="24"/>
        </w:rPr>
        <w:t>系基金</w:t>
      </w:r>
      <w:proofErr w:type="gramEnd"/>
      <w:r>
        <w:rPr>
          <w:rFonts w:ascii="宋体" w:hAnsi="宋体" w:cs="Arial" w:hint="eastAsia"/>
          <w:sz w:val="24"/>
        </w:rPr>
        <w:t>管理人的原因造成，责任由基金管理人承担，基金托管人不承担垫款义务。</w:t>
      </w:r>
    </w:p>
    <w:p w14:paraId="3A988404"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9.资金指令</w:t>
      </w:r>
    </w:p>
    <w:p w14:paraId="080D70BD"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除净应收款到达基金托管资金账户需双方按约定方式对账外，回购到期付款和与投资有关的付款、净应付款和分红资金划拨时，基金管理人需向基金托管人下达指令。</w:t>
      </w:r>
    </w:p>
    <w:p w14:paraId="06AAA9A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资金指令的格式、内容、发送、接收和确认方式等与投资指令相同。</w:t>
      </w:r>
    </w:p>
    <w:p w14:paraId="5C3A23FC"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（四）资金净额结算</w:t>
      </w:r>
    </w:p>
    <w:p w14:paraId="3D83519D"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基金托管资金账户与“基金清算账户”间的资金结算遵循“全额清算、净额交收”的原则，每日(T日：资金交收日，下同)按照托管资金账户应收资金与应付资金的差额来确定托管资金账户净应收额或净应付额，以此确定资金交收额。当存在托管资金账户净应收额时，基金管理人应在T日15:00之前从基金清算账户划到基金托管资金账户；当存在托管资金账户净应付额时，基金管理人应在T日10:00前将划款指令发送给基金托管人,基金托管人按基金管理人的划款指令将托管资金账户净应付额在T日15:00之前</w:t>
      </w:r>
      <w:proofErr w:type="gramStart"/>
      <w:r>
        <w:rPr>
          <w:rFonts w:ascii="宋体" w:hAnsi="宋体" w:cs="Arial" w:hint="eastAsia"/>
          <w:sz w:val="24"/>
        </w:rPr>
        <w:t>划往基金</w:t>
      </w:r>
      <w:proofErr w:type="gramEnd"/>
      <w:r>
        <w:rPr>
          <w:rFonts w:ascii="宋体" w:hAnsi="宋体" w:cs="Arial" w:hint="eastAsia"/>
          <w:sz w:val="24"/>
        </w:rPr>
        <w:t>清算账户。</w:t>
      </w:r>
    </w:p>
    <w:p w14:paraId="71DED06B"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（五）基金转换</w:t>
      </w:r>
    </w:p>
    <w:p w14:paraId="0BEE97A7"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1.在本基金与基金管理人管理的其它基金开展转换业务之前，基金管理人应</w:t>
      </w:r>
      <w:r>
        <w:rPr>
          <w:rFonts w:ascii="宋体" w:hAnsi="宋体" w:cs="Arial" w:hint="eastAsia"/>
          <w:sz w:val="24"/>
        </w:rPr>
        <w:lastRenderedPageBreak/>
        <w:t>函告基金托管人并就相关事宜进行协商。</w:t>
      </w:r>
    </w:p>
    <w:p w14:paraId="5B3CA208"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2.基金托管人将根据基金管理人传送的基金转换数据进行账务处理，</w:t>
      </w:r>
      <w:proofErr w:type="gramStart"/>
      <w:r>
        <w:rPr>
          <w:rFonts w:ascii="宋体" w:hAnsi="宋体" w:cs="Arial" w:hint="eastAsia"/>
          <w:sz w:val="24"/>
        </w:rPr>
        <w:t>具体资金</w:t>
      </w:r>
      <w:proofErr w:type="gramEnd"/>
      <w:r>
        <w:rPr>
          <w:rFonts w:ascii="宋体" w:hAnsi="宋体" w:cs="Arial" w:hint="eastAsia"/>
          <w:sz w:val="24"/>
        </w:rPr>
        <w:t>清算和数据传递的时间、程序及托管协议当事人承担的权责按基金管理人届时的公告执行。</w:t>
      </w:r>
    </w:p>
    <w:p w14:paraId="4020E7DF"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3.本基金开展基金转换业务应按相关法律法规规定及《基金合同》的约定进行公告。</w:t>
      </w:r>
    </w:p>
    <w:p w14:paraId="496C1D1E" w14:textId="77777777" w:rsidR="00B05562" w:rsidRDefault="004C5F38">
      <w:pPr>
        <w:adjustRightInd w:val="0"/>
        <w:snapToGrid w:val="0"/>
        <w:spacing w:line="360" w:lineRule="auto"/>
        <w:ind w:firstLine="480"/>
        <w:outlineLvl w:val="0"/>
        <w:rPr>
          <w:rFonts w:ascii="宋体" w:hAnsi="宋体" w:cs="Arial"/>
          <w:sz w:val="24"/>
        </w:rPr>
      </w:pPr>
      <w:r>
        <w:rPr>
          <w:rFonts w:ascii="宋体" w:hAnsi="宋体" w:cs="Arial" w:hint="eastAsia"/>
          <w:sz w:val="24"/>
        </w:rPr>
        <w:t>（六）基金现金分红</w:t>
      </w:r>
    </w:p>
    <w:p w14:paraId="53A5F03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1FFCA860" w14:textId="77777777" w:rsidR="00B05562" w:rsidRDefault="004C5F38">
      <w:pPr>
        <w:adjustRightInd w:val="0"/>
        <w:snapToGrid w:val="0"/>
        <w:spacing w:line="360" w:lineRule="auto"/>
        <w:ind w:firstLine="480"/>
        <w:rPr>
          <w:rFonts w:ascii="宋体" w:hAnsi="宋体" w:cs="Arial"/>
          <w:sz w:val="24"/>
        </w:rPr>
      </w:pPr>
      <w:r>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AD4282B" w14:textId="77777777" w:rsidR="00B05562" w:rsidRDefault="004C5F38">
      <w:pPr>
        <w:spacing w:line="360" w:lineRule="auto"/>
        <w:ind w:firstLine="480"/>
        <w:rPr>
          <w:rFonts w:ascii="宋体" w:hAnsi="宋体" w:cs="Arial"/>
          <w:sz w:val="24"/>
        </w:rPr>
      </w:pPr>
      <w:r>
        <w:rPr>
          <w:rFonts w:ascii="宋体" w:hAnsi="宋体" w:cs="Arial" w:hint="eastAsia"/>
          <w:sz w:val="24"/>
        </w:rPr>
        <w:t>3.基金管理人在下达指令时，应给基金托管人留出必需的划款时间。</w:t>
      </w:r>
    </w:p>
    <w:p w14:paraId="7815C36C" w14:textId="77777777" w:rsidR="00B05562" w:rsidRDefault="004C5F38">
      <w:pPr>
        <w:spacing w:line="360" w:lineRule="auto"/>
        <w:ind w:firstLine="480"/>
        <w:rPr>
          <w:rFonts w:ascii="宋体" w:hAnsi="宋体" w:cs="Arial"/>
          <w:sz w:val="24"/>
        </w:rPr>
      </w:pPr>
      <w:r>
        <w:rPr>
          <w:rFonts w:ascii="宋体" w:hAnsi="宋体" w:cs="Arial" w:hint="eastAsia"/>
          <w:sz w:val="24"/>
        </w:rPr>
        <w:t>（七）投资银行存款的特别约定</w:t>
      </w:r>
    </w:p>
    <w:p w14:paraId="75F70336" w14:textId="77777777" w:rsidR="00B05562" w:rsidRDefault="004C5F38">
      <w:pPr>
        <w:spacing w:line="360" w:lineRule="auto"/>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20432DEC" w14:textId="77777777" w:rsidR="00B05562" w:rsidRDefault="004C5F38">
      <w:pPr>
        <w:spacing w:line="360" w:lineRule="auto"/>
        <w:ind w:firstLine="480"/>
        <w:rPr>
          <w:rFonts w:ascii="宋体" w:hAnsi="宋体" w:cs="Arial"/>
          <w:sz w:val="24"/>
        </w:rPr>
      </w:pPr>
      <w:r>
        <w:rPr>
          <w:rFonts w:ascii="宋体" w:hAnsi="宋体" w:cs="Arial" w:hint="eastAsia"/>
          <w:sz w:val="24"/>
        </w:rPr>
        <w:t>（1）存款账户必须以本基金名义开立,并将基金托管人为本基金开立的基金托管资金账户指定为唯一回款账户，任何情况下，存款银行都不得将存款投资</w:t>
      </w:r>
      <w:proofErr w:type="gramStart"/>
      <w:r>
        <w:rPr>
          <w:rFonts w:ascii="宋体" w:hAnsi="宋体" w:cs="Arial" w:hint="eastAsia"/>
          <w:sz w:val="24"/>
        </w:rPr>
        <w:t>本息划往任何</w:t>
      </w:r>
      <w:proofErr w:type="gramEnd"/>
      <w:r>
        <w:rPr>
          <w:rFonts w:ascii="宋体" w:hAnsi="宋体" w:cs="Arial" w:hint="eastAsia"/>
          <w:sz w:val="24"/>
        </w:rPr>
        <w:t>其他账户。</w:t>
      </w:r>
    </w:p>
    <w:p w14:paraId="4C458196" w14:textId="77777777" w:rsidR="00B05562" w:rsidRDefault="004C5F38">
      <w:pPr>
        <w:spacing w:line="360" w:lineRule="auto"/>
        <w:ind w:firstLine="480"/>
        <w:rPr>
          <w:rFonts w:ascii="宋体" w:hAnsi="宋体" w:cs="Arial"/>
          <w:sz w:val="24"/>
        </w:rPr>
      </w:pPr>
      <w:r>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18942F1" w14:textId="77777777" w:rsidR="00B05562" w:rsidRDefault="004C5F38">
      <w:pPr>
        <w:spacing w:line="360" w:lineRule="auto"/>
        <w:ind w:firstLine="480"/>
        <w:rPr>
          <w:rFonts w:ascii="宋体" w:hAnsi="宋体" w:cs="Arial"/>
          <w:sz w:val="24"/>
        </w:rPr>
      </w:pPr>
      <w:r>
        <w:rPr>
          <w:rFonts w:ascii="宋体" w:hAnsi="宋体" w:cs="Arial" w:hint="eastAsia"/>
          <w:sz w:val="24"/>
        </w:rPr>
        <w:t>（3）约定存款证实书的具体传递交接方式及交接期限。</w:t>
      </w:r>
    </w:p>
    <w:p w14:paraId="29D9DD29" w14:textId="77777777" w:rsidR="00B05562" w:rsidRDefault="004C5F38">
      <w:pPr>
        <w:spacing w:line="360" w:lineRule="auto"/>
        <w:ind w:firstLine="480"/>
        <w:rPr>
          <w:rFonts w:ascii="宋体" w:hAnsi="宋体" w:cs="Arial"/>
          <w:sz w:val="24"/>
        </w:rPr>
      </w:pPr>
      <w:r>
        <w:rPr>
          <w:rFonts w:ascii="宋体" w:hAnsi="宋体" w:cs="Arial" w:hint="eastAsia"/>
          <w:sz w:val="24"/>
        </w:rPr>
        <w:t>（4）资金划转过程中需要使用存款银行过渡账户的，存款银行须保证资金在过渡账户中不出现滞留，不被挪用。</w:t>
      </w:r>
    </w:p>
    <w:p w14:paraId="26063DE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88239E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3.基金管理人投资银行存款或办理存款支取时，应提前书面通知基金托管人，</w:t>
      </w:r>
      <w:r>
        <w:rPr>
          <w:rFonts w:ascii="宋体" w:hAnsi="宋体" w:cs="Arial" w:hint="eastAsia"/>
          <w:sz w:val="24"/>
        </w:rPr>
        <w:lastRenderedPageBreak/>
        <w:t>以便基金托管人有足够的时间履行相应的业务操作程序。因发生逾期支取、提前支取或部分提前支取，托管银行不承担相应利息损失及逾期支取手续费。</w:t>
      </w:r>
    </w:p>
    <w:p w14:paraId="16F47BC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rFonts w:ascii="宋体" w:hAnsi="宋体" w:cs="Arial"/>
          <w:sz w:val="24"/>
        </w:rPr>
        <w:t>1</w:t>
      </w:r>
      <w:r>
        <w:rPr>
          <w:rFonts w:ascii="宋体" w:hAnsi="宋体" w:cs="Arial" w:hint="eastAsia"/>
          <w:sz w:val="24"/>
        </w:rPr>
        <w:t>）建立风险预警机制，对于实物凭证未送达集中度较高的存款银行，主动发</w:t>
      </w:r>
      <w:proofErr w:type="gramStart"/>
      <w:r>
        <w:rPr>
          <w:rFonts w:ascii="宋体" w:hAnsi="宋体" w:cs="Arial" w:hint="eastAsia"/>
          <w:sz w:val="24"/>
        </w:rPr>
        <w:t>函管</w:t>
      </w:r>
      <w:proofErr w:type="gramEnd"/>
      <w:r>
        <w:rPr>
          <w:rFonts w:ascii="宋体" w:hAnsi="宋体" w:cs="Arial" w:hint="eastAsia"/>
          <w:sz w:val="24"/>
        </w:rPr>
        <w:t>理人尽量避免在此类银行进行存款投资；（</w:t>
      </w:r>
      <w:r>
        <w:rPr>
          <w:rFonts w:ascii="宋体" w:hAnsi="宋体" w:cs="Arial"/>
          <w:sz w:val="24"/>
        </w:rPr>
        <w:t>2</w:t>
      </w:r>
      <w:r>
        <w:rPr>
          <w:rFonts w:ascii="宋体" w:hAnsi="宋体" w:cs="Arial" w:hint="eastAsia"/>
          <w:sz w:val="24"/>
        </w:rPr>
        <w:t>）在定期报告中，对未按约定送达基金托管人保管的实物凭证信息进行规定范围信息披露；（</w:t>
      </w:r>
      <w:r>
        <w:rPr>
          <w:rFonts w:ascii="宋体" w:hAnsi="宋体" w:cs="Arial"/>
          <w:sz w:val="24"/>
        </w:rPr>
        <w:t>3</w:t>
      </w:r>
      <w:r>
        <w:rPr>
          <w:rFonts w:ascii="宋体" w:hAnsi="宋体" w:cs="Arial" w:hint="eastAsia"/>
          <w:sz w:val="24"/>
        </w:rPr>
        <w:t>）未送达实物凭证超过送单截止日后</w:t>
      </w:r>
      <w:r>
        <w:rPr>
          <w:rFonts w:ascii="宋体" w:hAnsi="宋体" w:cs="Arial"/>
          <w:sz w:val="24"/>
        </w:rPr>
        <w:t>30</w:t>
      </w:r>
      <w:r>
        <w:rPr>
          <w:rFonts w:ascii="宋体" w:hAnsi="宋体" w:cs="Arial" w:hint="eastAsia"/>
          <w:sz w:val="24"/>
        </w:rPr>
        <w:t>个工作日，且累计超过</w:t>
      </w:r>
      <w:r>
        <w:rPr>
          <w:rFonts w:ascii="宋体" w:hAnsi="宋体" w:cs="Arial"/>
          <w:sz w:val="24"/>
        </w:rPr>
        <w:t>3</w:t>
      </w:r>
      <w:r>
        <w:rPr>
          <w:rFonts w:ascii="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3C3E77B6" w14:textId="77777777" w:rsidR="00B05562" w:rsidRDefault="00B05562">
      <w:pPr>
        <w:adjustRightInd w:val="0"/>
        <w:snapToGrid w:val="0"/>
        <w:spacing w:line="360" w:lineRule="auto"/>
        <w:ind w:firstLineChars="200" w:firstLine="480"/>
        <w:rPr>
          <w:rFonts w:ascii="宋体" w:hAnsi="宋体" w:cs="Arial"/>
          <w:sz w:val="24"/>
        </w:rPr>
      </w:pPr>
    </w:p>
    <w:p w14:paraId="43834DD8" w14:textId="77777777" w:rsidR="00B05562" w:rsidRDefault="004C5F38">
      <w:pPr>
        <w:pStyle w:val="2"/>
        <w:spacing w:line="360" w:lineRule="auto"/>
        <w:jc w:val="center"/>
        <w:rPr>
          <w:rFonts w:ascii="宋体" w:eastAsia="宋体" w:hAnsi="宋体"/>
          <w:sz w:val="30"/>
        </w:rPr>
      </w:pPr>
      <w:bookmarkStart w:id="95" w:name="_Toc124325892"/>
      <w:r>
        <w:rPr>
          <w:rFonts w:ascii="宋体" w:eastAsia="宋体" w:hAnsi="宋体" w:hint="eastAsia"/>
          <w:sz w:val="30"/>
        </w:rPr>
        <w:t>八、基金资产净值计算和会计核算</w:t>
      </w:r>
      <w:bookmarkEnd w:id="95"/>
    </w:p>
    <w:p w14:paraId="1F4E314F"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15C6756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1.基金资产净值是指基金资产总值减去负债后的金额。各类基金份额净值是按照每个估值日闭市后，各类基金份额的基金资产净值除以当日该类基金份额的余额总数计算，均精确到0.00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799196E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每个估值日计算基金资产净值及各类基金份额净值，并按规定公告。</w:t>
      </w:r>
    </w:p>
    <w:p w14:paraId="6156EA2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w:t>
      </w:r>
      <w:proofErr w:type="gramStart"/>
      <w:r>
        <w:rPr>
          <w:rFonts w:ascii="宋体" w:hAnsi="宋体" w:cs="Arial" w:hint="eastAsia"/>
          <w:sz w:val="24"/>
        </w:rPr>
        <w:t>应每个</w:t>
      </w:r>
      <w:proofErr w:type="gramEnd"/>
      <w:r>
        <w:rPr>
          <w:rFonts w:ascii="宋体" w:hAnsi="宋体" w:cs="Arial" w:hint="eastAsia"/>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5E61593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（二）基金资产估值方法和特殊情形的处理</w:t>
      </w:r>
    </w:p>
    <w:p w14:paraId="57A79F2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本基金的估值对象为基金所拥有的股票、债券、衍生工具、资产支持证券和银行存款本息、应收款项、其它投资等资产及负债。</w:t>
      </w:r>
    </w:p>
    <w:p w14:paraId="549108F6" w14:textId="77777777" w:rsidR="00B05562" w:rsidRDefault="004C5F38">
      <w:pPr>
        <w:spacing w:line="360" w:lineRule="auto"/>
        <w:ind w:firstLineChars="200" w:firstLine="480"/>
        <w:rPr>
          <w:rFonts w:asciiTheme="minorEastAsia" w:hAnsiTheme="minorEastAsia"/>
          <w:bCs/>
          <w:sz w:val="24"/>
        </w:rPr>
      </w:pPr>
      <w:r>
        <w:rPr>
          <w:rFonts w:asciiTheme="minorEastAsia" w:hAnsiTheme="minorEastAsia" w:hint="eastAsia"/>
          <w:bCs/>
          <w:sz w:val="24"/>
        </w:rPr>
        <w:lastRenderedPageBreak/>
        <w:t>本基金所持有的投资品种，按如下原则进行估值：</w:t>
      </w:r>
    </w:p>
    <w:p w14:paraId="5B1199E3" w14:textId="77777777" w:rsidR="00B05562" w:rsidRDefault="004C5F38">
      <w:pPr>
        <w:spacing w:line="360" w:lineRule="auto"/>
        <w:ind w:firstLineChars="200" w:firstLine="480"/>
        <w:rPr>
          <w:bCs/>
          <w:sz w:val="24"/>
        </w:rPr>
      </w:pPr>
      <w:r>
        <w:rPr>
          <w:rFonts w:hint="eastAsia"/>
          <w:bCs/>
          <w:sz w:val="24"/>
        </w:rPr>
        <w:t>1.</w:t>
      </w:r>
      <w:r>
        <w:rPr>
          <w:rFonts w:hint="eastAsia"/>
          <w:bCs/>
          <w:sz w:val="24"/>
        </w:rPr>
        <w:t>证券交易所上市的有价证券的估值</w:t>
      </w:r>
    </w:p>
    <w:p w14:paraId="4D496F1B" w14:textId="77777777" w:rsidR="00B05562" w:rsidRDefault="004C5F3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385041" w14:textId="77777777" w:rsidR="00B05562" w:rsidRDefault="004C5F3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收益品种，选取估值日第三方估值基准服务机构提供的相应品种当日的估值全价；交易所上市交易或挂牌转让的含</w:t>
      </w:r>
      <w:proofErr w:type="gramStart"/>
      <w:r>
        <w:rPr>
          <w:rFonts w:hint="eastAsia"/>
          <w:bCs/>
          <w:sz w:val="24"/>
        </w:rPr>
        <w:t>权固定</w:t>
      </w:r>
      <w:proofErr w:type="gramEnd"/>
      <w:r>
        <w:rPr>
          <w:rFonts w:hint="eastAsia"/>
          <w:bCs/>
          <w:sz w:val="24"/>
        </w:rPr>
        <w:t>收益品种，选取估值日第三方估值基准服务机构提供的相应品种当日的唯一估值全价或推荐估值全价；</w:t>
      </w:r>
    </w:p>
    <w:p w14:paraId="2C6B813E" w14:textId="77777777" w:rsidR="00B05562" w:rsidRDefault="004C5F3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3349E0C5" w14:textId="77777777" w:rsidR="00B05562" w:rsidRDefault="004C5F3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）交易所上市不存在活跃市场的有价证券，采用估值技术确定公允价值。</w:t>
      </w:r>
    </w:p>
    <w:p w14:paraId="3440B6B7" w14:textId="77777777" w:rsidR="00B05562" w:rsidRDefault="004C5F38">
      <w:pPr>
        <w:spacing w:line="360" w:lineRule="auto"/>
        <w:ind w:firstLineChars="200" w:firstLine="480"/>
        <w:rPr>
          <w:bCs/>
          <w:sz w:val="24"/>
        </w:rPr>
      </w:pPr>
      <w:r>
        <w:rPr>
          <w:rFonts w:hint="eastAsia"/>
          <w:bCs/>
          <w:sz w:val="24"/>
        </w:rPr>
        <w:t>2</w:t>
      </w:r>
      <w:r>
        <w:rPr>
          <w:bCs/>
          <w:sz w:val="24"/>
        </w:rPr>
        <w:t>.</w:t>
      </w:r>
      <w:r>
        <w:rPr>
          <w:rFonts w:hint="eastAsia"/>
          <w:bCs/>
          <w:sz w:val="24"/>
        </w:rPr>
        <w:t>处于未上市期间或流通受限的有价证券应区分如下情况处理：</w:t>
      </w:r>
    </w:p>
    <w:p w14:paraId="31AE5975" w14:textId="77777777" w:rsidR="00B05562" w:rsidRDefault="004C5F38">
      <w:pPr>
        <w:spacing w:line="360" w:lineRule="auto"/>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r>
        <w:rPr>
          <w:rFonts w:hint="eastAsia"/>
          <w:bCs/>
          <w:sz w:val="24"/>
        </w:rPr>
        <w:t xml:space="preserve"> </w:t>
      </w:r>
    </w:p>
    <w:p w14:paraId="08AAA238" w14:textId="77777777" w:rsidR="00B05562" w:rsidRDefault="004C5F3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151DE11D" w14:textId="77777777" w:rsidR="00B05562" w:rsidRDefault="004C5F38">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3651D3CD" w14:textId="77777777" w:rsidR="00B05562" w:rsidRDefault="004C5F38">
      <w:pPr>
        <w:spacing w:line="360" w:lineRule="auto"/>
        <w:ind w:firstLineChars="200" w:firstLine="480"/>
        <w:rPr>
          <w:bCs/>
          <w:sz w:val="24"/>
        </w:rPr>
      </w:pPr>
      <w:r>
        <w:rPr>
          <w:rFonts w:hint="eastAsia"/>
          <w:bCs/>
          <w:sz w:val="24"/>
        </w:rPr>
        <w:t>（</w:t>
      </w:r>
      <w:r>
        <w:rPr>
          <w:rFonts w:hint="eastAsia"/>
          <w:bCs/>
          <w:sz w:val="24"/>
        </w:rPr>
        <w:t>4</w:t>
      </w:r>
      <w:r>
        <w:rPr>
          <w:rFonts w:hint="eastAsia"/>
          <w:bCs/>
          <w:sz w:val="24"/>
        </w:rPr>
        <w:t>）交易所未上市或未挂牌转让且不存在活跃市场的固定收益品种，应采用在当前情况下适用并且有足够可利用数据和其他信息支持的估值技术确定其公允价值。</w:t>
      </w:r>
    </w:p>
    <w:p w14:paraId="7C373723" w14:textId="77777777" w:rsidR="00B05562" w:rsidRDefault="004C5F38">
      <w:pPr>
        <w:spacing w:line="360" w:lineRule="auto"/>
        <w:ind w:firstLineChars="200" w:firstLine="480"/>
        <w:rPr>
          <w:bCs/>
          <w:sz w:val="24"/>
        </w:rPr>
      </w:pPr>
      <w:r>
        <w:rPr>
          <w:rFonts w:hint="eastAsia"/>
          <w:bCs/>
          <w:sz w:val="24"/>
        </w:rPr>
        <w:t>3.</w:t>
      </w:r>
      <w:r>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w:t>
      </w:r>
      <w:r>
        <w:rPr>
          <w:rFonts w:hint="eastAsia"/>
          <w:bCs/>
          <w:sz w:val="24"/>
        </w:rPr>
        <w:lastRenderedPageBreak/>
        <w:t>推荐估值全价。</w:t>
      </w:r>
    </w:p>
    <w:p w14:paraId="6D4B277B" w14:textId="77777777" w:rsidR="00B05562" w:rsidRDefault="004C5F38">
      <w:pPr>
        <w:spacing w:line="360" w:lineRule="auto"/>
        <w:ind w:firstLineChars="200" w:firstLine="480"/>
        <w:rPr>
          <w:bCs/>
          <w:sz w:val="24"/>
        </w:rPr>
      </w:pPr>
      <w:r>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77369DEE" w14:textId="77777777" w:rsidR="00B05562" w:rsidRDefault="004C5F38">
      <w:pPr>
        <w:spacing w:line="360" w:lineRule="auto"/>
        <w:ind w:firstLineChars="200" w:firstLine="480"/>
        <w:rPr>
          <w:bCs/>
          <w:sz w:val="24"/>
        </w:rPr>
      </w:pPr>
      <w:r>
        <w:rPr>
          <w:rFonts w:hint="eastAsia"/>
          <w:bCs/>
          <w:sz w:val="24"/>
        </w:rPr>
        <w:t>4.</w:t>
      </w:r>
      <w:r>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555A43B" w14:textId="77777777" w:rsidR="00B05562" w:rsidRDefault="004C5F38">
      <w:pPr>
        <w:spacing w:line="360" w:lineRule="auto"/>
        <w:ind w:firstLineChars="200" w:firstLine="480"/>
        <w:rPr>
          <w:bCs/>
          <w:sz w:val="24"/>
        </w:rPr>
      </w:pP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18A2D25" w14:textId="77777777" w:rsidR="00B05562" w:rsidRDefault="004C5F38">
      <w:pPr>
        <w:spacing w:line="360" w:lineRule="auto"/>
        <w:ind w:firstLineChars="200" w:firstLine="480"/>
        <w:rPr>
          <w:bCs/>
          <w:sz w:val="24"/>
        </w:rPr>
      </w:pPr>
      <w:r>
        <w:rPr>
          <w:rFonts w:hint="eastAsia"/>
          <w:bCs/>
          <w:sz w:val="24"/>
        </w:rPr>
        <w:t>6.</w:t>
      </w:r>
      <w:r>
        <w:rPr>
          <w:rFonts w:hint="eastAsia"/>
          <w:bCs/>
          <w:sz w:val="24"/>
        </w:rPr>
        <w:t>同一证券同时在两个或两个以上市场交易的，按证券所处的市场分别估值。</w:t>
      </w:r>
    </w:p>
    <w:p w14:paraId="6CF2C9BE" w14:textId="77777777" w:rsidR="00B05562" w:rsidRDefault="004C5F38">
      <w:pPr>
        <w:spacing w:line="360" w:lineRule="auto"/>
        <w:ind w:firstLineChars="200" w:firstLine="480"/>
        <w:rPr>
          <w:bCs/>
          <w:sz w:val="24"/>
        </w:rPr>
      </w:pPr>
      <w:r>
        <w:rPr>
          <w:rFonts w:hint="eastAsia"/>
          <w:bCs/>
          <w:sz w:val="24"/>
        </w:rPr>
        <w:t>7.</w:t>
      </w:r>
      <w:r>
        <w:rPr>
          <w:rFonts w:hint="eastAsia"/>
          <w:bCs/>
          <w:sz w:val="24"/>
        </w:rPr>
        <w:t>期货合约以估值当日结算价进行估值，估值当日无结算价的，且最近交易日后经济环境未发生重大变化的，采用最近交易日结算价估值。</w:t>
      </w:r>
    </w:p>
    <w:p w14:paraId="39326E0B" w14:textId="77777777" w:rsidR="00B05562" w:rsidRDefault="004C5F38">
      <w:pPr>
        <w:spacing w:line="360" w:lineRule="auto"/>
        <w:ind w:firstLineChars="200" w:firstLine="480"/>
        <w:rPr>
          <w:bCs/>
          <w:sz w:val="24"/>
        </w:rPr>
      </w:pPr>
      <w:r>
        <w:rPr>
          <w:rFonts w:hint="eastAsia"/>
          <w:bCs/>
          <w:sz w:val="24"/>
        </w:rPr>
        <w:t>8.</w:t>
      </w:r>
      <w:r>
        <w:rPr>
          <w:rFonts w:hint="eastAsia"/>
          <w:bCs/>
          <w:sz w:val="24"/>
        </w:rPr>
        <w:t>估值中的汇率选取原则：港股通投资持有外币证券资产估值涉及到的主要货币对人民币汇率，以估值日中国人民银行或其授权机构公布的人民币汇率中间价为准。</w:t>
      </w:r>
    </w:p>
    <w:p w14:paraId="5EB464C0" w14:textId="77777777" w:rsidR="00B05562" w:rsidRDefault="004C5F38">
      <w:pPr>
        <w:spacing w:line="360" w:lineRule="auto"/>
        <w:ind w:firstLineChars="200" w:firstLine="480"/>
        <w:rPr>
          <w:bCs/>
          <w:sz w:val="24"/>
        </w:rPr>
      </w:pPr>
      <w:r>
        <w:rPr>
          <w:rFonts w:hint="eastAsia"/>
          <w:bCs/>
          <w:sz w:val="24"/>
        </w:rPr>
        <w:t>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498A01E6" w14:textId="77777777" w:rsidR="00B05562" w:rsidRDefault="004C5F38">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E77C0D3" w14:textId="77777777" w:rsidR="00B05562" w:rsidRDefault="004C5F38">
      <w:pPr>
        <w:spacing w:line="360" w:lineRule="auto"/>
        <w:ind w:firstLineChars="200" w:firstLine="480"/>
        <w:rPr>
          <w:bCs/>
          <w:sz w:val="24"/>
        </w:rPr>
      </w:pPr>
      <w:r>
        <w:rPr>
          <w:rFonts w:hint="eastAsia"/>
          <w:bCs/>
          <w:sz w:val="24"/>
        </w:rPr>
        <w:t>9.</w:t>
      </w:r>
      <w:r>
        <w:rPr>
          <w:rFonts w:hint="eastAsia"/>
          <w:bCs/>
          <w:sz w:val="24"/>
        </w:rPr>
        <w:t>当本基金发生大额申购或赎回情形时，基金管理人可以采用摆动定价机制，以确保基金估值的公平性。</w:t>
      </w:r>
    </w:p>
    <w:p w14:paraId="632D4A8C" w14:textId="77777777" w:rsidR="00B05562" w:rsidRDefault="004C5F38">
      <w:pPr>
        <w:spacing w:line="360" w:lineRule="auto"/>
        <w:ind w:firstLineChars="200" w:firstLine="480"/>
        <w:rPr>
          <w:bCs/>
          <w:sz w:val="24"/>
        </w:rPr>
      </w:pPr>
      <w:r>
        <w:rPr>
          <w:rFonts w:hint="eastAsia"/>
          <w:bCs/>
          <w:sz w:val="24"/>
        </w:rPr>
        <w:t>1</w:t>
      </w:r>
      <w:r>
        <w:rPr>
          <w:bCs/>
          <w:sz w:val="24"/>
        </w:rPr>
        <w:t>0</w:t>
      </w:r>
      <w:r>
        <w:rPr>
          <w:rFonts w:hint="eastAsia"/>
          <w:bCs/>
          <w:sz w:val="24"/>
        </w:rPr>
        <w:t>.</w:t>
      </w:r>
      <w:r>
        <w:rPr>
          <w:rFonts w:hint="eastAsia"/>
          <w:bCs/>
          <w:sz w:val="24"/>
        </w:rPr>
        <w:t>本基金投资存托凭证的估值核算，依照境内上市交易的股票执行。</w:t>
      </w:r>
    </w:p>
    <w:p w14:paraId="5B91CC47" w14:textId="77777777" w:rsidR="00B05562" w:rsidRDefault="004C5F38">
      <w:pPr>
        <w:spacing w:line="360" w:lineRule="auto"/>
        <w:ind w:firstLineChars="200" w:firstLine="480"/>
        <w:rPr>
          <w:bCs/>
          <w:sz w:val="24"/>
        </w:rPr>
      </w:pPr>
      <w:r>
        <w:rPr>
          <w:rFonts w:hint="eastAsia"/>
          <w:bCs/>
          <w:sz w:val="24"/>
        </w:rPr>
        <w:lastRenderedPageBreak/>
        <w:t>1</w:t>
      </w:r>
      <w:r>
        <w:rPr>
          <w:bCs/>
          <w:sz w:val="24"/>
        </w:rPr>
        <w:t>1</w:t>
      </w:r>
      <w:r>
        <w:rPr>
          <w:rFonts w:hint="eastAsia"/>
          <w:bCs/>
          <w:sz w:val="24"/>
        </w:rPr>
        <w:t>.</w:t>
      </w:r>
      <w:r>
        <w:rPr>
          <w:rFonts w:hint="eastAsia"/>
          <w:bCs/>
          <w:sz w:val="24"/>
        </w:rPr>
        <w:t>本基金投资股票期权，根据相关法律法规以及监管部门的规定估值。</w:t>
      </w:r>
    </w:p>
    <w:p w14:paraId="6F9EC61A" w14:textId="77777777" w:rsidR="00B05562" w:rsidRDefault="004C5F38">
      <w:pPr>
        <w:spacing w:line="360" w:lineRule="auto"/>
        <w:ind w:firstLineChars="200" w:firstLine="480"/>
        <w:rPr>
          <w:bCs/>
          <w:sz w:val="24"/>
        </w:rPr>
      </w:pPr>
      <w:r>
        <w:rPr>
          <w:rFonts w:hint="eastAsia"/>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3922D1C6" w14:textId="77777777" w:rsidR="00B05562" w:rsidRDefault="004C5F38">
      <w:pPr>
        <w:spacing w:line="360" w:lineRule="auto"/>
        <w:ind w:firstLineChars="200" w:firstLine="480"/>
        <w:rPr>
          <w:bCs/>
          <w:sz w:val="24"/>
        </w:rPr>
      </w:pPr>
      <w:r>
        <w:rPr>
          <w:rFonts w:hint="eastAsia"/>
          <w:bCs/>
          <w:sz w:val="24"/>
        </w:rPr>
        <w:t>1</w:t>
      </w:r>
      <w:r>
        <w:rPr>
          <w:bCs/>
          <w:sz w:val="24"/>
        </w:rPr>
        <w:t>3</w:t>
      </w:r>
      <w:r>
        <w:rPr>
          <w:rFonts w:hint="eastAsia"/>
          <w:bCs/>
          <w:sz w:val="24"/>
        </w:rPr>
        <w:t>.</w:t>
      </w:r>
      <w:r>
        <w:rPr>
          <w:rFonts w:hint="eastAsia"/>
          <w:bCs/>
          <w:sz w:val="24"/>
        </w:rPr>
        <w:t>相关法律法规以及监管部门有强制规定的，从其规定。如有新增事项，按国家最新规定估值。</w:t>
      </w:r>
    </w:p>
    <w:p w14:paraId="07D67C5D" w14:textId="77777777" w:rsidR="00B05562" w:rsidRDefault="004C5F38">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A6DB0AF" w14:textId="77777777" w:rsidR="00B05562" w:rsidRDefault="004C5F38">
      <w:pPr>
        <w:adjustRightInd w:val="0"/>
        <w:snapToGrid w:val="0"/>
        <w:spacing w:line="360" w:lineRule="auto"/>
        <w:ind w:firstLine="480"/>
        <w:rPr>
          <w:rFonts w:ascii="宋体" w:hAnsi="宋体"/>
          <w:sz w:val="24"/>
          <w:szCs w:val="21"/>
        </w:rPr>
      </w:pPr>
      <w:r>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6D200C8D" w14:textId="77777777" w:rsidR="00B05562" w:rsidRDefault="004C5F38">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基金管理人、基金托管人按估值方法的第</w:t>
      </w:r>
      <w:r>
        <w:rPr>
          <w:rStyle w:val="read"/>
          <w:rFonts w:ascii="宋体" w:hAnsi="宋体" w:cs="Arial"/>
          <w:sz w:val="24"/>
        </w:rPr>
        <w:t>12</w:t>
      </w:r>
      <w:r>
        <w:rPr>
          <w:rStyle w:val="read"/>
          <w:rFonts w:ascii="宋体" w:hAnsi="宋体" w:cs="Arial" w:hint="eastAsia"/>
          <w:sz w:val="24"/>
        </w:rPr>
        <w:t>项进行估值时，所造成的误差不作为基金份</w:t>
      </w:r>
      <w:r>
        <w:rPr>
          <w:rStyle w:val="read"/>
          <w:rFonts w:ascii="宋体" w:hAnsi="宋体" w:hint="eastAsia"/>
          <w:sz w:val="24"/>
        </w:rPr>
        <w:t>额净值错误处理。</w:t>
      </w:r>
    </w:p>
    <w:p w14:paraId="018E7B68" w14:textId="77777777" w:rsidR="00B05562" w:rsidRDefault="004C5F38">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（三）基金份额净值错误的处理方式</w:t>
      </w:r>
    </w:p>
    <w:p w14:paraId="5220F3C3" w14:textId="77777777" w:rsidR="00B05562" w:rsidRDefault="004C5F38">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1.当任一类基金份额净值小数点后</w:t>
      </w:r>
      <w:r>
        <w:rPr>
          <w:rStyle w:val="read"/>
          <w:rFonts w:ascii="宋体" w:hAnsi="宋体"/>
          <w:sz w:val="24"/>
        </w:rPr>
        <w:t>4</w:t>
      </w:r>
      <w:r>
        <w:rPr>
          <w:rStyle w:val="read"/>
          <w:rFonts w:ascii="宋体" w:hAnsi="宋体" w:hint="eastAsia"/>
          <w:sz w:val="24"/>
        </w:rPr>
        <w:t>位以内(含第</w:t>
      </w:r>
      <w:r>
        <w:rPr>
          <w:rStyle w:val="read"/>
          <w:rFonts w:ascii="宋体" w:hAnsi="宋体"/>
          <w:sz w:val="24"/>
        </w:rPr>
        <w:t>4</w:t>
      </w:r>
      <w:r>
        <w:rPr>
          <w:rStyle w:val="read"/>
          <w:rFonts w:ascii="宋体" w:hAnsi="宋体" w:hint="eastAsia"/>
          <w:sz w:val="24"/>
        </w:rPr>
        <w:t>位)发生差错时，视为该类基金份额净值错误；基金份额净值出现错误时，基金管理人应当立即予以纠正，通报基金托管人，并采取合理的措施防止损失进一步扩大；错误偏差达到该类基金份额净值的0.25%时，基金管理人应当通报基金托管人并报中国证监会备案</w:t>
      </w:r>
      <w:r>
        <w:rPr>
          <w:rFonts w:ascii="宋体" w:hAnsi="宋体" w:cs="Arial" w:hint="eastAsia"/>
          <w:sz w:val="24"/>
        </w:rPr>
        <w:t>；错误偏差达到该类基金份额净值的</w:t>
      </w:r>
      <w:r>
        <w:rPr>
          <w:rFonts w:ascii="宋体" w:hAnsi="宋体" w:hint="eastAsia"/>
          <w:sz w:val="24"/>
        </w:rPr>
        <w:t>0.5</w:t>
      </w:r>
      <w:r>
        <w:rPr>
          <w:rFonts w:ascii="宋体" w:hAnsi="宋体"/>
          <w:sz w:val="24"/>
        </w:rPr>
        <w:t>0</w:t>
      </w:r>
      <w:r>
        <w:rPr>
          <w:rFonts w:ascii="宋体" w:hAnsi="宋体" w:hint="eastAsia"/>
          <w:sz w:val="24"/>
        </w:rPr>
        <w:t>%时，基金管理人应当公告</w:t>
      </w:r>
      <w:r>
        <w:rPr>
          <w:rFonts w:ascii="宋体" w:hAnsi="宋体" w:cs="Arial" w:hint="eastAsia"/>
          <w:sz w:val="24"/>
        </w:rPr>
        <w:t>，并报中国证监会备案</w:t>
      </w:r>
      <w:r>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55345568" w14:textId="77777777" w:rsidR="00B05562" w:rsidRDefault="004C5F38">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53BD6CB8" w14:textId="77777777" w:rsidR="00B05562" w:rsidRDefault="004C5F38">
      <w:pPr>
        <w:adjustRightInd w:val="0"/>
        <w:snapToGrid w:val="0"/>
        <w:spacing w:line="360" w:lineRule="auto"/>
        <w:ind w:firstLineChars="200" w:firstLine="480"/>
        <w:rPr>
          <w:rFonts w:ascii="宋体" w:hAnsi="宋体" w:cs="Arial"/>
          <w:sz w:val="24"/>
        </w:rPr>
      </w:pPr>
      <w:r>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Arial" w:hint="eastAsia"/>
          <w:sz w:val="24"/>
        </w:rPr>
        <w:t>损失，由基金管理人负责赔付。</w:t>
      </w:r>
    </w:p>
    <w:p w14:paraId="2500A4F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w:t>
      </w:r>
      <w:proofErr w:type="gramStart"/>
      <w:r>
        <w:rPr>
          <w:rFonts w:ascii="宋体" w:hAnsi="宋体" w:hint="eastAsia"/>
          <w:kern w:val="0"/>
          <w:sz w:val="24"/>
        </w:rPr>
        <w:t>若基金</w:t>
      </w:r>
      <w:proofErr w:type="gramEnd"/>
      <w:r>
        <w:rPr>
          <w:rFonts w:ascii="宋体" w:hAnsi="宋体" w:hint="eastAsia"/>
          <w:kern w:val="0"/>
          <w:sz w:val="24"/>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4C459B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1BB282B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A4E94E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3B25E1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4.基金管理人和基金托管人由于各自技术系统设置而产生的净值计算尾差，以基金管理人计算结果为准。</w:t>
      </w:r>
    </w:p>
    <w:p w14:paraId="0CD191B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5ECF299C"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4C7C3E9B"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557AA097"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5C6FAA5A"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w:t>
      </w:r>
      <w:r>
        <w:rPr>
          <w:rFonts w:hint="eastAsia"/>
        </w:rPr>
        <w:t xml:space="preserve"> </w:t>
      </w:r>
      <w:r>
        <w:rPr>
          <w:rFonts w:ascii="宋体" w:hAnsi="宋体" w:cs="Arial" w:hint="eastAsia"/>
          <w:sz w:val="24"/>
        </w:rPr>
        <w:t>当特定资产占前一估值日基金资产净值50%以上的，经与基金托管人协商确认后，基金管理人应当暂停估值；</w:t>
      </w:r>
    </w:p>
    <w:p w14:paraId="42E7354F"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4.中国证监会和《基金合同》认定的其他情形。</w:t>
      </w:r>
    </w:p>
    <w:p w14:paraId="3AF4DFC8"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（五）实施</w:t>
      </w:r>
      <w:proofErr w:type="gramStart"/>
      <w:r>
        <w:rPr>
          <w:rFonts w:ascii="宋体" w:hAnsi="宋体" w:cs="Arial" w:hint="eastAsia"/>
          <w:sz w:val="24"/>
        </w:rPr>
        <w:t>侧袋机制</w:t>
      </w:r>
      <w:proofErr w:type="gramEnd"/>
      <w:r>
        <w:rPr>
          <w:rFonts w:ascii="宋体" w:hAnsi="宋体" w:cs="Arial" w:hint="eastAsia"/>
          <w:sz w:val="24"/>
        </w:rPr>
        <w:t>期间的基金资产估值</w:t>
      </w:r>
    </w:p>
    <w:p w14:paraId="5F39CB74"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的，应根据本部分的约定</w:t>
      </w:r>
      <w:proofErr w:type="gramStart"/>
      <w:r>
        <w:rPr>
          <w:rFonts w:ascii="宋体" w:hAnsi="宋体" w:cs="Arial" w:hint="eastAsia"/>
          <w:sz w:val="24"/>
        </w:rPr>
        <w:t>对主袋账户</w:t>
      </w:r>
      <w:proofErr w:type="gramEnd"/>
      <w:r>
        <w:rPr>
          <w:rFonts w:ascii="宋体" w:hAnsi="宋体" w:cs="Arial" w:hint="eastAsia"/>
          <w:sz w:val="24"/>
        </w:rPr>
        <w:t>资产进行估值并</w:t>
      </w:r>
      <w:proofErr w:type="gramStart"/>
      <w:r>
        <w:rPr>
          <w:rFonts w:ascii="宋体" w:hAnsi="宋体" w:cs="Arial" w:hint="eastAsia"/>
          <w:sz w:val="24"/>
        </w:rPr>
        <w:t>披露主袋账户</w:t>
      </w:r>
      <w:proofErr w:type="gramEnd"/>
      <w:r>
        <w:rPr>
          <w:rFonts w:ascii="宋体" w:hAnsi="宋体" w:cs="Arial" w:hint="eastAsia"/>
          <w:sz w:val="24"/>
        </w:rPr>
        <w:t>的基金净值信息，暂停</w:t>
      </w:r>
      <w:proofErr w:type="gramStart"/>
      <w:r>
        <w:rPr>
          <w:rFonts w:ascii="宋体" w:hAnsi="宋体" w:cs="Arial" w:hint="eastAsia"/>
          <w:sz w:val="24"/>
        </w:rPr>
        <w:t>披露侧袋账户</w:t>
      </w:r>
      <w:proofErr w:type="gramEnd"/>
      <w:r>
        <w:rPr>
          <w:rFonts w:ascii="宋体" w:hAnsi="宋体" w:cs="Arial" w:hint="eastAsia"/>
          <w:sz w:val="24"/>
        </w:rPr>
        <w:t>份额净值。</w:t>
      </w:r>
    </w:p>
    <w:p w14:paraId="473F0C23"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（六）基金会计制度</w:t>
      </w:r>
    </w:p>
    <w:p w14:paraId="58C1833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12D4A3EA"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（七）基金账册的建立</w:t>
      </w:r>
    </w:p>
    <w:p w14:paraId="02A0F8F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w:t>
      </w:r>
      <w:proofErr w:type="gramStart"/>
      <w:r>
        <w:rPr>
          <w:rFonts w:ascii="宋体" w:hAnsi="宋体" w:cs="Arial" w:hint="eastAsia"/>
          <w:sz w:val="24"/>
        </w:rPr>
        <w:t>若基金</w:t>
      </w:r>
      <w:proofErr w:type="gramEnd"/>
      <w:r>
        <w:rPr>
          <w:rFonts w:ascii="宋体" w:hAnsi="宋体" w:cs="Arial" w:hint="eastAsia"/>
          <w:sz w:val="24"/>
        </w:rPr>
        <w:t>管理人和基金托管人对会计处理方法存在分歧，应以基金管理人的处理方法为准。若当日核对不符，暂时无法查找到错账的原因而影响到基金净值信息的计算和公告的，以基金管理人的账册为准。</w:t>
      </w:r>
    </w:p>
    <w:p w14:paraId="747ADA1D"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（八）基金财务报表与报告的编制和复核</w:t>
      </w:r>
    </w:p>
    <w:p w14:paraId="280E7CF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4EDC752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7A8660A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1037F06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4D0F006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3.财务报表的编制与复核时间安排</w:t>
      </w:r>
    </w:p>
    <w:p w14:paraId="5390415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6027AE7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6D5C57AD" w14:textId="77777777" w:rsidR="00B05562" w:rsidRDefault="004C5F38">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0A9C8941" w14:textId="77777777" w:rsidR="00B05562" w:rsidRDefault="004C5F38">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24A2A67" w14:textId="77777777" w:rsidR="00B05562" w:rsidRDefault="004C5F38">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w:t>
      </w:r>
      <w:proofErr w:type="gramStart"/>
      <w:r>
        <w:rPr>
          <w:rFonts w:ascii="宋体" w:hAnsi="宋体" w:cs="Arial" w:hint="eastAsia"/>
          <w:sz w:val="24"/>
        </w:rPr>
        <w:t>于应当</w:t>
      </w:r>
      <w:proofErr w:type="gramEnd"/>
      <w:r>
        <w:rPr>
          <w:rFonts w:ascii="宋体" w:hAnsi="宋体" w:cs="Arial" w:hint="eastAsia"/>
          <w:sz w:val="24"/>
        </w:rPr>
        <w:t>发布公告之日之前就相关报表达成一致，基金管理人按照其编制的报表对外发布公告，基金托管人有权就相关情况报中国证监会备案。</w:t>
      </w:r>
    </w:p>
    <w:p w14:paraId="62497633" w14:textId="77777777" w:rsidR="00B05562" w:rsidRDefault="004C5F38">
      <w:pPr>
        <w:pStyle w:val="a0"/>
        <w:adjustRightInd w:val="0"/>
        <w:snapToGrid w:val="0"/>
        <w:spacing w:line="360" w:lineRule="auto"/>
        <w:ind w:firstLine="480"/>
        <w:rPr>
          <w:rFonts w:ascii="宋体" w:hAnsi="宋体" w:cs="Arial"/>
          <w:sz w:val="24"/>
        </w:rPr>
      </w:pPr>
      <w:r>
        <w:rPr>
          <w:rFonts w:ascii="宋体" w:hAnsi="宋体" w:cs="Arial" w:hint="eastAsia"/>
          <w:sz w:val="24"/>
        </w:rPr>
        <w:t>（九）基金管理人应在编制季度报告、中期报告或者年度报告之前及时向基金</w:t>
      </w:r>
      <w:r>
        <w:rPr>
          <w:rFonts w:ascii="宋体" w:hAnsi="宋体" w:cs="Arial" w:hint="eastAsia"/>
          <w:sz w:val="24"/>
        </w:rPr>
        <w:lastRenderedPageBreak/>
        <w:t>托管人提供基金业绩比较基准的基础数据和编制结果。</w:t>
      </w:r>
    </w:p>
    <w:p w14:paraId="374878FD" w14:textId="77777777" w:rsidR="00B05562" w:rsidRDefault="00B05562">
      <w:pPr>
        <w:pStyle w:val="a0"/>
        <w:adjustRightInd w:val="0"/>
        <w:snapToGrid w:val="0"/>
        <w:spacing w:line="360" w:lineRule="auto"/>
        <w:ind w:firstLineChars="0" w:firstLine="0"/>
        <w:rPr>
          <w:rFonts w:ascii="宋体" w:hAnsi="宋体" w:cs="Arial"/>
          <w:sz w:val="24"/>
        </w:rPr>
      </w:pPr>
    </w:p>
    <w:p w14:paraId="7256626A" w14:textId="77777777" w:rsidR="00B05562" w:rsidRDefault="004C5F38">
      <w:pPr>
        <w:pStyle w:val="2"/>
        <w:spacing w:line="360" w:lineRule="auto"/>
        <w:jc w:val="center"/>
        <w:rPr>
          <w:rFonts w:ascii="宋体" w:eastAsia="宋体" w:hAnsi="宋体"/>
          <w:sz w:val="30"/>
        </w:rPr>
      </w:pPr>
      <w:bookmarkStart w:id="96" w:name="_Toc124325893"/>
      <w:r>
        <w:rPr>
          <w:rFonts w:ascii="宋体" w:eastAsia="宋体" w:hAnsi="宋体" w:hint="eastAsia"/>
          <w:sz w:val="30"/>
        </w:rPr>
        <w:t>九、基金收益分配</w:t>
      </w:r>
      <w:bookmarkEnd w:id="96"/>
    </w:p>
    <w:p w14:paraId="770A7AE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681A26F7"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4E55C85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55D4D50C"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1、在符合有关基金分红条件的前提下，基金管理人可以根据实际情况进行收益分配，具体分配方案以公告为准。若《基金合同》生效不满3个月可不进行收益分配；</w:t>
      </w:r>
    </w:p>
    <w:p w14:paraId="60FE04E0"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2、本基金的收益分配方式仅有现金分红一种方式；</w:t>
      </w:r>
    </w:p>
    <w:p w14:paraId="0C0DE536"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3、基金收益分配后各类基金份额净值不能低于面值；即基金收益分配基准日的各类基金份额净值减去每单位该类基金份额收益分配金额后不能低于面值；</w:t>
      </w:r>
    </w:p>
    <w:p w14:paraId="0C1F084F"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由于本基金A类基金份额和C类基金份额费用收取不同，不同类别基金份额对应的可供分配收益将有所不同，基金管理人可对各类别基金份额分别制定收益分配方案。本基金同一类别的每一基金份额享有同等分配权；</w:t>
      </w:r>
    </w:p>
    <w:p w14:paraId="1D8E8150"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5、法律法规或监管机关另有规定的，从其规定。</w:t>
      </w:r>
    </w:p>
    <w:p w14:paraId="079484B0"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67B31ABE"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5D15DDD0"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2AEB58E5"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基金收益分配时所发生的银行转账或其他手续费用由投资者自行承担。</w:t>
      </w:r>
    </w:p>
    <w:p w14:paraId="21BE04FD"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（三）实施</w:t>
      </w:r>
      <w:proofErr w:type="gramStart"/>
      <w:r>
        <w:rPr>
          <w:rFonts w:ascii="宋体" w:hAnsi="宋体" w:cs="Arial" w:hint="eastAsia"/>
          <w:sz w:val="24"/>
        </w:rPr>
        <w:t>侧袋机制</w:t>
      </w:r>
      <w:proofErr w:type="gramEnd"/>
      <w:r>
        <w:rPr>
          <w:rFonts w:ascii="宋体" w:hAnsi="宋体" w:cs="Arial" w:hint="eastAsia"/>
          <w:sz w:val="24"/>
        </w:rPr>
        <w:t>期间的收益分配</w:t>
      </w:r>
    </w:p>
    <w:p w14:paraId="11D20F71"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w:t>
      </w:r>
      <w:proofErr w:type="gramStart"/>
      <w:r>
        <w:rPr>
          <w:rFonts w:ascii="宋体" w:hAnsi="宋体" w:cs="Arial" w:hint="eastAsia"/>
          <w:sz w:val="24"/>
        </w:rPr>
        <w:t>侧袋账户</w:t>
      </w:r>
      <w:proofErr w:type="gramEnd"/>
      <w:r>
        <w:rPr>
          <w:rFonts w:ascii="宋体" w:hAnsi="宋体" w:cs="Arial" w:hint="eastAsia"/>
          <w:sz w:val="24"/>
        </w:rPr>
        <w:t>不进行收益分配，详见招募说明书的规定。</w:t>
      </w:r>
    </w:p>
    <w:p w14:paraId="42A71800" w14:textId="77777777" w:rsidR="00B05562" w:rsidRDefault="00B05562">
      <w:pPr>
        <w:adjustRightInd w:val="0"/>
        <w:snapToGrid w:val="0"/>
        <w:spacing w:line="360" w:lineRule="auto"/>
        <w:rPr>
          <w:rFonts w:ascii="宋体" w:hAnsi="宋体" w:cs="Arial"/>
          <w:sz w:val="24"/>
        </w:rPr>
      </w:pPr>
    </w:p>
    <w:p w14:paraId="1F508973" w14:textId="77777777" w:rsidR="00B05562" w:rsidRDefault="004C5F38">
      <w:pPr>
        <w:pStyle w:val="2"/>
        <w:spacing w:line="360" w:lineRule="auto"/>
        <w:jc w:val="center"/>
        <w:rPr>
          <w:rFonts w:ascii="宋体" w:eastAsia="宋体" w:hAnsi="宋体"/>
          <w:sz w:val="30"/>
        </w:rPr>
      </w:pPr>
      <w:bookmarkStart w:id="97" w:name="_Toc124325894"/>
      <w:r>
        <w:rPr>
          <w:rFonts w:ascii="宋体" w:eastAsia="宋体" w:hAnsi="宋体" w:hint="eastAsia"/>
          <w:sz w:val="30"/>
        </w:rPr>
        <w:lastRenderedPageBreak/>
        <w:t>十、基金信息披露</w:t>
      </w:r>
      <w:bookmarkEnd w:id="97"/>
    </w:p>
    <w:p w14:paraId="6FB5C542"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2B5D75E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3B81F62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03CD86C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p>
    <w:p w14:paraId="7EB8016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因审计、法律等专业服务向外部专业顾问提供信息。</w:t>
      </w:r>
    </w:p>
    <w:p w14:paraId="741B3524"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（二）信息披露的内容</w:t>
      </w:r>
    </w:p>
    <w:p w14:paraId="52D2AD2C" w14:textId="77777777" w:rsidR="00B05562" w:rsidRDefault="004C5F38">
      <w:pPr>
        <w:spacing w:line="360" w:lineRule="auto"/>
        <w:ind w:firstLineChars="200" w:firstLine="480"/>
        <w:rPr>
          <w:rFonts w:ascii="宋体" w:hAnsi="宋体" w:cs="Arial"/>
          <w:sz w:val="24"/>
        </w:rPr>
      </w:pPr>
      <w:r>
        <w:rPr>
          <w:rFonts w:ascii="宋体"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w:t>
      </w:r>
      <w:r>
        <w:rPr>
          <w:rFonts w:asciiTheme="minorEastAsia" w:hAnsiTheme="minorEastAsia" w:cs="Arial" w:hint="eastAsia"/>
          <w:sz w:val="24"/>
        </w:rPr>
        <w:t>投资资产支持证券的信息披露、投资股指期货相关公告、投资国债期货相关公告、投资股票期权相关公告、投资港股通标的股票的相关公告、清算报告、实施</w:t>
      </w:r>
      <w:proofErr w:type="gramStart"/>
      <w:r>
        <w:rPr>
          <w:rFonts w:asciiTheme="minorEastAsia" w:hAnsiTheme="minorEastAsia" w:cs="Arial" w:hint="eastAsia"/>
          <w:sz w:val="24"/>
        </w:rPr>
        <w:t>侧袋机制</w:t>
      </w:r>
      <w:proofErr w:type="gramEnd"/>
      <w:r>
        <w:rPr>
          <w:rFonts w:asciiTheme="minorEastAsia" w:hAnsiTheme="minorEastAsia" w:cs="Arial" w:hint="eastAsia"/>
          <w:sz w:val="24"/>
        </w:rPr>
        <w:t>期间的信息披露</w:t>
      </w:r>
      <w:r>
        <w:rPr>
          <w:rFonts w:ascii="宋体" w:hAnsi="宋体" w:cs="Arial" w:hint="eastAsia"/>
          <w:sz w:val="24"/>
        </w:rPr>
        <w:t>以及中国证监会规定的其他信息。基金年度报告中的财务会计报告需</w:t>
      </w:r>
      <w:proofErr w:type="gramStart"/>
      <w:r>
        <w:rPr>
          <w:rFonts w:ascii="宋体" w:hAnsi="宋体" w:cs="Arial" w:hint="eastAsia"/>
          <w:sz w:val="24"/>
        </w:rPr>
        <w:t>经符合</w:t>
      </w:r>
      <w:proofErr w:type="gramEnd"/>
      <w:r>
        <w:rPr>
          <w:rFonts w:ascii="宋体" w:hAnsi="宋体" w:cs="Arial" w:hint="eastAsia"/>
          <w:sz w:val="24"/>
        </w:rPr>
        <w:t>《证券法》规定的会计师事务所审计后，方可披露。</w:t>
      </w:r>
    </w:p>
    <w:p w14:paraId="7B053137"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113DF7B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11547D7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15D5C1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25A220B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57CCED6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基金管理人应当在中国证监会规定的时间内，将应予披露的基金信息通过规定媒介披露。根据法律法规应由基金托管人公开披露的信息，基金托管人将通过规定媒介或基金托管人的互联网网站公开披露。</w:t>
      </w:r>
    </w:p>
    <w:p w14:paraId="6BBC971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3CFCD47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4A7009B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(2)基金投资所涉及的证券交易市场遇法定节假日或因其他原因暂停营业时；</w:t>
      </w:r>
    </w:p>
    <w:p w14:paraId="473075B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(3)出现基金管理人认为属于会导致基金管理人不能出售或评估基金资产的紧急事故的任何情况；</w:t>
      </w:r>
    </w:p>
    <w:p w14:paraId="2920999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(4)法律法规、《基金合同》或中国证监会规定的情况。</w:t>
      </w:r>
    </w:p>
    <w:p w14:paraId="62B1F55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2.程序</w:t>
      </w:r>
    </w:p>
    <w:p w14:paraId="601E44F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48148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5C47D78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依法必须披露的信息发布后，基金管理人、基金托管人应当按照相关法律法规规定将信息置备于公司住所，供社会公众查阅、复制。</w:t>
      </w:r>
    </w:p>
    <w:p w14:paraId="4B2546F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（四）实施</w:t>
      </w:r>
      <w:proofErr w:type="gramStart"/>
      <w:r>
        <w:rPr>
          <w:rFonts w:ascii="宋体" w:hAnsi="宋体" w:cs="Arial" w:hint="eastAsia"/>
          <w:sz w:val="24"/>
        </w:rPr>
        <w:t>侧袋机制</w:t>
      </w:r>
      <w:proofErr w:type="gramEnd"/>
      <w:r>
        <w:rPr>
          <w:rFonts w:ascii="宋体" w:hAnsi="宋体" w:cs="Arial" w:hint="eastAsia"/>
          <w:sz w:val="24"/>
        </w:rPr>
        <w:t>期间的信息披露</w:t>
      </w:r>
    </w:p>
    <w:p w14:paraId="7021410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的，相关信息披露义务人应当根据法律法规、基金合同和招募说明书的规定进行信息披露，详见招募说明书的规定。</w:t>
      </w:r>
    </w:p>
    <w:p w14:paraId="46C8CA0A" w14:textId="77777777" w:rsidR="00B05562" w:rsidRDefault="004C5F38">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1FFBBE79" w14:textId="77777777" w:rsidR="00B05562" w:rsidRDefault="00B05562">
      <w:pPr>
        <w:pStyle w:val="a0"/>
        <w:spacing w:line="360" w:lineRule="auto"/>
        <w:ind w:firstLineChars="0" w:firstLine="0"/>
        <w:rPr>
          <w:rFonts w:ascii="宋体" w:hAnsi="宋体" w:cs="Arial"/>
          <w:sz w:val="24"/>
        </w:rPr>
      </w:pPr>
    </w:p>
    <w:p w14:paraId="17C6DD75" w14:textId="77777777" w:rsidR="00B05562" w:rsidRDefault="004C5F38">
      <w:pPr>
        <w:pStyle w:val="2"/>
        <w:spacing w:line="360" w:lineRule="auto"/>
        <w:jc w:val="center"/>
        <w:rPr>
          <w:rFonts w:ascii="宋体" w:eastAsia="宋体" w:hAnsi="宋体"/>
          <w:sz w:val="30"/>
        </w:rPr>
      </w:pPr>
      <w:bookmarkStart w:id="98" w:name="_Toc124325895"/>
      <w:r>
        <w:rPr>
          <w:rFonts w:ascii="宋体" w:eastAsia="宋体" w:hAnsi="宋体" w:hint="eastAsia"/>
          <w:sz w:val="30"/>
        </w:rPr>
        <w:t>十一、基金费用</w:t>
      </w:r>
      <w:bookmarkEnd w:id="98"/>
    </w:p>
    <w:p w14:paraId="432A9F8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（一）基金管理费的计提方法</w:t>
      </w:r>
    </w:p>
    <w:p w14:paraId="5C06C2F4" w14:textId="77777777" w:rsidR="00B05562" w:rsidRDefault="004C5F38">
      <w:pPr>
        <w:spacing w:line="360" w:lineRule="auto"/>
        <w:ind w:firstLineChars="200" w:firstLine="480"/>
        <w:rPr>
          <w:bCs/>
          <w:sz w:val="24"/>
        </w:rPr>
      </w:pPr>
      <w:r>
        <w:rPr>
          <w:rFonts w:hint="eastAsia"/>
          <w:sz w:val="24"/>
        </w:rPr>
        <w:t>本基金</w:t>
      </w:r>
      <w:r>
        <w:rPr>
          <w:rFonts w:hint="eastAsia"/>
          <w:bCs/>
          <w:sz w:val="24"/>
        </w:rPr>
        <w:t>根据每笔基金份额的持有期限与持有</w:t>
      </w:r>
      <w:proofErr w:type="gramStart"/>
      <w:r>
        <w:rPr>
          <w:rFonts w:hint="eastAsia"/>
          <w:bCs/>
          <w:sz w:val="24"/>
        </w:rPr>
        <w:t>期间年化收益率</w:t>
      </w:r>
      <w:proofErr w:type="gramEnd"/>
      <w:r>
        <w:rPr>
          <w:rFonts w:hint="eastAsia"/>
          <w:bCs/>
          <w:sz w:val="24"/>
        </w:rPr>
        <w:t>，在赎回</w:t>
      </w:r>
      <w:bookmarkStart w:id="99" w:name="_Hlk195865221"/>
      <w:r>
        <w:rPr>
          <w:rFonts w:hint="eastAsia"/>
          <w:bCs/>
          <w:sz w:val="24"/>
        </w:rPr>
        <w:t>、转出</w:t>
      </w:r>
      <w:bookmarkEnd w:id="99"/>
      <w:r>
        <w:rPr>
          <w:rFonts w:hint="eastAsia"/>
          <w:bCs/>
          <w:sz w:val="24"/>
        </w:rPr>
        <w:t>基金份额</w:t>
      </w:r>
      <w:bookmarkStart w:id="100" w:name="_Hlk195865226"/>
      <w:r>
        <w:rPr>
          <w:rFonts w:hint="eastAsia"/>
          <w:bCs/>
          <w:sz w:val="24"/>
        </w:rPr>
        <w:t>或基金合同终止的情形发生</w:t>
      </w:r>
      <w:bookmarkEnd w:id="100"/>
      <w:r>
        <w:rPr>
          <w:rFonts w:hint="eastAsia"/>
          <w:bCs/>
          <w:sz w:val="24"/>
        </w:rPr>
        <w:t>时确定该笔基金份额对应</w:t>
      </w:r>
      <w:r>
        <w:rPr>
          <w:rFonts w:hint="eastAsia"/>
          <w:sz w:val="24"/>
        </w:rPr>
        <w:t>的管理费</w:t>
      </w:r>
      <w:r>
        <w:rPr>
          <w:rFonts w:hint="eastAsia"/>
          <w:bCs/>
          <w:sz w:val="24"/>
        </w:rPr>
        <w:t>。当投资者赎回</w:t>
      </w:r>
      <w:bookmarkStart w:id="101" w:name="_Hlk195865234"/>
      <w:r>
        <w:rPr>
          <w:rFonts w:hint="eastAsia"/>
          <w:bCs/>
          <w:sz w:val="24"/>
        </w:rPr>
        <w:t>、转出基金份额或基金合同终止的情形发生</w:t>
      </w:r>
      <w:bookmarkEnd w:id="101"/>
      <w:r>
        <w:rPr>
          <w:rFonts w:hint="eastAsia"/>
          <w:bCs/>
          <w:sz w:val="24"/>
        </w:rPr>
        <w:t>时，持有期限不足一年（即</w:t>
      </w:r>
      <w:r>
        <w:rPr>
          <w:rFonts w:hint="eastAsia"/>
          <w:bCs/>
          <w:sz w:val="24"/>
        </w:rPr>
        <w:t>365</w:t>
      </w:r>
      <w:r>
        <w:rPr>
          <w:rFonts w:hint="eastAsia"/>
          <w:bCs/>
          <w:sz w:val="24"/>
        </w:rPr>
        <w:t>天，</w:t>
      </w:r>
      <w:r>
        <w:rPr>
          <w:rFonts w:hint="eastAsia"/>
          <w:bCs/>
          <w:sz w:val="24"/>
        </w:rPr>
        <w:lastRenderedPageBreak/>
        <w:t>下同），则按</w:t>
      </w:r>
      <w:r>
        <w:rPr>
          <w:rFonts w:hint="eastAsia"/>
          <w:bCs/>
          <w:sz w:val="24"/>
        </w:rPr>
        <w:t>1.20%</w:t>
      </w:r>
      <w:r>
        <w:rPr>
          <w:rFonts w:hint="eastAsia"/>
          <w:bCs/>
          <w:sz w:val="24"/>
        </w:rPr>
        <w:t>年费率收取管理费；持有期限达到一年及以上，则根据持有</w:t>
      </w:r>
      <w:proofErr w:type="gramStart"/>
      <w:r>
        <w:rPr>
          <w:rFonts w:hint="eastAsia"/>
          <w:bCs/>
          <w:sz w:val="24"/>
        </w:rPr>
        <w:t>期间年化收益率</w:t>
      </w:r>
      <w:proofErr w:type="gramEnd"/>
      <w:r>
        <w:rPr>
          <w:rFonts w:hint="eastAsia"/>
          <w:bCs/>
          <w:sz w:val="24"/>
        </w:rPr>
        <w:t>分为以下三种情况，分别确定对应的管理费率档位：</w:t>
      </w:r>
    </w:p>
    <w:p w14:paraId="0A71E888" w14:textId="77777777" w:rsidR="00B05562" w:rsidRDefault="004C5F38">
      <w:pPr>
        <w:spacing w:line="360" w:lineRule="auto"/>
        <w:ind w:firstLineChars="200" w:firstLine="480"/>
        <w:rPr>
          <w:bCs/>
          <w:sz w:val="24"/>
        </w:rPr>
      </w:pPr>
      <w:r>
        <w:rPr>
          <w:rFonts w:hint="eastAsia"/>
          <w:bCs/>
          <w:sz w:val="24"/>
        </w:rPr>
        <w:t>若持有期间相对业绩比较基准</w:t>
      </w:r>
      <w:proofErr w:type="gramStart"/>
      <w:r>
        <w:rPr>
          <w:rFonts w:hint="eastAsia"/>
          <w:bCs/>
          <w:sz w:val="24"/>
        </w:rPr>
        <w:t>的年化超额</w:t>
      </w:r>
      <w:proofErr w:type="gramEnd"/>
      <w:r>
        <w:rPr>
          <w:rFonts w:hint="eastAsia"/>
          <w:bCs/>
          <w:sz w:val="24"/>
        </w:rPr>
        <w:t>收益率在</w:t>
      </w:r>
      <w:r>
        <w:rPr>
          <w:rFonts w:hint="eastAsia"/>
          <w:bCs/>
          <w:sz w:val="24"/>
        </w:rPr>
        <w:t>-3%</w:t>
      </w:r>
      <w:r>
        <w:rPr>
          <w:rFonts w:hint="eastAsia"/>
          <w:bCs/>
          <w:sz w:val="24"/>
        </w:rPr>
        <w:t>及以下，按</w:t>
      </w:r>
      <w:r>
        <w:rPr>
          <w:rFonts w:hint="eastAsia"/>
          <w:bCs/>
          <w:sz w:val="24"/>
        </w:rPr>
        <w:t>0.60%</w:t>
      </w:r>
      <w:r>
        <w:rPr>
          <w:rFonts w:hint="eastAsia"/>
          <w:bCs/>
          <w:sz w:val="24"/>
        </w:rPr>
        <w:t>年费率确认管理费；若持有期间</w:t>
      </w:r>
      <w:proofErr w:type="gramStart"/>
      <w:r>
        <w:rPr>
          <w:rFonts w:hint="eastAsia"/>
          <w:bCs/>
          <w:sz w:val="24"/>
        </w:rPr>
        <w:t>的年化超额</w:t>
      </w:r>
      <w:proofErr w:type="gramEnd"/>
      <w:r>
        <w:rPr>
          <w:rFonts w:hint="eastAsia"/>
          <w:bCs/>
          <w:sz w:val="24"/>
        </w:rPr>
        <w:t>收益率（扣除超额管理费后）超过</w:t>
      </w:r>
      <w:r>
        <w:rPr>
          <w:rFonts w:hint="eastAsia"/>
          <w:bCs/>
          <w:sz w:val="24"/>
        </w:rPr>
        <w:t>6%</w:t>
      </w:r>
      <w:r>
        <w:rPr>
          <w:rFonts w:hint="eastAsia"/>
          <w:bCs/>
          <w:sz w:val="24"/>
        </w:rPr>
        <w:t>且持有收益率（扣除超额管理费后）为正，按</w:t>
      </w:r>
      <w:r>
        <w:rPr>
          <w:rFonts w:hint="eastAsia"/>
          <w:bCs/>
          <w:sz w:val="24"/>
        </w:rPr>
        <w:t>1.50%</w:t>
      </w:r>
      <w:r>
        <w:rPr>
          <w:rFonts w:hint="eastAsia"/>
          <w:bCs/>
          <w:sz w:val="24"/>
        </w:rPr>
        <w:t>年费率确认管理费；其他情形按</w:t>
      </w:r>
      <w:r>
        <w:rPr>
          <w:rFonts w:hint="eastAsia"/>
          <w:bCs/>
          <w:sz w:val="24"/>
        </w:rPr>
        <w:t>1.20%</w:t>
      </w:r>
      <w:r>
        <w:rPr>
          <w:rFonts w:hint="eastAsia"/>
          <w:bCs/>
          <w:sz w:val="24"/>
        </w:rPr>
        <w:t>年费率确认管理费。</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831"/>
      </w:tblGrid>
      <w:tr w:rsidR="00B05562" w14:paraId="4C60B4F4" w14:textId="77777777">
        <w:trPr>
          <w:trHeight w:val="510"/>
          <w:jc w:val="center"/>
        </w:trPr>
        <w:tc>
          <w:tcPr>
            <w:tcW w:w="3827" w:type="dxa"/>
            <w:vAlign w:val="center"/>
          </w:tcPr>
          <w:p w14:paraId="4EF24D5F" w14:textId="77777777" w:rsidR="00B05562" w:rsidRDefault="004C5F38">
            <w:pPr>
              <w:spacing w:line="276" w:lineRule="auto"/>
              <w:jc w:val="center"/>
              <w:rPr>
                <w:b/>
                <w:sz w:val="22"/>
              </w:rPr>
            </w:pPr>
            <w:r>
              <w:rPr>
                <w:rFonts w:hint="eastAsia"/>
                <w:b/>
                <w:sz w:val="22"/>
              </w:rPr>
              <w:t>持有</w:t>
            </w:r>
            <w:proofErr w:type="gramStart"/>
            <w:r>
              <w:rPr>
                <w:rFonts w:hint="eastAsia"/>
                <w:b/>
                <w:sz w:val="22"/>
              </w:rPr>
              <w:t>期间年化收益率</w:t>
            </w:r>
            <w:proofErr w:type="gramEnd"/>
            <w:r>
              <w:rPr>
                <w:rFonts w:hint="eastAsia"/>
                <w:b/>
                <w:sz w:val="22"/>
              </w:rPr>
              <w:t>（</w:t>
            </w:r>
            <w:r>
              <w:rPr>
                <w:rFonts w:hint="eastAsia"/>
                <w:b/>
                <w:sz w:val="22"/>
              </w:rPr>
              <w:t>R</w:t>
            </w:r>
            <w:r>
              <w:rPr>
                <w:rFonts w:hint="eastAsia"/>
                <w:b/>
                <w:sz w:val="22"/>
              </w:rPr>
              <w:t>）</w:t>
            </w:r>
          </w:p>
        </w:tc>
        <w:tc>
          <w:tcPr>
            <w:tcW w:w="2831" w:type="dxa"/>
            <w:vAlign w:val="center"/>
          </w:tcPr>
          <w:p w14:paraId="408F168B" w14:textId="77777777" w:rsidR="00B05562" w:rsidRDefault="004C5F38">
            <w:pPr>
              <w:spacing w:line="276" w:lineRule="auto"/>
              <w:jc w:val="center"/>
              <w:rPr>
                <w:b/>
                <w:sz w:val="22"/>
              </w:rPr>
            </w:pPr>
            <w:r>
              <w:rPr>
                <w:rFonts w:hint="eastAsia"/>
                <w:b/>
                <w:sz w:val="22"/>
              </w:rPr>
              <w:t>管理费率（年费率）</w:t>
            </w:r>
          </w:p>
        </w:tc>
      </w:tr>
      <w:tr w:rsidR="00B05562" w14:paraId="68DDD099" w14:textId="77777777">
        <w:trPr>
          <w:trHeight w:val="510"/>
          <w:jc w:val="center"/>
        </w:trPr>
        <w:tc>
          <w:tcPr>
            <w:tcW w:w="3827" w:type="dxa"/>
            <w:vAlign w:val="center"/>
          </w:tcPr>
          <w:p w14:paraId="350AC20B" w14:textId="77777777" w:rsidR="00B05562" w:rsidRDefault="004C5F38">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-3%</w:t>
            </w:r>
          </w:p>
        </w:tc>
        <w:tc>
          <w:tcPr>
            <w:tcW w:w="2831" w:type="dxa"/>
            <w:vAlign w:val="center"/>
          </w:tcPr>
          <w:p w14:paraId="78C2EBD2" w14:textId="77777777" w:rsidR="00B05562" w:rsidRDefault="004C5F38">
            <w:pPr>
              <w:spacing w:line="276" w:lineRule="auto"/>
              <w:jc w:val="center"/>
              <w:rPr>
                <w:rFonts w:ascii="Cambria" w:eastAsia="仿宋" w:hAnsi="Cambria"/>
                <w:sz w:val="22"/>
              </w:rPr>
            </w:pPr>
            <w:r>
              <w:rPr>
                <w:rFonts w:ascii="Cambria" w:eastAsia="仿宋" w:hAnsi="Cambria"/>
                <w:sz w:val="22"/>
              </w:rPr>
              <w:t>0.60%/</w:t>
            </w:r>
            <w:r>
              <w:rPr>
                <w:rFonts w:ascii="宋体" w:hAnsi="宋体"/>
                <w:bCs/>
                <w:sz w:val="22"/>
              </w:rPr>
              <w:t>年</w:t>
            </w:r>
          </w:p>
        </w:tc>
      </w:tr>
      <w:tr w:rsidR="00B05562" w14:paraId="7690784B" w14:textId="77777777">
        <w:trPr>
          <w:trHeight w:val="510"/>
          <w:jc w:val="center"/>
        </w:trPr>
        <w:tc>
          <w:tcPr>
            <w:tcW w:w="3827" w:type="dxa"/>
            <w:vAlign w:val="center"/>
          </w:tcPr>
          <w:p w14:paraId="20985A6C" w14:textId="77777777" w:rsidR="00B05562" w:rsidRDefault="004C5F38">
            <w:pPr>
              <w:spacing w:line="276" w:lineRule="auto"/>
              <w:jc w:val="center"/>
              <w:rPr>
                <w:bCs/>
                <w:sz w:val="22"/>
              </w:rPr>
            </w:pPr>
            <w:r>
              <w:rPr>
                <w:bCs/>
                <w:sz w:val="22"/>
              </w:rPr>
              <w:t>其他情形</w:t>
            </w:r>
          </w:p>
        </w:tc>
        <w:tc>
          <w:tcPr>
            <w:tcW w:w="2831" w:type="dxa"/>
            <w:vAlign w:val="center"/>
          </w:tcPr>
          <w:p w14:paraId="0FD196BD" w14:textId="77777777" w:rsidR="00B05562" w:rsidRDefault="004C5F38">
            <w:pPr>
              <w:spacing w:line="276" w:lineRule="auto"/>
              <w:jc w:val="center"/>
              <w:rPr>
                <w:rFonts w:ascii="Cambria" w:eastAsia="仿宋" w:hAnsi="Cambria"/>
                <w:sz w:val="22"/>
              </w:rPr>
            </w:pPr>
            <w:r>
              <w:rPr>
                <w:rFonts w:ascii="Cambria" w:eastAsia="仿宋" w:hAnsi="Cambria"/>
                <w:sz w:val="22"/>
              </w:rPr>
              <w:t>1.20%/</w:t>
            </w:r>
            <w:r>
              <w:rPr>
                <w:rFonts w:ascii="宋体" w:hAnsi="宋体"/>
                <w:bCs/>
                <w:sz w:val="22"/>
              </w:rPr>
              <w:t>年</w:t>
            </w:r>
          </w:p>
        </w:tc>
      </w:tr>
      <w:tr w:rsidR="00B05562" w14:paraId="11FAA840" w14:textId="77777777">
        <w:trPr>
          <w:trHeight w:val="510"/>
          <w:jc w:val="center"/>
        </w:trPr>
        <w:tc>
          <w:tcPr>
            <w:tcW w:w="3827" w:type="dxa"/>
            <w:vAlign w:val="center"/>
          </w:tcPr>
          <w:p w14:paraId="1F63D8D3" w14:textId="77777777" w:rsidR="00B05562" w:rsidRDefault="004C5F38">
            <w:pPr>
              <w:spacing w:line="276" w:lineRule="auto"/>
              <w:jc w:val="center"/>
              <w:rPr>
                <w:bCs/>
                <w:sz w:val="22"/>
              </w:rPr>
            </w:pPr>
            <w:r>
              <w:rPr>
                <w:bCs/>
                <w:sz w:val="22"/>
              </w:rPr>
              <w:t>R</w:t>
            </w:r>
            <w:r>
              <w:rPr>
                <w:rFonts w:ascii="仿宋" w:eastAsia="仿宋" w:hAnsi="仿宋"/>
                <w:bCs/>
                <w:sz w:val="22"/>
              </w:rPr>
              <w:t>＞</w:t>
            </w:r>
            <w:r>
              <w:rPr>
                <w:bCs/>
                <w:sz w:val="22"/>
              </w:rPr>
              <w:t>R</w:t>
            </w:r>
            <w:r>
              <w:rPr>
                <w:rFonts w:ascii="Cambria" w:hAnsi="Cambria"/>
                <w:spacing w:val="-2"/>
                <w:sz w:val="22"/>
                <w:vertAlign w:val="subscript"/>
              </w:rPr>
              <w:t>b</w:t>
            </w:r>
            <w:r>
              <w:rPr>
                <w:bCs/>
                <w:sz w:val="22"/>
              </w:rPr>
              <w:t>+6%</w:t>
            </w:r>
            <w:r>
              <w:rPr>
                <w:bCs/>
                <w:sz w:val="22"/>
              </w:rPr>
              <w:t>，</w:t>
            </w:r>
            <w:r>
              <w:rPr>
                <w:bCs/>
                <w:sz w:val="22"/>
              </w:rPr>
              <w:t>R</w:t>
            </w:r>
            <w:r>
              <w:rPr>
                <w:rFonts w:ascii="仿宋" w:eastAsia="仿宋" w:hAnsi="仿宋"/>
                <w:bCs/>
                <w:sz w:val="22"/>
              </w:rPr>
              <w:t>＞</w:t>
            </w:r>
            <w:r>
              <w:rPr>
                <w:bCs/>
                <w:sz w:val="22"/>
              </w:rPr>
              <w:t>0</w:t>
            </w:r>
          </w:p>
        </w:tc>
        <w:tc>
          <w:tcPr>
            <w:tcW w:w="2831" w:type="dxa"/>
            <w:vAlign w:val="center"/>
          </w:tcPr>
          <w:p w14:paraId="5481C8A1" w14:textId="77777777" w:rsidR="00B05562" w:rsidRDefault="004C5F38">
            <w:pPr>
              <w:spacing w:line="276" w:lineRule="auto"/>
              <w:jc w:val="center"/>
              <w:rPr>
                <w:rFonts w:ascii="Cambria" w:eastAsia="仿宋" w:hAnsi="Cambria"/>
                <w:sz w:val="22"/>
              </w:rPr>
            </w:pPr>
            <w:r>
              <w:rPr>
                <w:rFonts w:ascii="Cambria" w:eastAsia="仿宋" w:hAnsi="Cambria"/>
                <w:sz w:val="22"/>
              </w:rPr>
              <w:t>1.50%/</w:t>
            </w:r>
            <w:r>
              <w:rPr>
                <w:rFonts w:ascii="宋体" w:hAnsi="宋体"/>
                <w:bCs/>
                <w:sz w:val="22"/>
              </w:rPr>
              <w:t>年</w:t>
            </w:r>
          </w:p>
        </w:tc>
      </w:tr>
    </w:tbl>
    <w:p w14:paraId="581557F8" w14:textId="77777777" w:rsidR="00B05562" w:rsidRDefault="004C5F38">
      <w:pPr>
        <w:spacing w:line="360" w:lineRule="auto"/>
        <w:rPr>
          <w:bCs/>
          <w:szCs w:val="21"/>
        </w:rPr>
      </w:pPr>
      <w:r>
        <w:rPr>
          <w:rFonts w:hint="eastAsia"/>
          <w:bCs/>
          <w:szCs w:val="21"/>
        </w:rPr>
        <w:t>注：①</w:t>
      </w:r>
      <w:r>
        <w:rPr>
          <w:bCs/>
          <w:szCs w:val="21"/>
        </w:rPr>
        <w:t>R</w:t>
      </w:r>
      <w:r>
        <w:rPr>
          <w:rFonts w:hint="eastAsia"/>
          <w:bCs/>
          <w:szCs w:val="21"/>
        </w:rPr>
        <w:t>为该笔基金份额</w:t>
      </w:r>
      <w:proofErr w:type="gramStart"/>
      <w:r>
        <w:rPr>
          <w:rFonts w:hint="eastAsia"/>
          <w:bCs/>
          <w:szCs w:val="21"/>
        </w:rPr>
        <w:t>的年化收益率</w:t>
      </w:r>
      <w:proofErr w:type="gramEnd"/>
      <w:r>
        <w:rPr>
          <w:rFonts w:hint="eastAsia"/>
          <w:bCs/>
          <w:szCs w:val="21"/>
        </w:rPr>
        <w:t>，</w:t>
      </w:r>
      <w:r>
        <w:rPr>
          <w:bCs/>
          <w:szCs w:val="21"/>
        </w:rPr>
        <w:t>R</w:t>
      </w:r>
      <w:r>
        <w:rPr>
          <w:bCs/>
          <w:szCs w:val="21"/>
          <w:vertAlign w:val="subscript"/>
        </w:rPr>
        <w:t>b</w:t>
      </w:r>
      <w:r>
        <w:rPr>
          <w:rFonts w:hint="eastAsia"/>
          <w:bCs/>
          <w:szCs w:val="21"/>
        </w:rPr>
        <w:t>为本基金业绩比较基准</w:t>
      </w:r>
      <w:proofErr w:type="gramStart"/>
      <w:r>
        <w:rPr>
          <w:rFonts w:hint="eastAsia"/>
          <w:bCs/>
          <w:szCs w:val="21"/>
        </w:rPr>
        <w:t>同期年化</w:t>
      </w:r>
      <w:proofErr w:type="gramEnd"/>
      <w:r>
        <w:rPr>
          <w:rFonts w:hint="eastAsia"/>
          <w:bCs/>
          <w:szCs w:val="21"/>
        </w:rPr>
        <w:t>收益率。</w:t>
      </w:r>
    </w:p>
    <w:p w14:paraId="45DCB230" w14:textId="77777777" w:rsidR="00B05562" w:rsidRDefault="004C5F38">
      <w:pPr>
        <w:spacing w:line="360" w:lineRule="auto"/>
        <w:rPr>
          <w:bCs/>
          <w:szCs w:val="21"/>
        </w:rPr>
      </w:pPr>
      <w:r>
        <w:rPr>
          <w:rFonts w:hint="eastAsia"/>
          <w:bCs/>
          <w:szCs w:val="21"/>
        </w:rPr>
        <w:t>②特别的，当持有期限达到一年及以上，</w:t>
      </w:r>
      <w:r>
        <w:rPr>
          <w:bCs/>
          <w:szCs w:val="21"/>
        </w:rPr>
        <w:t>R</w:t>
      </w:r>
      <w:r>
        <w:rPr>
          <w:rFonts w:hint="eastAsia"/>
          <w:bCs/>
          <w:szCs w:val="21"/>
        </w:rPr>
        <w:t>＞</w:t>
      </w:r>
      <w:r>
        <w:rPr>
          <w:bCs/>
          <w:szCs w:val="21"/>
        </w:rPr>
        <w:t>R</w:t>
      </w:r>
      <w:r>
        <w:rPr>
          <w:bCs/>
          <w:szCs w:val="21"/>
          <w:vertAlign w:val="subscript"/>
        </w:rPr>
        <w:t>b</w:t>
      </w:r>
      <w:r>
        <w:rPr>
          <w:bCs/>
          <w:szCs w:val="21"/>
        </w:rPr>
        <w:t>+6%</w:t>
      </w:r>
      <w:r>
        <w:rPr>
          <w:rFonts w:hint="eastAsia"/>
          <w:bCs/>
          <w:szCs w:val="21"/>
        </w:rPr>
        <w:t>且</w:t>
      </w:r>
      <w:r>
        <w:rPr>
          <w:bCs/>
          <w:szCs w:val="21"/>
        </w:rPr>
        <w:t>R</w:t>
      </w:r>
      <w:r>
        <w:rPr>
          <w:rFonts w:hint="eastAsia"/>
          <w:bCs/>
          <w:szCs w:val="21"/>
        </w:rPr>
        <w:t>＞</w:t>
      </w:r>
      <w:r>
        <w:rPr>
          <w:bCs/>
          <w:szCs w:val="21"/>
        </w:rPr>
        <w:t>0</w:t>
      </w:r>
      <w:r>
        <w:rPr>
          <w:rFonts w:hint="eastAsia"/>
          <w:bCs/>
          <w:szCs w:val="21"/>
        </w:rPr>
        <w:t>的情形下，</w:t>
      </w:r>
      <w:proofErr w:type="gramStart"/>
      <w:r>
        <w:rPr>
          <w:rFonts w:hint="eastAsia"/>
          <w:bCs/>
          <w:szCs w:val="21"/>
        </w:rPr>
        <w:t>若拟扣除</w:t>
      </w:r>
      <w:proofErr w:type="gramEnd"/>
      <w:r>
        <w:rPr>
          <w:rFonts w:hint="eastAsia"/>
          <w:bCs/>
          <w:szCs w:val="21"/>
        </w:rPr>
        <w:t>超额管理费后</w:t>
      </w:r>
      <w:proofErr w:type="gramStart"/>
      <w:r>
        <w:rPr>
          <w:rFonts w:hint="eastAsia"/>
          <w:bCs/>
          <w:szCs w:val="21"/>
        </w:rPr>
        <w:t>的年化收益率</w:t>
      </w:r>
      <w:proofErr w:type="gramEnd"/>
      <w:r>
        <w:rPr>
          <w:rFonts w:hint="eastAsia"/>
          <w:bCs/>
          <w:szCs w:val="21"/>
        </w:rPr>
        <w:t>小于等于</w:t>
      </w:r>
      <w:r>
        <w:rPr>
          <w:bCs/>
          <w:szCs w:val="21"/>
        </w:rPr>
        <w:t>R</w:t>
      </w:r>
      <w:r>
        <w:rPr>
          <w:bCs/>
          <w:szCs w:val="21"/>
          <w:vertAlign w:val="subscript"/>
        </w:rPr>
        <w:t>b</w:t>
      </w:r>
      <w:r>
        <w:rPr>
          <w:bCs/>
          <w:szCs w:val="21"/>
        </w:rPr>
        <w:t>+6%</w:t>
      </w:r>
      <w:r>
        <w:rPr>
          <w:rFonts w:hint="eastAsia"/>
          <w:bCs/>
          <w:szCs w:val="21"/>
        </w:rPr>
        <w:t>，或小于等于</w:t>
      </w:r>
      <w:r>
        <w:rPr>
          <w:bCs/>
          <w:szCs w:val="21"/>
        </w:rPr>
        <w:t>0</w:t>
      </w:r>
      <w:r>
        <w:rPr>
          <w:rFonts w:hint="eastAsia"/>
          <w:bCs/>
          <w:szCs w:val="21"/>
        </w:rPr>
        <w:t>时，仍按</w:t>
      </w:r>
      <w:r>
        <w:rPr>
          <w:bCs/>
          <w:szCs w:val="21"/>
        </w:rPr>
        <w:t>1.20%</w:t>
      </w:r>
      <w:r>
        <w:rPr>
          <w:rFonts w:hint="eastAsia"/>
          <w:bCs/>
          <w:szCs w:val="21"/>
        </w:rPr>
        <w:t>年费率收取该笔基金份额的管理费，以使得该笔基金份额在扣除超额管理费后</w:t>
      </w:r>
      <w:proofErr w:type="gramStart"/>
      <w:r>
        <w:rPr>
          <w:rFonts w:hint="eastAsia"/>
          <w:bCs/>
          <w:szCs w:val="21"/>
        </w:rPr>
        <w:t>的年化收益率</w:t>
      </w:r>
      <w:proofErr w:type="gramEnd"/>
      <w:r>
        <w:rPr>
          <w:rFonts w:hint="eastAsia"/>
          <w:bCs/>
          <w:szCs w:val="21"/>
        </w:rPr>
        <w:t>仍需满足本基金收取超额管理费的标准。</w:t>
      </w:r>
    </w:p>
    <w:p w14:paraId="3EACC742" w14:textId="77777777" w:rsidR="00B05562" w:rsidRDefault="00B05562">
      <w:pPr>
        <w:spacing w:line="360" w:lineRule="auto"/>
        <w:rPr>
          <w:bCs/>
          <w:sz w:val="24"/>
        </w:rPr>
      </w:pPr>
    </w:p>
    <w:p w14:paraId="0565176E" w14:textId="77777777" w:rsidR="00B05562" w:rsidRDefault="004C5F38">
      <w:pPr>
        <w:spacing w:line="360" w:lineRule="auto"/>
        <w:ind w:firstLineChars="200" w:firstLine="480"/>
        <w:rPr>
          <w:bCs/>
          <w:sz w:val="24"/>
        </w:rPr>
      </w:pPr>
      <w:r>
        <w:rPr>
          <w:rFonts w:hint="eastAsia"/>
          <w:bCs/>
          <w:sz w:val="24"/>
        </w:rPr>
        <w:t>具体而言，本基金的管理费包含固定管理费、或有管理费和超额管理费，按以下方式计算和确认。</w:t>
      </w:r>
    </w:p>
    <w:p w14:paraId="12409262"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（1）固定管理费</w:t>
      </w:r>
    </w:p>
    <w:p w14:paraId="523C6EA6"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固定管理费按前一日基金资产净值的0.60%年费率每日计提。固定管理费的计算方法如下：</w:t>
      </w:r>
    </w:p>
    <w:p w14:paraId="736DC738" w14:textId="77777777" w:rsidR="00B05562" w:rsidRDefault="004C5F38">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hint="eastAsia"/>
          <w:sz w:val="24"/>
        </w:rPr>
        <w:t>＝E×0.60%÷当年天数</w:t>
      </w:r>
    </w:p>
    <w:p w14:paraId="5580A548" w14:textId="77777777" w:rsidR="00B05562" w:rsidRDefault="004C5F38">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1</w:t>
      </w:r>
      <w:r>
        <w:rPr>
          <w:rFonts w:ascii="宋体" w:hAnsi="宋体"/>
          <w:sz w:val="24"/>
        </w:rPr>
        <w:t>为每日应计提的固定管理费</w:t>
      </w:r>
    </w:p>
    <w:p w14:paraId="43519166"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2B43D285" w14:textId="242AF4E4" w:rsidR="00B05562" w:rsidRDefault="004C5F38">
      <w:pPr>
        <w:adjustRightInd w:val="0"/>
        <w:snapToGrid w:val="0"/>
        <w:spacing w:line="360" w:lineRule="auto"/>
        <w:ind w:left="60" w:firstLine="420"/>
        <w:rPr>
          <w:rFonts w:ascii="宋体" w:hAnsi="宋体"/>
          <w:sz w:val="24"/>
        </w:rPr>
      </w:pPr>
      <w:r>
        <w:rPr>
          <w:rFonts w:ascii="宋体" w:hAnsi="宋体" w:hint="eastAsia"/>
          <w:sz w:val="24"/>
        </w:rPr>
        <w:t>固定管理费每日计提，逐日累计至每个月月末，按月支付。由基金管理人与基金托管人核对一致后，基金托管人按照与基金管理人协商一致的方式于次月首日起5个工作日内从基金财产中一次性支付至指定的账户路径。若遇法定节假日、休息日等，支付日期顺延。费用扣划后，基金管理人应进行核对，如发现数据不符，及时联系基金托管人协商解决。</w:t>
      </w:r>
    </w:p>
    <w:p w14:paraId="63EFF156"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lastRenderedPageBreak/>
        <w:t>（2）或有管理费</w:t>
      </w:r>
      <w:r>
        <w:rPr>
          <w:rFonts w:ascii="宋体" w:hAnsi="宋体"/>
          <w:sz w:val="24"/>
        </w:rPr>
        <w:t>和超额管理费</w:t>
      </w:r>
    </w:p>
    <w:p w14:paraId="070A52DA"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或有管理费按前一日基金资产净值的0.60%年费率每日计提。</w:t>
      </w:r>
      <w:r>
        <w:rPr>
          <w:rFonts w:hint="eastAsia"/>
          <w:bCs/>
          <w:sz w:val="24"/>
        </w:rPr>
        <w:t>或有管理费的</w:t>
      </w:r>
      <w:r>
        <w:rPr>
          <w:rFonts w:ascii="宋体" w:hAnsi="宋体" w:hint="eastAsia"/>
          <w:sz w:val="24"/>
        </w:rPr>
        <w:t>计算方法如下：</w:t>
      </w:r>
    </w:p>
    <w:p w14:paraId="32192A2C" w14:textId="77777777" w:rsidR="00B05562" w:rsidRDefault="004C5F38">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＝E×0.60%÷当年天数</w:t>
      </w:r>
    </w:p>
    <w:p w14:paraId="0A739D93" w14:textId="77777777" w:rsidR="00B05562" w:rsidRDefault="004C5F38">
      <w:pPr>
        <w:adjustRightInd w:val="0"/>
        <w:snapToGrid w:val="0"/>
        <w:spacing w:line="360" w:lineRule="auto"/>
        <w:ind w:left="60" w:firstLine="420"/>
        <w:rPr>
          <w:rFonts w:ascii="宋体" w:hAnsi="宋体"/>
          <w:sz w:val="24"/>
        </w:rPr>
      </w:pPr>
      <w:r>
        <w:rPr>
          <w:rFonts w:hint="eastAsia"/>
          <w:bCs/>
          <w:sz w:val="24"/>
        </w:rPr>
        <w:t>H</w:t>
      </w:r>
      <w:r>
        <w:rPr>
          <w:rFonts w:hint="eastAsia"/>
          <w:bCs/>
          <w:sz w:val="24"/>
          <w:vertAlign w:val="subscript"/>
        </w:rPr>
        <w:t>2</w:t>
      </w:r>
      <w:r>
        <w:rPr>
          <w:rFonts w:ascii="宋体" w:hAnsi="宋体" w:hint="eastAsia"/>
          <w:sz w:val="24"/>
        </w:rPr>
        <w:t>为每日应计提的或有管理费</w:t>
      </w:r>
    </w:p>
    <w:p w14:paraId="1070BDBD"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E为前一日的基金资产净值</w:t>
      </w:r>
    </w:p>
    <w:p w14:paraId="502BAB04" w14:textId="77777777" w:rsidR="00B05562" w:rsidRDefault="004C5F38">
      <w:pPr>
        <w:spacing w:line="360" w:lineRule="auto"/>
        <w:ind w:firstLineChars="200" w:firstLine="480"/>
        <w:rPr>
          <w:bCs/>
          <w:sz w:val="24"/>
        </w:rPr>
      </w:pPr>
      <w:r>
        <w:rPr>
          <w:rFonts w:hint="eastAsia"/>
          <w:bCs/>
          <w:sz w:val="24"/>
        </w:rPr>
        <w:t>投资者赎回、转出基金份额或基金合同终止的情形发生时，若该笔基金份额持有天数达到或超过</w:t>
      </w:r>
      <w:r>
        <w:rPr>
          <w:rFonts w:hint="eastAsia"/>
          <w:bCs/>
          <w:sz w:val="24"/>
        </w:rPr>
        <w:t>365</w:t>
      </w:r>
      <w:r>
        <w:rPr>
          <w:rFonts w:hint="eastAsia"/>
          <w:bCs/>
          <w:sz w:val="24"/>
        </w:rPr>
        <w:t>天，且该笔基金份额的持有收益率</w:t>
      </w:r>
      <w:r>
        <w:rPr>
          <w:rFonts w:hint="eastAsia"/>
          <w:bCs/>
          <w:sz w:val="24"/>
        </w:rPr>
        <w:t>R</w:t>
      </w:r>
      <w:r>
        <w:rPr>
          <w:rFonts w:hint="eastAsia"/>
          <w:bCs/>
          <w:sz w:val="24"/>
        </w:rPr>
        <w:t>符合下表“情形一”的收取情形，或有管理费为</w:t>
      </w:r>
      <w:r>
        <w:rPr>
          <w:rFonts w:hint="eastAsia"/>
          <w:bCs/>
          <w:sz w:val="24"/>
        </w:rPr>
        <w:t>0</w:t>
      </w:r>
      <w:r>
        <w:rPr>
          <w:rFonts w:hint="eastAsia"/>
          <w:bCs/>
          <w:sz w:val="24"/>
        </w:rPr>
        <w:t>，则该笔基金份额持有期内计提的或有管理费将全额随赎回款（或清算款）一并返还给投资者；在其他情形下，该笔基金份额持有期内计提的或有管理费应确认为应由管理人收取的管理费。</w:t>
      </w:r>
    </w:p>
    <w:p w14:paraId="364C8A80" w14:textId="77777777" w:rsidR="00B05562" w:rsidRDefault="004C5F38">
      <w:pPr>
        <w:spacing w:line="360" w:lineRule="auto"/>
        <w:ind w:firstLineChars="200" w:firstLine="480"/>
        <w:rPr>
          <w:bCs/>
          <w:sz w:val="24"/>
        </w:rPr>
      </w:pPr>
      <w:r>
        <w:rPr>
          <w:rFonts w:hint="eastAsia"/>
          <w:bCs/>
          <w:sz w:val="24"/>
        </w:rPr>
        <w:t>本基金每日预估计算并记录每笔基金份额的超额管理费，基金超额管理费的预估计算方法如下：</w:t>
      </w:r>
    </w:p>
    <w:p w14:paraId="316A265E" w14:textId="77777777" w:rsidR="00B05562" w:rsidRDefault="004C5F38">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w:t>
      </w:r>
      <w:r>
        <w:rPr>
          <w:rFonts w:hint="eastAsia"/>
          <w:bCs/>
          <w:sz w:val="24"/>
        </w:rPr>
        <w:t>E</w:t>
      </w:r>
      <w:r>
        <w:rPr>
          <w:rFonts w:hint="eastAsia"/>
          <w:bCs/>
          <w:sz w:val="24"/>
        </w:rPr>
        <w:t>×</w:t>
      </w:r>
      <w:r>
        <w:rPr>
          <w:rFonts w:hint="eastAsia"/>
          <w:bCs/>
          <w:sz w:val="24"/>
        </w:rPr>
        <w:t>0.30%</w:t>
      </w:r>
      <w:r>
        <w:rPr>
          <w:rFonts w:hint="eastAsia"/>
          <w:bCs/>
          <w:sz w:val="24"/>
        </w:rPr>
        <w:t>÷当年天数</w:t>
      </w:r>
    </w:p>
    <w:p w14:paraId="504EC422" w14:textId="77777777" w:rsidR="00B05562" w:rsidRDefault="004C5F38">
      <w:pPr>
        <w:spacing w:line="360" w:lineRule="auto"/>
        <w:ind w:firstLineChars="200" w:firstLine="480"/>
        <w:rPr>
          <w:bCs/>
          <w:sz w:val="24"/>
        </w:rPr>
      </w:pPr>
      <w:r>
        <w:rPr>
          <w:rFonts w:hint="eastAsia"/>
          <w:bCs/>
          <w:sz w:val="24"/>
        </w:rPr>
        <w:t>H</w:t>
      </w:r>
      <w:r>
        <w:rPr>
          <w:rFonts w:hint="eastAsia"/>
          <w:bCs/>
          <w:sz w:val="24"/>
          <w:vertAlign w:val="subscript"/>
        </w:rPr>
        <w:t>3</w:t>
      </w:r>
      <w:r>
        <w:rPr>
          <w:rFonts w:hint="eastAsia"/>
          <w:bCs/>
          <w:sz w:val="24"/>
        </w:rPr>
        <w:t>为每日预估计算的基金超额管理费</w:t>
      </w:r>
    </w:p>
    <w:p w14:paraId="78C719F9" w14:textId="77777777" w:rsidR="00B05562" w:rsidRDefault="004C5F38">
      <w:pPr>
        <w:spacing w:line="360" w:lineRule="auto"/>
        <w:ind w:firstLineChars="200" w:firstLine="480"/>
        <w:rPr>
          <w:sz w:val="24"/>
        </w:rPr>
      </w:pPr>
      <w:r>
        <w:rPr>
          <w:rFonts w:hint="eastAsia"/>
          <w:sz w:val="24"/>
        </w:rPr>
        <w:t>E</w:t>
      </w:r>
      <w:r>
        <w:rPr>
          <w:rFonts w:hint="eastAsia"/>
          <w:sz w:val="24"/>
        </w:rPr>
        <w:t>为前一日的基金资产净值</w:t>
      </w:r>
    </w:p>
    <w:p w14:paraId="093C6C8E" w14:textId="77777777" w:rsidR="00B05562" w:rsidRDefault="004C5F38">
      <w:pPr>
        <w:adjustRightInd w:val="0"/>
        <w:snapToGrid w:val="0"/>
        <w:spacing w:line="360" w:lineRule="auto"/>
        <w:ind w:left="60" w:firstLine="420"/>
        <w:rPr>
          <w:bCs/>
          <w:sz w:val="24"/>
        </w:rPr>
      </w:pPr>
      <w:r>
        <w:rPr>
          <w:rFonts w:hint="eastAsia"/>
          <w:bCs/>
          <w:sz w:val="24"/>
        </w:rPr>
        <w:t>每笔基金份额的超额管理费每日预估计算，但不从基金资产中实际计提，逐日累计。投资者赎回、转出基金份额或基金合同终止的情形发生时，当且仅当该笔基金份额持有天数达到或超过</w:t>
      </w:r>
      <w:r>
        <w:rPr>
          <w:rFonts w:hint="eastAsia"/>
          <w:bCs/>
          <w:sz w:val="24"/>
        </w:rPr>
        <w:t>365</w:t>
      </w:r>
      <w:r>
        <w:rPr>
          <w:rFonts w:hint="eastAsia"/>
          <w:bCs/>
          <w:sz w:val="24"/>
        </w:rPr>
        <w:t>天，且该笔基金份额</w:t>
      </w:r>
      <w:proofErr w:type="gramStart"/>
      <w:r>
        <w:rPr>
          <w:rFonts w:hint="eastAsia"/>
          <w:bCs/>
          <w:sz w:val="24"/>
        </w:rPr>
        <w:t>的年化收益率</w:t>
      </w:r>
      <w:proofErr w:type="gramEnd"/>
      <w:r>
        <w:rPr>
          <w:rFonts w:hint="eastAsia"/>
          <w:bCs/>
          <w:sz w:val="24"/>
        </w:rPr>
        <w:t>（</w:t>
      </w:r>
      <w:r>
        <w:rPr>
          <w:rFonts w:hint="eastAsia"/>
          <w:bCs/>
          <w:sz w:val="24"/>
        </w:rPr>
        <w:t>R</w:t>
      </w:r>
      <w:r>
        <w:rPr>
          <w:rFonts w:hint="eastAsia"/>
          <w:bCs/>
          <w:sz w:val="24"/>
        </w:rPr>
        <w:t>）符合下表“情形三”的收取情形，将从该笔基金份额的赎回款（或清算款）中扣除</w:t>
      </w:r>
      <w:r>
        <w:rPr>
          <w:rFonts w:hint="eastAsia"/>
          <w:bCs/>
          <w:sz w:val="24"/>
        </w:rPr>
        <w:t>0.30%</w:t>
      </w:r>
      <w:r>
        <w:rPr>
          <w:rFonts w:hint="eastAsia"/>
          <w:bCs/>
          <w:sz w:val="24"/>
        </w:rPr>
        <w:t>年费率的超额管理费，并随已计提的或有管理费一同确认为应由管理人收取的管理费。</w:t>
      </w:r>
    </w:p>
    <w:p w14:paraId="6E1D4A3E" w14:textId="77777777" w:rsidR="00B05562" w:rsidRDefault="004C5F38">
      <w:pPr>
        <w:spacing w:line="360" w:lineRule="auto"/>
        <w:ind w:firstLineChars="200" w:firstLine="480"/>
        <w:rPr>
          <w:bCs/>
          <w:sz w:val="24"/>
        </w:rPr>
      </w:pPr>
      <w:r>
        <w:rPr>
          <w:rFonts w:hint="eastAsia"/>
          <w:bCs/>
          <w:sz w:val="24"/>
        </w:rPr>
        <w:t>当投资者赎回、转出基金份额或基金合同终止的情形发生时，基金份额持有天数达到或超过</w:t>
      </w:r>
      <w:r>
        <w:rPr>
          <w:rFonts w:hint="eastAsia"/>
          <w:bCs/>
          <w:sz w:val="24"/>
        </w:rPr>
        <w:t>365</w:t>
      </w:r>
      <w:r>
        <w:rPr>
          <w:rFonts w:hint="eastAsia"/>
          <w:bCs/>
          <w:sz w:val="24"/>
        </w:rPr>
        <w:t>天，本基金根据以下三种情形确认</w:t>
      </w:r>
      <w:proofErr w:type="gramStart"/>
      <w:r>
        <w:rPr>
          <w:rFonts w:hint="eastAsia"/>
          <w:bCs/>
          <w:sz w:val="24"/>
        </w:rPr>
        <w:t>应实际</w:t>
      </w:r>
      <w:proofErr w:type="gramEnd"/>
      <w:r>
        <w:rPr>
          <w:rFonts w:hint="eastAsia"/>
          <w:bCs/>
          <w:sz w:val="24"/>
        </w:rPr>
        <w:t>收取的或有管理费和超额管理费：</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33"/>
        <w:gridCol w:w="1701"/>
        <w:gridCol w:w="1701"/>
      </w:tblGrid>
      <w:tr w:rsidR="00B05562" w14:paraId="256DEB37" w14:textId="77777777">
        <w:trPr>
          <w:trHeight w:val="510"/>
          <w:jc w:val="center"/>
        </w:trPr>
        <w:tc>
          <w:tcPr>
            <w:tcW w:w="1247" w:type="dxa"/>
            <w:vAlign w:val="center"/>
          </w:tcPr>
          <w:p w14:paraId="74B61160" w14:textId="77777777" w:rsidR="00B05562" w:rsidRDefault="004C5F38">
            <w:pPr>
              <w:adjustRightInd w:val="0"/>
              <w:snapToGrid w:val="0"/>
              <w:jc w:val="center"/>
              <w:rPr>
                <w:rFonts w:ascii="宋体" w:hAnsi="宋体"/>
                <w:b/>
                <w:bCs/>
                <w:sz w:val="22"/>
              </w:rPr>
            </w:pPr>
            <w:bookmarkStart w:id="102" w:name="_Hlk195865040"/>
            <w:r>
              <w:rPr>
                <w:rFonts w:ascii="宋体" w:hAnsi="宋体" w:hint="eastAsia"/>
                <w:b/>
                <w:bCs/>
                <w:sz w:val="22"/>
              </w:rPr>
              <w:t>收取情形</w:t>
            </w:r>
          </w:p>
        </w:tc>
        <w:tc>
          <w:tcPr>
            <w:tcW w:w="2933" w:type="dxa"/>
            <w:vAlign w:val="center"/>
          </w:tcPr>
          <w:p w14:paraId="07C57C9A" w14:textId="77777777" w:rsidR="00B05562" w:rsidRDefault="004C5F38">
            <w:pPr>
              <w:adjustRightInd w:val="0"/>
              <w:snapToGrid w:val="0"/>
              <w:jc w:val="center"/>
              <w:rPr>
                <w:rFonts w:ascii="宋体" w:hAnsi="宋体"/>
                <w:b/>
                <w:bCs/>
                <w:sz w:val="22"/>
              </w:rPr>
            </w:pPr>
            <w:proofErr w:type="gramStart"/>
            <w:r>
              <w:rPr>
                <w:rFonts w:ascii="宋体" w:hAnsi="宋体" w:hint="eastAsia"/>
                <w:b/>
                <w:bCs/>
                <w:sz w:val="22"/>
              </w:rPr>
              <w:t>年化收益率</w:t>
            </w:r>
            <w:proofErr w:type="gramEnd"/>
            <w:r>
              <w:rPr>
                <w:rFonts w:ascii="宋体" w:hAnsi="宋体" w:hint="eastAsia"/>
                <w:b/>
                <w:bCs/>
                <w:sz w:val="22"/>
              </w:rPr>
              <w:t>（</w:t>
            </w:r>
            <w:r>
              <w:rPr>
                <w:rFonts w:ascii="宋体" w:hAnsi="宋体"/>
                <w:b/>
                <w:bCs/>
                <w:sz w:val="22"/>
              </w:rPr>
              <w:t>R</w:t>
            </w:r>
            <w:r>
              <w:rPr>
                <w:rFonts w:ascii="宋体" w:hAnsi="宋体" w:hint="eastAsia"/>
                <w:b/>
                <w:bCs/>
                <w:sz w:val="22"/>
              </w:rPr>
              <w:t>）</w:t>
            </w:r>
          </w:p>
        </w:tc>
        <w:tc>
          <w:tcPr>
            <w:tcW w:w="1701" w:type="dxa"/>
            <w:vAlign w:val="center"/>
          </w:tcPr>
          <w:p w14:paraId="3E49C2A3" w14:textId="77777777" w:rsidR="00B05562" w:rsidRDefault="004C5F38">
            <w:pPr>
              <w:adjustRightInd w:val="0"/>
              <w:snapToGrid w:val="0"/>
              <w:jc w:val="center"/>
              <w:rPr>
                <w:rFonts w:ascii="宋体" w:hAnsi="宋体"/>
                <w:b/>
                <w:bCs/>
                <w:sz w:val="22"/>
              </w:rPr>
            </w:pPr>
            <w:r>
              <w:rPr>
                <w:rFonts w:ascii="宋体" w:hAnsi="宋体" w:hint="eastAsia"/>
                <w:b/>
                <w:bCs/>
                <w:sz w:val="22"/>
              </w:rPr>
              <w:t>或有管理费</w:t>
            </w:r>
          </w:p>
          <w:p w14:paraId="2EBCC4E0" w14:textId="77777777" w:rsidR="00B05562" w:rsidRDefault="004C5F38">
            <w:pPr>
              <w:adjustRightInd w:val="0"/>
              <w:snapToGrid w:val="0"/>
              <w:jc w:val="center"/>
              <w:rPr>
                <w:rFonts w:ascii="宋体" w:hAnsi="宋体"/>
                <w:b/>
                <w:bCs/>
                <w:sz w:val="22"/>
              </w:rPr>
            </w:pPr>
            <w:r>
              <w:rPr>
                <w:rFonts w:ascii="宋体" w:hAnsi="宋体" w:hint="eastAsia"/>
                <w:b/>
                <w:bCs/>
                <w:sz w:val="22"/>
              </w:rPr>
              <w:t>（年费率）</w:t>
            </w:r>
          </w:p>
        </w:tc>
        <w:tc>
          <w:tcPr>
            <w:tcW w:w="1701" w:type="dxa"/>
            <w:vAlign w:val="center"/>
          </w:tcPr>
          <w:p w14:paraId="1AD9A12A" w14:textId="77777777" w:rsidR="00B05562" w:rsidRDefault="004C5F38">
            <w:pPr>
              <w:adjustRightInd w:val="0"/>
              <w:snapToGrid w:val="0"/>
              <w:jc w:val="center"/>
              <w:rPr>
                <w:rFonts w:ascii="宋体" w:hAnsi="宋体"/>
                <w:b/>
                <w:bCs/>
                <w:sz w:val="22"/>
              </w:rPr>
            </w:pPr>
            <w:r>
              <w:rPr>
                <w:rFonts w:ascii="宋体" w:hAnsi="宋体" w:hint="eastAsia"/>
                <w:b/>
                <w:bCs/>
                <w:sz w:val="22"/>
              </w:rPr>
              <w:t>超额管理费</w:t>
            </w:r>
          </w:p>
          <w:p w14:paraId="2A088F4B" w14:textId="77777777" w:rsidR="00B05562" w:rsidRDefault="004C5F38">
            <w:pPr>
              <w:adjustRightInd w:val="0"/>
              <w:snapToGrid w:val="0"/>
              <w:jc w:val="center"/>
              <w:rPr>
                <w:rFonts w:ascii="宋体" w:hAnsi="宋体"/>
                <w:b/>
                <w:bCs/>
                <w:sz w:val="22"/>
              </w:rPr>
            </w:pPr>
            <w:r>
              <w:rPr>
                <w:rFonts w:ascii="宋体" w:hAnsi="宋体" w:hint="eastAsia"/>
                <w:b/>
                <w:bCs/>
                <w:sz w:val="22"/>
              </w:rPr>
              <w:t>（年费率）</w:t>
            </w:r>
          </w:p>
        </w:tc>
      </w:tr>
      <w:tr w:rsidR="00B05562" w14:paraId="4003C5EB" w14:textId="77777777">
        <w:trPr>
          <w:trHeight w:val="510"/>
          <w:jc w:val="center"/>
        </w:trPr>
        <w:tc>
          <w:tcPr>
            <w:tcW w:w="1247" w:type="dxa"/>
            <w:vAlign w:val="center"/>
          </w:tcPr>
          <w:p w14:paraId="04E574F3" w14:textId="77777777" w:rsidR="00B05562" w:rsidRDefault="004C5F38">
            <w:pPr>
              <w:adjustRightInd w:val="0"/>
              <w:snapToGrid w:val="0"/>
              <w:jc w:val="center"/>
              <w:rPr>
                <w:rFonts w:ascii="宋体" w:hAnsi="宋体"/>
                <w:sz w:val="22"/>
              </w:rPr>
            </w:pPr>
            <w:r>
              <w:rPr>
                <w:rFonts w:ascii="宋体" w:hAnsi="宋体" w:hint="eastAsia"/>
                <w:bCs/>
                <w:sz w:val="22"/>
              </w:rPr>
              <w:t>情形</w:t>
            </w:r>
            <w:proofErr w:type="gramStart"/>
            <w:r>
              <w:rPr>
                <w:rFonts w:ascii="宋体" w:hAnsi="宋体" w:hint="eastAsia"/>
                <w:sz w:val="22"/>
              </w:rPr>
              <w:t>一</w:t>
            </w:r>
            <w:proofErr w:type="gramEnd"/>
          </w:p>
        </w:tc>
        <w:tc>
          <w:tcPr>
            <w:tcW w:w="2933" w:type="dxa"/>
            <w:vAlign w:val="center"/>
          </w:tcPr>
          <w:p w14:paraId="71C44B31" w14:textId="77777777" w:rsidR="00B05562" w:rsidRDefault="004C5F38">
            <w:pPr>
              <w:adjustRightInd w:val="0"/>
              <w:snapToGrid w:val="0"/>
              <w:jc w:val="center"/>
              <w:rPr>
                <w:rFonts w:ascii="仿宋" w:eastAsia="仿宋" w:hAnsi="仿宋"/>
                <w:i/>
                <w:sz w:val="22"/>
              </w:rPr>
            </w:pPr>
            <w:r>
              <w:rPr>
                <w:rFonts w:ascii="Cambria Math" w:eastAsia="仿宋" w:hAnsi="Cambria Math"/>
                <w:sz w:val="22"/>
              </w:rPr>
              <w:t>R</w:t>
            </w:r>
            <w:r>
              <w:rPr>
                <w:rFonts w:ascii="仿宋" w:eastAsia="仿宋" w:hAnsi="仿宋" w:hint="eastAsia"/>
                <w:sz w:val="22"/>
              </w:rPr>
              <w:t>≤</w:t>
            </w:r>
            <w:r>
              <w:rPr>
                <w:rFonts w:ascii="Cambria Math" w:eastAsia="仿宋" w:hAnsi="Cambria Math"/>
                <w:sz w:val="22"/>
              </w:rPr>
              <w:t>R</w:t>
            </w:r>
            <w:r>
              <w:rPr>
                <w:rFonts w:ascii="Cambria Math" w:eastAsia="仿宋" w:hAnsi="Cambria Math"/>
                <w:sz w:val="22"/>
                <w:vertAlign w:val="subscript"/>
              </w:rPr>
              <w:t>b</w:t>
            </w:r>
            <w:r>
              <w:rPr>
                <w:rFonts w:ascii="Cambria Math" w:eastAsia="仿宋" w:hAnsi="Cambria Math" w:hint="eastAsia"/>
                <w:sz w:val="22"/>
              </w:rPr>
              <w:t>-3%</w:t>
            </w:r>
          </w:p>
        </w:tc>
        <w:tc>
          <w:tcPr>
            <w:tcW w:w="1701" w:type="dxa"/>
            <w:vAlign w:val="center"/>
          </w:tcPr>
          <w:p w14:paraId="12858A7E"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w:t>
            </w:r>
          </w:p>
        </w:tc>
        <w:tc>
          <w:tcPr>
            <w:tcW w:w="1701" w:type="dxa"/>
            <w:vAlign w:val="center"/>
          </w:tcPr>
          <w:p w14:paraId="281EC8A2"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w:t>
            </w:r>
          </w:p>
        </w:tc>
      </w:tr>
      <w:tr w:rsidR="00B05562" w14:paraId="4AC51154" w14:textId="77777777">
        <w:trPr>
          <w:trHeight w:val="510"/>
          <w:jc w:val="center"/>
        </w:trPr>
        <w:tc>
          <w:tcPr>
            <w:tcW w:w="1247" w:type="dxa"/>
            <w:vAlign w:val="center"/>
          </w:tcPr>
          <w:p w14:paraId="6BCCA4C1" w14:textId="77777777" w:rsidR="00B05562" w:rsidRDefault="004C5F38">
            <w:pPr>
              <w:adjustRightInd w:val="0"/>
              <w:snapToGrid w:val="0"/>
              <w:jc w:val="center"/>
              <w:rPr>
                <w:rFonts w:ascii="宋体" w:hAnsi="宋体"/>
                <w:sz w:val="22"/>
              </w:rPr>
            </w:pPr>
            <w:r>
              <w:rPr>
                <w:rFonts w:ascii="宋体" w:hAnsi="宋体" w:hint="eastAsia"/>
                <w:bCs/>
                <w:sz w:val="22"/>
              </w:rPr>
              <w:t>情形</w:t>
            </w:r>
            <w:r>
              <w:rPr>
                <w:rFonts w:ascii="宋体" w:hAnsi="宋体" w:hint="eastAsia"/>
                <w:sz w:val="22"/>
              </w:rPr>
              <w:t>二</w:t>
            </w:r>
          </w:p>
        </w:tc>
        <w:tc>
          <w:tcPr>
            <w:tcW w:w="2933" w:type="dxa"/>
            <w:vAlign w:val="center"/>
          </w:tcPr>
          <w:p w14:paraId="24D97EE5" w14:textId="77777777" w:rsidR="00B05562" w:rsidRDefault="004C5F38">
            <w:pPr>
              <w:adjustRightInd w:val="0"/>
              <w:snapToGrid w:val="0"/>
              <w:jc w:val="center"/>
              <w:rPr>
                <w:rFonts w:ascii="仿宋" w:eastAsia="仿宋" w:hAnsi="仿宋"/>
                <w:sz w:val="22"/>
              </w:rPr>
            </w:pPr>
            <w:r>
              <w:rPr>
                <w:rFonts w:ascii="宋体" w:hAnsi="宋体"/>
                <w:bCs/>
                <w:sz w:val="22"/>
              </w:rPr>
              <w:t>其他情形</w:t>
            </w:r>
          </w:p>
        </w:tc>
        <w:tc>
          <w:tcPr>
            <w:tcW w:w="1701" w:type="dxa"/>
            <w:vAlign w:val="center"/>
          </w:tcPr>
          <w:p w14:paraId="46E5D78E"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7A8B3D8C"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w:t>
            </w:r>
          </w:p>
        </w:tc>
      </w:tr>
      <w:tr w:rsidR="00B05562" w14:paraId="41FD98BA" w14:textId="77777777">
        <w:trPr>
          <w:trHeight w:val="510"/>
          <w:jc w:val="center"/>
        </w:trPr>
        <w:tc>
          <w:tcPr>
            <w:tcW w:w="1247" w:type="dxa"/>
            <w:vAlign w:val="center"/>
          </w:tcPr>
          <w:p w14:paraId="0536ABE5" w14:textId="77777777" w:rsidR="00B05562" w:rsidRDefault="004C5F38">
            <w:pPr>
              <w:adjustRightInd w:val="0"/>
              <w:snapToGrid w:val="0"/>
              <w:jc w:val="center"/>
              <w:rPr>
                <w:rFonts w:ascii="宋体" w:hAnsi="宋体"/>
                <w:sz w:val="22"/>
              </w:rPr>
            </w:pPr>
            <w:r>
              <w:rPr>
                <w:rFonts w:ascii="宋体" w:hAnsi="宋体" w:hint="eastAsia"/>
                <w:sz w:val="22"/>
              </w:rPr>
              <w:t>情形三</w:t>
            </w:r>
          </w:p>
        </w:tc>
        <w:tc>
          <w:tcPr>
            <w:tcW w:w="2933" w:type="dxa"/>
            <w:vAlign w:val="center"/>
          </w:tcPr>
          <w:p w14:paraId="1D6D24A5" w14:textId="77777777" w:rsidR="00B05562" w:rsidRDefault="004C5F38">
            <w:pPr>
              <w:adjustRightInd w:val="0"/>
              <w:snapToGrid w:val="0"/>
              <w:spacing w:line="276" w:lineRule="auto"/>
              <w:jc w:val="center"/>
              <w:rPr>
                <w:rFonts w:ascii="仿宋" w:eastAsia="仿宋" w:hAnsi="仿宋"/>
                <w:b/>
                <w:bCs/>
                <w:sz w:val="22"/>
              </w:rPr>
            </w:pPr>
            <w:r>
              <w:rPr>
                <w:bCs/>
                <w:sz w:val="22"/>
              </w:rPr>
              <w:t>R</w:t>
            </w:r>
            <w:r>
              <w:rPr>
                <w:rFonts w:ascii="仿宋" w:eastAsia="仿宋" w:hAnsi="仿宋" w:hint="eastAsia"/>
                <w:bCs/>
                <w:sz w:val="22"/>
              </w:rPr>
              <w:t>＞</w:t>
            </w:r>
            <w:r>
              <w:rPr>
                <w:bCs/>
                <w:sz w:val="22"/>
              </w:rPr>
              <w:t>R</w:t>
            </w:r>
            <w:r>
              <w:rPr>
                <w:rFonts w:ascii="等线 Light" w:hAnsi="等线 Light"/>
                <w:spacing w:val="-2"/>
                <w:sz w:val="22"/>
                <w:vertAlign w:val="subscript"/>
              </w:rPr>
              <w:t>b</w:t>
            </w:r>
            <w:r>
              <w:rPr>
                <w:bCs/>
                <w:sz w:val="22"/>
              </w:rPr>
              <w:t>+6%</w:t>
            </w:r>
            <w:r>
              <w:rPr>
                <w:bCs/>
                <w:sz w:val="22"/>
              </w:rPr>
              <w:t>，</w:t>
            </w:r>
            <w:r>
              <w:rPr>
                <w:bCs/>
                <w:sz w:val="22"/>
              </w:rPr>
              <w:t>R</w:t>
            </w:r>
            <w:r>
              <w:rPr>
                <w:rFonts w:ascii="仿宋" w:eastAsia="仿宋" w:hAnsi="仿宋" w:hint="eastAsia"/>
                <w:bCs/>
                <w:sz w:val="22"/>
              </w:rPr>
              <w:t>＞</w:t>
            </w:r>
            <w:r>
              <w:rPr>
                <w:bCs/>
                <w:sz w:val="22"/>
              </w:rPr>
              <w:t>0</w:t>
            </w:r>
          </w:p>
        </w:tc>
        <w:tc>
          <w:tcPr>
            <w:tcW w:w="1701" w:type="dxa"/>
            <w:vAlign w:val="center"/>
          </w:tcPr>
          <w:p w14:paraId="7F23871C"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0.60%</w:t>
            </w:r>
          </w:p>
        </w:tc>
        <w:tc>
          <w:tcPr>
            <w:tcW w:w="1701" w:type="dxa"/>
            <w:vAlign w:val="center"/>
          </w:tcPr>
          <w:p w14:paraId="11032DB8" w14:textId="77777777" w:rsidR="00B05562" w:rsidRDefault="004C5F38">
            <w:pPr>
              <w:adjustRightInd w:val="0"/>
              <w:snapToGrid w:val="0"/>
              <w:jc w:val="center"/>
              <w:rPr>
                <w:rFonts w:ascii="Cambria" w:eastAsia="仿宋" w:hAnsi="Cambria"/>
                <w:sz w:val="22"/>
              </w:rPr>
            </w:pPr>
            <w:r>
              <w:rPr>
                <w:rFonts w:ascii="Cambria" w:eastAsia="仿宋" w:hAnsi="Cambria" w:hint="eastAsia"/>
                <w:sz w:val="22"/>
              </w:rPr>
              <w:t>0.30%</w:t>
            </w:r>
          </w:p>
        </w:tc>
      </w:tr>
    </w:tbl>
    <w:bookmarkEnd w:id="102"/>
    <w:p w14:paraId="38D8E9D8" w14:textId="77777777" w:rsidR="00B05562" w:rsidRDefault="004C5F38">
      <w:pPr>
        <w:spacing w:line="360" w:lineRule="auto"/>
        <w:ind w:firstLineChars="200" w:firstLine="480"/>
        <w:rPr>
          <w:bCs/>
          <w:sz w:val="24"/>
        </w:rPr>
      </w:pPr>
      <w:r>
        <w:rPr>
          <w:rFonts w:hint="eastAsia"/>
          <w:bCs/>
          <w:sz w:val="24"/>
        </w:rPr>
        <w:lastRenderedPageBreak/>
        <w:t>对于“情形三”，</w:t>
      </w:r>
      <w:proofErr w:type="gramStart"/>
      <w:r>
        <w:rPr>
          <w:rFonts w:hint="eastAsia"/>
          <w:bCs/>
          <w:sz w:val="24"/>
        </w:rPr>
        <w:t>若拟扣除</w:t>
      </w:r>
      <w:proofErr w:type="gramEnd"/>
      <w:r>
        <w:rPr>
          <w:rFonts w:hint="eastAsia"/>
          <w:bCs/>
          <w:sz w:val="24"/>
        </w:rPr>
        <w:t>超额管理费后</w:t>
      </w:r>
      <w:proofErr w:type="gramStart"/>
      <w:r>
        <w:rPr>
          <w:rFonts w:hint="eastAsia"/>
          <w:bCs/>
          <w:sz w:val="24"/>
        </w:rPr>
        <w:t>的年化收益率</w:t>
      </w:r>
      <w:proofErr w:type="gramEnd"/>
      <w:r>
        <w:rPr>
          <w:rFonts w:hint="eastAsia"/>
          <w:bCs/>
          <w:sz w:val="24"/>
        </w:rPr>
        <w:t>小于等于</w:t>
      </w:r>
      <w:r>
        <w:rPr>
          <w:bCs/>
          <w:sz w:val="24"/>
        </w:rPr>
        <w:t>R</w:t>
      </w:r>
      <w:r>
        <w:rPr>
          <w:bCs/>
          <w:sz w:val="24"/>
          <w:vertAlign w:val="subscript"/>
        </w:rPr>
        <w:t>b</w:t>
      </w:r>
      <w:r>
        <w:rPr>
          <w:bCs/>
          <w:sz w:val="24"/>
        </w:rPr>
        <w:t>+6%</w:t>
      </w:r>
      <w:r>
        <w:rPr>
          <w:rFonts w:hint="eastAsia"/>
          <w:bCs/>
          <w:sz w:val="24"/>
        </w:rPr>
        <w:t>，或小于等于</w:t>
      </w:r>
      <w:r>
        <w:rPr>
          <w:rFonts w:hint="eastAsia"/>
          <w:bCs/>
          <w:sz w:val="24"/>
        </w:rPr>
        <w:t>0</w:t>
      </w:r>
      <w:r>
        <w:rPr>
          <w:rFonts w:hint="eastAsia"/>
          <w:bCs/>
          <w:sz w:val="24"/>
        </w:rPr>
        <w:t>时，仍按</w:t>
      </w:r>
      <w:r>
        <w:rPr>
          <w:rFonts w:hint="eastAsia"/>
          <w:bCs/>
          <w:sz w:val="24"/>
        </w:rPr>
        <w:t>1.20%</w:t>
      </w:r>
      <w:r>
        <w:rPr>
          <w:rFonts w:hint="eastAsia"/>
          <w:bCs/>
          <w:sz w:val="24"/>
        </w:rPr>
        <w:t>年费率收取该笔基金份额的管理费，以使得该笔基金份额在扣除超额管理费后</w:t>
      </w:r>
      <w:proofErr w:type="gramStart"/>
      <w:r>
        <w:rPr>
          <w:rFonts w:hint="eastAsia"/>
          <w:bCs/>
          <w:sz w:val="24"/>
        </w:rPr>
        <w:t>的年化收益率</w:t>
      </w:r>
      <w:proofErr w:type="gramEnd"/>
      <w:r>
        <w:rPr>
          <w:rFonts w:hint="eastAsia"/>
          <w:bCs/>
          <w:sz w:val="24"/>
        </w:rPr>
        <w:t>仍需满足本基金收取超额管理费的标准。</w:t>
      </w:r>
    </w:p>
    <w:p w14:paraId="748FC7E0" w14:textId="77777777" w:rsidR="00B05562" w:rsidRDefault="004C5F38">
      <w:pPr>
        <w:adjustRightInd w:val="0"/>
        <w:snapToGrid w:val="0"/>
        <w:spacing w:line="360" w:lineRule="auto"/>
        <w:ind w:firstLineChars="177" w:firstLine="425"/>
        <w:rPr>
          <w:rFonts w:ascii="宋体" w:hAnsi="宋体"/>
          <w:sz w:val="24"/>
        </w:rPr>
      </w:pPr>
      <w:r>
        <w:rPr>
          <w:rFonts w:ascii="宋体" w:hAnsi="宋体" w:hint="eastAsia"/>
          <w:sz w:val="24"/>
        </w:rPr>
        <w:t>每笔基金份额</w:t>
      </w:r>
      <w:proofErr w:type="gramStart"/>
      <w:r>
        <w:rPr>
          <w:rFonts w:ascii="宋体" w:hAnsi="宋体" w:hint="eastAsia"/>
          <w:sz w:val="24"/>
        </w:rPr>
        <w:t>的年化收益率</w:t>
      </w:r>
      <w:proofErr w:type="gramEnd"/>
      <w:r>
        <w:rPr>
          <w:rFonts w:ascii="宋体" w:hAnsi="宋体" w:hint="eastAsia"/>
          <w:sz w:val="24"/>
        </w:rPr>
        <w:t>（R）计算方法如下：</w:t>
      </w:r>
    </w:p>
    <w:p w14:paraId="4AF3D65C" w14:textId="77777777" w:rsidR="00B05562" w:rsidRDefault="004C5F38">
      <w:pPr>
        <w:adjustRightInd w:val="0"/>
        <w:snapToGrid w:val="0"/>
        <w:spacing w:line="360" w:lineRule="auto"/>
        <w:ind w:firstLineChars="129" w:firstLine="361"/>
        <w:jc w:val="center"/>
        <w:rPr>
          <w:rFonts w:ascii="等线" w:eastAsia="等线" w:hAnsi="等线"/>
          <w:sz w:val="24"/>
        </w:rPr>
      </w:pPr>
      <m:oMath>
        <m:r>
          <m:rPr>
            <m:sty m:val="p"/>
          </m:rPr>
          <w:rPr>
            <w:rFonts w:ascii="Cambria Math" w:hAnsi="Cambria Math"/>
            <w:sz w:val="28"/>
          </w:rPr>
          <m:t>R=</m:t>
        </m:r>
        <m:f>
          <m:fPr>
            <m:ctrlPr>
              <w:rPr>
                <w:rFonts w:ascii="Cambria Math" w:hAnsi="Cambria Math"/>
                <w:sz w:val="28"/>
              </w:rPr>
            </m:ctrlPr>
          </m:fPr>
          <m:num>
            <m:r>
              <w:rPr>
                <w:rFonts w:ascii="Cambria Math" w:hAnsi="Cambria Math" w:hint="eastAsia"/>
                <w:sz w:val="28"/>
              </w:rPr>
              <m:t>A</m:t>
            </m:r>
            <m:r>
              <w:rPr>
                <w:rFonts w:ascii="Cambria Math" w:hAnsi="Cambria Math"/>
                <w:sz w:val="28"/>
              </w:rPr>
              <m:t>-</m:t>
            </m:r>
            <m:r>
              <w:rPr>
                <w:rFonts w:ascii="Cambria Math" w:hAnsi="Cambria Math" w:hint="eastAsia"/>
                <w:sz w:val="28"/>
              </w:rPr>
              <m:t>B</m:t>
            </m:r>
          </m:num>
          <m:den>
            <m:r>
              <w:rPr>
                <w:rFonts w:ascii="Cambria Math" w:hAnsi="Cambria Math" w:hint="eastAsia"/>
                <w:sz w:val="28"/>
              </w:rPr>
              <m:t>C</m:t>
            </m:r>
          </m:den>
        </m:f>
      </m:oMath>
      <w:r>
        <w:rPr>
          <w:rFonts w:ascii="等线" w:eastAsia="等线" w:hAnsi="等线" w:hint="eastAsia"/>
          <w:sz w:val="32"/>
        </w:rPr>
        <w:t xml:space="preserve"> </w:t>
      </w:r>
      <w:r>
        <w:rPr>
          <w:rFonts w:ascii="等线" w:eastAsia="等线" w:hAnsi="等线"/>
          <w:sz w:val="24"/>
        </w:rPr>
        <w:t>×</w:t>
      </w:r>
      <m:oMath>
        <m:f>
          <m:fPr>
            <m:ctrlPr>
              <w:rPr>
                <w:rFonts w:ascii="Cambria Math" w:hAnsi="Cambria Math"/>
                <w:sz w:val="32"/>
              </w:rPr>
            </m:ctrlPr>
          </m:fPr>
          <m:num>
            <m:r>
              <w:rPr>
                <w:rFonts w:ascii="Cambria Math" w:hAnsi="Cambria Math"/>
                <w:sz w:val="32"/>
              </w:rPr>
              <m:t>365</m:t>
            </m:r>
          </m:num>
          <m:den>
            <m:r>
              <w:rPr>
                <w:rFonts w:ascii="Cambria Math" w:hAnsi="Cambria Math" w:hint="eastAsia"/>
                <w:sz w:val="32"/>
              </w:rPr>
              <m:t>D</m:t>
            </m:r>
          </m:den>
        </m:f>
      </m:oMath>
      <w:r>
        <w:rPr>
          <w:rFonts w:ascii="等线" w:eastAsia="等线" w:hAnsi="等线"/>
          <w:sz w:val="24"/>
        </w:rPr>
        <w:t xml:space="preserve"> × 100%</w:t>
      </w:r>
    </w:p>
    <w:p w14:paraId="0773562D" w14:textId="77777777" w:rsidR="00B05562" w:rsidRDefault="004C5F38">
      <w:pPr>
        <w:spacing w:line="360" w:lineRule="auto"/>
        <w:ind w:firstLineChars="200" w:firstLine="480"/>
        <w:rPr>
          <w:bCs/>
          <w:sz w:val="24"/>
        </w:rPr>
      </w:pPr>
      <w:r>
        <w:rPr>
          <w:rFonts w:hint="eastAsia"/>
          <w:bCs/>
          <w:sz w:val="24"/>
        </w:rPr>
        <w:t>拟扣除超额管理费后</w:t>
      </w:r>
      <w:proofErr w:type="gramStart"/>
      <w:r>
        <w:rPr>
          <w:rFonts w:hint="eastAsia"/>
          <w:bCs/>
          <w:sz w:val="24"/>
        </w:rPr>
        <w:t>的年化收益率</w:t>
      </w:r>
      <w:proofErr w:type="gramEnd"/>
      <w:r>
        <w:rPr>
          <w:rFonts w:hint="eastAsia"/>
          <w:bCs/>
          <w:sz w:val="24"/>
        </w:rPr>
        <w:t>（</w:t>
      </w:r>
      <w:r>
        <w:rPr>
          <w:rFonts w:hint="eastAsia"/>
          <w:bCs/>
          <w:sz w:val="24"/>
        </w:rPr>
        <w:t>R*</w:t>
      </w:r>
      <w:r>
        <w:rPr>
          <w:rFonts w:hint="eastAsia"/>
          <w:bCs/>
          <w:sz w:val="24"/>
        </w:rPr>
        <w:t>）的计算方法如下：</w:t>
      </w:r>
    </w:p>
    <w:p w14:paraId="6EBDAC26" w14:textId="77777777" w:rsidR="00B05562" w:rsidRDefault="00343AE1">
      <w:pPr>
        <w:spacing w:line="360" w:lineRule="auto"/>
        <w:ind w:firstLineChars="200" w:firstLine="480"/>
        <w:jc w:val="center"/>
        <w:rPr>
          <w:bCs/>
          <w:sz w:val="24"/>
        </w:rPr>
      </w:pPr>
      <m:oMathPara>
        <m:oMath>
          <m:sSup>
            <m:sSupPr>
              <m:ctrlPr>
                <w:rPr>
                  <w:rFonts w:ascii="Cambria Math" w:hAnsi="Cambria Math"/>
                  <w:bCs/>
                  <w:sz w:val="24"/>
                </w:rPr>
              </m:ctrlPr>
            </m:sSupPr>
            <m:e>
              <m:r>
                <w:rPr>
                  <w:rFonts w:ascii="Cambria Math" w:hAnsi="Cambria Math"/>
                  <w:sz w:val="24"/>
                </w:rPr>
                <m:t>R</m:t>
              </m:r>
            </m:e>
            <m:sup>
              <m:r>
                <w:rPr>
                  <w:rFonts w:ascii="Cambria Math" w:hAnsi="Cambria Math"/>
                  <w:sz w:val="24"/>
                </w:rPr>
                <m:t>*</m:t>
              </m:r>
            </m:sup>
          </m:sSup>
          <m:r>
            <w:rPr>
              <w:rFonts w:ascii="Cambria Math" w:hAnsi="Cambria Math"/>
              <w:sz w:val="24"/>
            </w:rPr>
            <m:t>=</m:t>
          </m:r>
          <m:f>
            <m:fPr>
              <m:ctrlPr>
                <w:rPr>
                  <w:rFonts w:ascii="Cambria Math" w:hAnsi="Cambria Math"/>
                  <w:bCs/>
                  <w:i/>
                  <w:sz w:val="24"/>
                </w:rPr>
              </m:ctrlPr>
            </m:fPr>
            <m:num>
              <m:r>
                <w:rPr>
                  <w:rFonts w:ascii="Cambria Math" w:hAnsi="Cambria Math"/>
                  <w:sz w:val="24"/>
                </w:rPr>
                <m:t>F</m:t>
              </m:r>
              <m:r>
                <w:rPr>
                  <w:rFonts w:ascii="Cambria Math" w:hAnsi="Cambria Math"/>
                  <w:sz w:val="24"/>
                </w:rPr>
                <m:t>×</m:t>
              </m:r>
              <m:d>
                <m:dPr>
                  <m:ctrlPr>
                    <w:rPr>
                      <w:rFonts w:ascii="Cambria Math" w:hAnsi="Cambria Math"/>
                      <w:bCs/>
                      <w:i/>
                      <w:sz w:val="24"/>
                    </w:rPr>
                  </m:ctrlPr>
                </m:dPr>
                <m:e>
                  <m:r>
                    <w:rPr>
                      <w:rFonts w:ascii="Cambria Math" w:hAnsi="Cambria Math"/>
                      <w:sz w:val="24"/>
                    </w:rPr>
                    <m:t>A</m:t>
                  </m:r>
                  <m:r>
                    <w:rPr>
                      <w:rFonts w:ascii="Cambria Math" w:hAnsi="Cambria Math"/>
                      <w:sz w:val="24"/>
                    </w:rPr>
                    <m:t>-</m:t>
                  </m:r>
                  <m:r>
                    <w:rPr>
                      <w:rFonts w:ascii="Cambria Math" w:hAnsi="Cambria Math"/>
                      <w:sz w:val="24"/>
                    </w:rPr>
                    <m:t>B</m:t>
                  </m:r>
                </m:e>
              </m:d>
              <m:r>
                <w:rPr>
                  <w:rFonts w:ascii="Cambria Math" w:hAnsi="Cambria Math"/>
                  <w:sz w:val="24"/>
                </w:rPr>
                <m:t>-</m:t>
              </m:r>
              <m:sSub>
                <m:sSubPr>
                  <m:ctrlPr>
                    <w:rPr>
                      <w:rFonts w:ascii="Cambria Math" w:hAnsi="Cambria Math"/>
                      <w:bCs/>
                      <w:i/>
                      <w:sz w:val="24"/>
                    </w:rPr>
                  </m:ctrlPr>
                </m:sSubPr>
                <m:e>
                  <m:r>
                    <w:rPr>
                      <w:rFonts w:ascii="Cambria Math" w:hAnsi="Cambria Math"/>
                      <w:sz w:val="24"/>
                    </w:rPr>
                    <m:t>M</m:t>
                  </m:r>
                </m:e>
                <m:sub>
                  <m:r>
                    <w:rPr>
                      <w:rFonts w:ascii="Cambria Math" w:hAnsi="Cambria Math"/>
                      <w:sz w:val="24"/>
                    </w:rPr>
                    <m:t>C</m:t>
                  </m:r>
                </m:sub>
              </m:sSub>
            </m:num>
            <m:den>
              <m:r>
                <w:rPr>
                  <w:rFonts w:ascii="Cambria Math" w:hAnsi="Cambria Math"/>
                  <w:sz w:val="24"/>
                </w:rPr>
                <m:t>F</m:t>
              </m:r>
              <m:r>
                <w:rPr>
                  <w:rFonts w:ascii="Cambria Math" w:hAnsi="Cambria Math"/>
                  <w:sz w:val="24"/>
                </w:rPr>
                <m:t>×</m:t>
              </m:r>
              <m:r>
                <w:rPr>
                  <w:rFonts w:ascii="Cambria Math" w:hAnsi="Cambria Math"/>
                  <w:sz w:val="24"/>
                </w:rPr>
                <m:t>C</m:t>
              </m:r>
            </m:den>
          </m:f>
          <m:r>
            <w:rPr>
              <w:rFonts w:ascii="Cambria Math" w:hAnsi="Cambria Math"/>
              <w:sz w:val="24"/>
            </w:rPr>
            <m:t>×</m:t>
          </m:r>
          <m:f>
            <m:fPr>
              <m:ctrlPr>
                <w:rPr>
                  <w:rFonts w:ascii="Cambria Math" w:hAnsi="Cambria Math"/>
                  <w:bCs/>
                  <w:i/>
                  <w:sz w:val="24"/>
                </w:rPr>
              </m:ctrlPr>
            </m:fPr>
            <m:num>
              <m:r>
                <w:rPr>
                  <w:rFonts w:ascii="Cambria Math" w:hAnsi="Cambria Math"/>
                  <w:sz w:val="24"/>
                </w:rPr>
                <m:t>365</m:t>
              </m:r>
            </m:num>
            <m:den>
              <m:r>
                <w:rPr>
                  <w:rFonts w:ascii="Cambria Math" w:hAnsi="Cambria Math"/>
                  <w:sz w:val="24"/>
                </w:rPr>
                <m:t>D</m:t>
              </m:r>
            </m:den>
          </m:f>
          <m:r>
            <w:rPr>
              <w:rFonts w:ascii="Cambria Math" w:eastAsia="仿宋" w:hAnsi="Cambria Math" w:cs="TimesNewRomanPSMT"/>
              <w:sz w:val="24"/>
            </w:rPr>
            <m:t>×100%</m:t>
          </m:r>
        </m:oMath>
      </m:oMathPara>
    </w:p>
    <w:p w14:paraId="7D8229A8"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R为该笔基金份额</w:t>
      </w:r>
      <w:proofErr w:type="gramStart"/>
      <w:r>
        <w:rPr>
          <w:rFonts w:ascii="宋体" w:hAnsi="宋体" w:hint="eastAsia"/>
          <w:sz w:val="24"/>
        </w:rPr>
        <w:t>的年化收益率</w:t>
      </w:r>
      <w:proofErr w:type="gramEnd"/>
      <w:r>
        <w:rPr>
          <w:rFonts w:ascii="宋体" w:hAnsi="宋体" w:hint="eastAsia"/>
          <w:sz w:val="24"/>
        </w:rPr>
        <w:t>；</w:t>
      </w:r>
      <w:r>
        <w:rPr>
          <w:bCs/>
          <w:sz w:val="24"/>
        </w:rPr>
        <w:t>R</w:t>
      </w:r>
      <w:r>
        <w:rPr>
          <w:bCs/>
          <w:sz w:val="24"/>
          <w:vertAlign w:val="subscript"/>
        </w:rPr>
        <w:t>b</w:t>
      </w:r>
      <w:r>
        <w:rPr>
          <w:rFonts w:ascii="宋体" w:hAnsi="宋体" w:hint="eastAsia"/>
          <w:sz w:val="24"/>
        </w:rPr>
        <w:t>为本基金业绩比较基准</w:t>
      </w:r>
      <w:proofErr w:type="gramStart"/>
      <w:r>
        <w:rPr>
          <w:rFonts w:ascii="宋体" w:hAnsi="宋体" w:hint="eastAsia"/>
          <w:sz w:val="24"/>
        </w:rPr>
        <w:t>同期年化</w:t>
      </w:r>
      <w:proofErr w:type="gramEnd"/>
      <w:r>
        <w:rPr>
          <w:rFonts w:ascii="宋体" w:hAnsi="宋体" w:hint="eastAsia"/>
          <w:sz w:val="24"/>
        </w:rPr>
        <w:t>收益率；</w:t>
      </w:r>
    </w:p>
    <w:p w14:paraId="05851BFA"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A为该笔基金份额赎回日、转换转出日或基金合同终止情形发生日的基金份额累计净值；</w:t>
      </w:r>
    </w:p>
    <w:p w14:paraId="5E8F08BB"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B为该笔基金份额认购/申购/转换转入日的基金份额累计净值，其中份额认购日的基金份额（累计）净值为1.00元；</w:t>
      </w:r>
    </w:p>
    <w:p w14:paraId="304ECFA4"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C为该笔基金份额认购/申购/转换转入日的基金份额净值，</w:t>
      </w:r>
      <w:r>
        <w:rPr>
          <w:rFonts w:hint="eastAsia"/>
          <w:bCs/>
          <w:sz w:val="24"/>
        </w:rPr>
        <w:t>其中</w:t>
      </w:r>
      <w:r>
        <w:rPr>
          <w:bCs/>
          <w:sz w:val="24"/>
        </w:rPr>
        <w:t>份额认购日的基金份额净值为</w:t>
      </w:r>
      <w:r>
        <w:rPr>
          <w:rFonts w:hint="eastAsia"/>
          <w:bCs/>
          <w:sz w:val="24"/>
        </w:rPr>
        <w:t>1</w:t>
      </w:r>
      <w:r>
        <w:rPr>
          <w:bCs/>
          <w:sz w:val="24"/>
        </w:rPr>
        <w:t>.00</w:t>
      </w:r>
      <w:r>
        <w:rPr>
          <w:bCs/>
          <w:sz w:val="24"/>
        </w:rPr>
        <w:t>元</w:t>
      </w:r>
      <w:r>
        <w:rPr>
          <w:rFonts w:ascii="宋体" w:hAnsi="宋体" w:hint="eastAsia"/>
          <w:sz w:val="24"/>
        </w:rPr>
        <w:t>；</w:t>
      </w:r>
    </w:p>
    <w:p w14:paraId="5A809B05" w14:textId="77777777" w:rsidR="00B05562" w:rsidRDefault="004C5F38">
      <w:pPr>
        <w:adjustRightInd w:val="0"/>
        <w:snapToGrid w:val="0"/>
        <w:spacing w:line="360" w:lineRule="auto"/>
        <w:ind w:left="60" w:firstLine="420"/>
        <w:rPr>
          <w:rFonts w:ascii="宋体" w:hAnsi="宋体"/>
          <w:sz w:val="24"/>
        </w:rPr>
      </w:pPr>
      <w:r>
        <w:rPr>
          <w:rFonts w:ascii="宋体" w:hAnsi="宋体" w:hint="eastAsia"/>
          <w:sz w:val="24"/>
        </w:rPr>
        <w:t>D为基金合同生效日（针对募集期内认购的基金份额）或该笔基金份额申购/转换转入确认日与赎回确认日、转换转出确认日或基金合同终止情形发生日下</w:t>
      </w:r>
      <w:proofErr w:type="gramStart"/>
      <w:r>
        <w:rPr>
          <w:rFonts w:ascii="宋体" w:hAnsi="宋体" w:hint="eastAsia"/>
          <w:sz w:val="24"/>
        </w:rPr>
        <w:t>一</w:t>
      </w:r>
      <w:proofErr w:type="gramEnd"/>
      <w:r>
        <w:rPr>
          <w:rFonts w:ascii="宋体" w:hAnsi="宋体" w:hint="eastAsia"/>
          <w:sz w:val="24"/>
        </w:rPr>
        <w:t>工作日的间隔天数；</w:t>
      </w:r>
    </w:p>
    <w:p w14:paraId="12C803DC" w14:textId="77777777" w:rsidR="00B05562" w:rsidRDefault="004C5F38">
      <w:pPr>
        <w:adjustRightInd w:val="0"/>
        <w:snapToGrid w:val="0"/>
        <w:spacing w:line="360" w:lineRule="auto"/>
        <w:ind w:left="60" w:firstLine="420"/>
        <w:rPr>
          <w:bCs/>
          <w:sz w:val="24"/>
        </w:rPr>
      </w:pPr>
      <w:r>
        <w:rPr>
          <w:rFonts w:hint="eastAsia"/>
          <w:bCs/>
          <w:sz w:val="24"/>
        </w:rPr>
        <w:t>F</w:t>
      </w:r>
      <w:r>
        <w:rPr>
          <w:rFonts w:hint="eastAsia"/>
          <w:bCs/>
          <w:sz w:val="24"/>
        </w:rPr>
        <w:t>为该笔基金份额的份额数；</w:t>
      </w:r>
    </w:p>
    <w:p w14:paraId="1E48B7C3" w14:textId="77777777" w:rsidR="00B05562" w:rsidRDefault="004C5F38">
      <w:pPr>
        <w:spacing w:line="360" w:lineRule="auto"/>
        <w:ind w:firstLineChars="200" w:firstLine="480"/>
        <w:rPr>
          <w:bCs/>
          <w:sz w:val="24"/>
        </w:rPr>
      </w:pPr>
      <w:r>
        <w:rPr>
          <w:rFonts w:ascii="Cambria Math" w:hAnsi="Cambria Math" w:cs="Cambria Math"/>
          <w:bCs/>
          <w:sz w:val="24"/>
        </w:rPr>
        <w:t>𝑀𝑐</w:t>
      </w:r>
      <w:r>
        <w:rPr>
          <w:rFonts w:hint="eastAsia"/>
          <w:bCs/>
          <w:sz w:val="24"/>
        </w:rPr>
        <w:t>为该笔基金份额持有期内累计计算的超额管理费。</w:t>
      </w:r>
    </w:p>
    <w:p w14:paraId="66BE6717" w14:textId="77777777" w:rsidR="00B05562" w:rsidRDefault="004C5F38">
      <w:pPr>
        <w:spacing w:line="360" w:lineRule="auto"/>
        <w:ind w:firstLineChars="200" w:firstLine="480"/>
        <w:rPr>
          <w:bCs/>
          <w:sz w:val="24"/>
        </w:rPr>
      </w:pPr>
      <w:r>
        <w:rPr>
          <w:rFonts w:hint="eastAsia"/>
          <w:bCs/>
          <w:sz w:val="24"/>
        </w:rPr>
        <w:t>对于已经确认为管理人收入的或有管理费，由基金管理人与基金托管人核对一致后，基金托管人按照与基金管理人协商一致的方式于次月首日起</w:t>
      </w:r>
      <w:r>
        <w:rPr>
          <w:rFonts w:hint="eastAsia"/>
          <w:bCs/>
          <w:sz w:val="24"/>
        </w:rPr>
        <w:t>5</w:t>
      </w:r>
      <w:r>
        <w:rPr>
          <w:rFonts w:hint="eastAsia"/>
          <w:bCs/>
          <w:sz w:val="24"/>
        </w:rPr>
        <w:t>个工作日内从基金财产中一次性支付至指定的账户路径。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3185C07D" w14:textId="77777777" w:rsidR="00B05562" w:rsidRDefault="004C5F38">
      <w:pPr>
        <w:spacing w:line="360" w:lineRule="auto"/>
        <w:ind w:firstLineChars="200" w:firstLine="480"/>
        <w:rPr>
          <w:bCs/>
          <w:sz w:val="24"/>
        </w:rPr>
      </w:pPr>
      <w:r>
        <w:rPr>
          <w:rFonts w:hint="eastAsia"/>
          <w:bCs/>
          <w:sz w:val="24"/>
        </w:rPr>
        <w:t>因涉及相关数据，基金管理人的或有管理费和超额管理费的计算和复核工作由基金管理人完成，相关信息以注册登记机构计算结果为准，基金托管人不承担复核责任。</w:t>
      </w:r>
    </w:p>
    <w:p w14:paraId="50A38136" w14:textId="77777777" w:rsidR="00B05562" w:rsidRDefault="004C5F38">
      <w:pPr>
        <w:adjustRightInd w:val="0"/>
        <w:snapToGrid w:val="0"/>
        <w:spacing w:line="360" w:lineRule="auto"/>
        <w:ind w:firstLineChars="200" w:firstLine="480"/>
        <w:rPr>
          <w:rFonts w:ascii="宋体" w:hAnsi="宋体" w:cs="Arial"/>
          <w:sz w:val="24"/>
        </w:rPr>
      </w:pPr>
      <w:r>
        <w:rPr>
          <w:rFonts w:hint="eastAsia"/>
          <w:bCs/>
          <w:sz w:val="24"/>
        </w:rPr>
        <w:lastRenderedPageBreak/>
        <w:t>在不违反法律法规、基金合同的约定的情况下，基金管理人可根据基金实际运作情况和市场环境变化，经履行适当程序后，对本基金的管理费（</w:t>
      </w:r>
      <w:proofErr w:type="gramStart"/>
      <w:r>
        <w:rPr>
          <w:rFonts w:hint="eastAsia"/>
          <w:bCs/>
          <w:sz w:val="24"/>
        </w:rPr>
        <w:t>含固定</w:t>
      </w:r>
      <w:proofErr w:type="gramEnd"/>
      <w:r>
        <w:rPr>
          <w:rFonts w:hint="eastAsia"/>
          <w:bCs/>
          <w:sz w:val="24"/>
        </w:rPr>
        <w:t>管理费、或有管理费和超额管理费）计提标准或收取方式进行调整。</w:t>
      </w:r>
    </w:p>
    <w:p w14:paraId="2BA0E2D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（二）基金托管费的计提比例和计提方法</w:t>
      </w:r>
    </w:p>
    <w:p w14:paraId="562B0D0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本基金的托管费按前一日基金资产净值的0.20%的年费率计提。托管费的计算方法如下：</w:t>
      </w:r>
    </w:p>
    <w:p w14:paraId="4C9E89F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H＝E×0.20%÷当年天数</w:t>
      </w:r>
    </w:p>
    <w:p w14:paraId="7920E30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H为每日应计提的基金托管费</w:t>
      </w:r>
    </w:p>
    <w:p w14:paraId="7DB2C39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E为前一日的基金资产净值</w:t>
      </w:r>
    </w:p>
    <w:p w14:paraId="4E0619F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(三）基金销售服务费</w:t>
      </w:r>
    </w:p>
    <w:p w14:paraId="5B1E4BA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 A类基金份额不收取销售服务费，C类基金份额的销售服务费按前一日C类基金份额资产净值的0.</w:t>
      </w:r>
      <w:r>
        <w:rPr>
          <w:rFonts w:ascii="宋体" w:hAnsi="宋体" w:cs="Arial"/>
          <w:sz w:val="24"/>
        </w:rPr>
        <w:t>4</w:t>
      </w:r>
      <w:r>
        <w:rPr>
          <w:rFonts w:ascii="宋体" w:hAnsi="宋体" w:cs="Arial" w:hint="eastAsia"/>
          <w:sz w:val="24"/>
        </w:rPr>
        <w:t>0%年费率计提。计算方法如下：</w:t>
      </w:r>
    </w:p>
    <w:p w14:paraId="34483CD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H＝E×0.</w:t>
      </w:r>
      <w:r>
        <w:rPr>
          <w:rFonts w:ascii="宋体" w:hAnsi="宋体" w:cs="Arial"/>
          <w:sz w:val="24"/>
        </w:rPr>
        <w:t>4</w:t>
      </w:r>
      <w:r>
        <w:rPr>
          <w:rFonts w:ascii="宋体" w:hAnsi="宋体" w:cs="Arial" w:hint="eastAsia"/>
          <w:sz w:val="24"/>
        </w:rPr>
        <w:t>0%÷当年天数</w:t>
      </w:r>
    </w:p>
    <w:p w14:paraId="5253371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H为C类基金份额每日应计提的销售服务费</w:t>
      </w:r>
    </w:p>
    <w:p w14:paraId="5D7604B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E为C类基金份额前一日基金资产净值</w:t>
      </w:r>
    </w:p>
    <w:p w14:paraId="139EB3C6"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证券账户开户费用、证券、期货、期权等交易费用、因投资港股通标的股票而产生的各项合理费用、基金财产划拨支付的银行费用、账户开户费用和账户维护费用、《基金合同》生效后的信息披露费用、基金份额持有人大会费用、《基金合同》生效后与基金有关的会计师费、律师费</w:t>
      </w:r>
      <w:r>
        <w:rPr>
          <w:rFonts w:asciiTheme="minorEastAsia" w:hAnsiTheme="minorEastAsia" w:cs="Arial" w:hint="eastAsia"/>
          <w:sz w:val="24"/>
        </w:rPr>
        <w:t>、诉讼费和仲裁费</w:t>
      </w:r>
      <w:r>
        <w:rPr>
          <w:rFonts w:ascii="宋体" w:hAnsi="宋体" w:cs="Arial" w:hint="eastAsia"/>
          <w:sz w:val="24"/>
        </w:rPr>
        <w:t>等根据有关法律法规、《基金合同》及相应协议的规定，列入当期基金费用。</w:t>
      </w:r>
    </w:p>
    <w:p w14:paraId="4A63729E"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（五）不列入基金费用的项目</w:t>
      </w:r>
    </w:p>
    <w:p w14:paraId="6431005F"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6E828B5"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（六）基金管理费、基金托管费和销售服务费的调整</w:t>
      </w:r>
    </w:p>
    <w:p w14:paraId="536E8CAE"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基金管理人和基金托管人经履行适当程序后可协商酌情降低基金管理费、基金托管费、销售服务费。基金管理人须按相关规定公告。</w:t>
      </w:r>
    </w:p>
    <w:p w14:paraId="5317E2C0"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（七）基金管理费、基金托管费、销售服务费的复核程序、支付方式和时间</w:t>
      </w:r>
    </w:p>
    <w:p w14:paraId="5662BD0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24FAE19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基金托管人对基金管理人计提的基金管理费、基金托管费、销售服务费等，根据本托管协议和《基金合同》的有关规定进行复核。</w:t>
      </w:r>
    </w:p>
    <w:p w14:paraId="47ACC66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34055C3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固定管理费每日计提，逐日累计至每个月月末，按月支付。由基金管理人与基金托管人核对一致后，基金托管人按照与基金管理人协商一致的方式于次月首日起5个工作日内从基金财产中一次性支付至指定的账户路径。若遇法定节假日、休息日等，支付日期顺延。费用扣划后，基金管理人应进行核对，如发现数据不符，及时联系基金托管人协商解决。</w:t>
      </w:r>
    </w:p>
    <w:p w14:paraId="2F8F540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对于已经确认为管理人收入的或有管理费，由基金管理人与基金托管人核对一致后，基金托管人按照与基金管理人协商一致的方式于次月首日起5个工作日内从基金财产中一次性支付至指定的账户路径。对于已经确认为管理人收入的超额管理费，基金托管人将按照与基金管理人双方协商一致的方式支付给基金管理人。若遇法定节假日、休息日或不可抗力致使无法按时支付的，支付日期顺延。费用扣划后，基金管理人应进行核对，如发现数据不符，及时联系基金托管人协商解决。</w:t>
      </w:r>
    </w:p>
    <w:p w14:paraId="4D5FD48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费每日计算，逐日累计至每月月末，按月支付，由基金管理人与基金托管人核对一致后，基金托管人按照与基金管理人协商一致的方式于次月首日起5个工作日内从基金财产中一次性支付至指定的账户路径。若遇法定节假日、公休日或不可抗力等，支付日期顺延。费用扣划后，基金管理人应进行核对，如发现数据不符，及时联系基金托管人协商解决。</w:t>
      </w:r>
    </w:p>
    <w:p w14:paraId="416080DD" w14:textId="77777777" w:rsidR="00B05562" w:rsidRDefault="004C5F38">
      <w:pPr>
        <w:adjustRightInd w:val="0"/>
        <w:snapToGrid w:val="0"/>
        <w:spacing w:line="360" w:lineRule="auto"/>
        <w:ind w:firstLineChars="200" w:firstLine="480"/>
        <w:rPr>
          <w:bCs/>
          <w:sz w:val="24"/>
        </w:rPr>
      </w:pPr>
      <w:r>
        <w:rPr>
          <w:rFonts w:hint="eastAsia"/>
          <w:bCs/>
          <w:sz w:val="24"/>
        </w:rPr>
        <w:t>销售服务费每日计提。</w:t>
      </w:r>
    </w:p>
    <w:p w14:paraId="2E3C6B63" w14:textId="77777777" w:rsidR="00B05562" w:rsidRDefault="004C5F38">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）直销机构：</w:t>
      </w:r>
    </w:p>
    <w:p w14:paraId="5EF08B48" w14:textId="77777777" w:rsidR="00B05562" w:rsidRDefault="004C5F38">
      <w:pPr>
        <w:adjustRightInd w:val="0"/>
        <w:snapToGrid w:val="0"/>
        <w:spacing w:line="360" w:lineRule="auto"/>
        <w:ind w:firstLineChars="200" w:firstLine="480"/>
        <w:rPr>
          <w:bCs/>
          <w:sz w:val="24"/>
        </w:rPr>
      </w:pPr>
      <w:r>
        <w:rPr>
          <w:rFonts w:hint="eastAsia"/>
          <w:bCs/>
          <w:sz w:val="24"/>
        </w:rPr>
        <w:t>对于投资者通过直销机构持有的</w:t>
      </w:r>
      <w:r>
        <w:rPr>
          <w:rFonts w:hint="eastAsia"/>
          <w:bCs/>
          <w:sz w:val="24"/>
        </w:rPr>
        <w:t>C</w:t>
      </w:r>
      <w:r>
        <w:rPr>
          <w:rFonts w:hint="eastAsia"/>
          <w:bCs/>
          <w:sz w:val="24"/>
        </w:rPr>
        <w:t>类基金份额计提的销售服务费，在投资者赎回</w:t>
      </w:r>
      <w:r>
        <w:rPr>
          <w:rFonts w:hint="eastAsia"/>
          <w:bCs/>
          <w:sz w:val="24"/>
        </w:rPr>
        <w:t>C</w:t>
      </w:r>
      <w:r>
        <w:rPr>
          <w:rFonts w:hint="eastAsia"/>
          <w:bCs/>
          <w:sz w:val="24"/>
        </w:rPr>
        <w:t>类基金份额或基金合同终止时，随赎回款（或清算款）一并返还给投资者。若遇法定节假日、公休日或不可抗力等，支付日期顺延。</w:t>
      </w:r>
    </w:p>
    <w:p w14:paraId="4D1C2C96" w14:textId="77777777" w:rsidR="00B05562" w:rsidRDefault="004C5F38">
      <w:pPr>
        <w:adjustRightInd w:val="0"/>
        <w:snapToGrid w:val="0"/>
        <w:spacing w:line="360" w:lineRule="auto"/>
        <w:ind w:firstLineChars="200" w:firstLine="480"/>
        <w:rPr>
          <w:bCs/>
          <w:sz w:val="24"/>
        </w:rPr>
      </w:pPr>
      <w:r>
        <w:rPr>
          <w:rFonts w:hint="eastAsia"/>
          <w:bCs/>
          <w:sz w:val="24"/>
        </w:rPr>
        <w:t>基金管理人基金销售子公司销售母公司所管理基金的，按照本条要求执行。</w:t>
      </w:r>
    </w:p>
    <w:p w14:paraId="4CE751C1" w14:textId="77777777" w:rsidR="00B05562" w:rsidRDefault="004C5F38">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）直销机构以外的其他销售机构：</w:t>
      </w:r>
    </w:p>
    <w:p w14:paraId="61383C18" w14:textId="77777777" w:rsidR="00B05562" w:rsidRDefault="004C5F38">
      <w:pPr>
        <w:adjustRightInd w:val="0"/>
        <w:snapToGrid w:val="0"/>
        <w:spacing w:line="360" w:lineRule="auto"/>
        <w:ind w:firstLineChars="200" w:firstLine="480"/>
        <w:rPr>
          <w:bCs/>
          <w:sz w:val="24"/>
        </w:rPr>
      </w:pPr>
      <w:r>
        <w:rPr>
          <w:rFonts w:hint="eastAsia"/>
          <w:bCs/>
          <w:sz w:val="24"/>
        </w:rPr>
        <w:t>对于投资者持续持有期限未超过一年（即</w:t>
      </w:r>
      <w:r>
        <w:rPr>
          <w:rFonts w:hint="eastAsia"/>
          <w:bCs/>
          <w:sz w:val="24"/>
        </w:rPr>
        <w:t>365</w:t>
      </w:r>
      <w:r>
        <w:rPr>
          <w:rFonts w:hint="eastAsia"/>
          <w:bCs/>
          <w:sz w:val="24"/>
        </w:rPr>
        <w:t>天，下同）的基金份额收取的销售服务费，逐日累计至每月月末，按月支付，基金托管人按照与基金管理人协商一致的方式于次月首日起</w:t>
      </w:r>
      <w:r>
        <w:rPr>
          <w:rFonts w:hint="eastAsia"/>
          <w:bCs/>
          <w:sz w:val="24"/>
        </w:rPr>
        <w:t>5</w:t>
      </w:r>
      <w:r>
        <w:rPr>
          <w:rFonts w:hint="eastAsia"/>
          <w:bCs/>
          <w:sz w:val="24"/>
        </w:rPr>
        <w:t>个工作日内从基金财产中一次性支付。若遇法定节假日、</w:t>
      </w:r>
      <w:r>
        <w:rPr>
          <w:rFonts w:hint="eastAsia"/>
          <w:bCs/>
          <w:sz w:val="24"/>
        </w:rPr>
        <w:lastRenderedPageBreak/>
        <w:t>公休日或不可抗力等，支付日期顺延。</w:t>
      </w:r>
    </w:p>
    <w:p w14:paraId="020BC4EF" w14:textId="77777777" w:rsidR="00B05562" w:rsidRDefault="004C5F38">
      <w:pPr>
        <w:adjustRightInd w:val="0"/>
        <w:snapToGrid w:val="0"/>
        <w:spacing w:line="360" w:lineRule="auto"/>
        <w:ind w:firstLineChars="200" w:firstLine="480"/>
        <w:rPr>
          <w:bCs/>
          <w:sz w:val="24"/>
        </w:rPr>
      </w:pPr>
      <w:r>
        <w:rPr>
          <w:rFonts w:hint="eastAsia"/>
          <w:bCs/>
          <w:sz w:val="24"/>
        </w:rPr>
        <w:t>对于持续持有期限超过一年的基金份额，持有超过一年后继续计提的销售服务费，在投资者赎回基金份额或基金合同终止时，随赎回款（或清算款）一并返还给投资者。若遇法定节假日、公休日或不可抗力等，支付日期顺延。</w:t>
      </w:r>
    </w:p>
    <w:p w14:paraId="4A443CE0" w14:textId="77777777" w:rsidR="00B05562" w:rsidRDefault="004C5F38">
      <w:pPr>
        <w:adjustRightInd w:val="0"/>
        <w:snapToGrid w:val="0"/>
        <w:spacing w:line="360" w:lineRule="auto"/>
        <w:ind w:firstLineChars="200" w:firstLine="480"/>
        <w:rPr>
          <w:rFonts w:ascii="宋体" w:hAnsi="宋体" w:cs="Arial"/>
          <w:sz w:val="24"/>
        </w:rPr>
      </w:pPr>
      <w:r>
        <w:rPr>
          <w:rFonts w:hint="eastAsia"/>
          <w:bCs/>
          <w:sz w:val="24"/>
        </w:rPr>
        <w:t>因涉及相关数据，基金管理人及代销机构的销售服务费的计算和复核工作由基金管理人完成，相关信息以注册登记机构计算结果为准，基金托管人不承担复核责任。</w:t>
      </w:r>
    </w:p>
    <w:p w14:paraId="550EAF7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在首期支付基金管理费、销售服务费前，基金管理人应向托管人出具正式函件指定基金管理费、销售服务费的收款账户。基金管理人如需要</w:t>
      </w:r>
      <w:proofErr w:type="gramStart"/>
      <w:r>
        <w:rPr>
          <w:rFonts w:ascii="宋体" w:hAnsi="宋体" w:cs="Arial" w:hint="eastAsia"/>
          <w:sz w:val="24"/>
        </w:rPr>
        <w:t>变更此</w:t>
      </w:r>
      <w:proofErr w:type="gramEnd"/>
      <w:r>
        <w:rPr>
          <w:rFonts w:ascii="宋体" w:hAnsi="宋体" w:cs="Arial" w:hint="eastAsia"/>
          <w:sz w:val="24"/>
        </w:rPr>
        <w:t>账户，应提前5个工作日向托管人出具书面的收款账户变更通知。</w:t>
      </w:r>
    </w:p>
    <w:p w14:paraId="2F6F5F1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（八）违规处理方式</w:t>
      </w:r>
    </w:p>
    <w:p w14:paraId="5EA0124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DE92F1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（九）实施</w:t>
      </w:r>
      <w:proofErr w:type="gramStart"/>
      <w:r>
        <w:rPr>
          <w:rFonts w:ascii="宋体" w:hAnsi="宋体" w:cs="Arial" w:hint="eastAsia"/>
          <w:sz w:val="24"/>
        </w:rPr>
        <w:t>侧袋机制</w:t>
      </w:r>
      <w:proofErr w:type="gramEnd"/>
      <w:r>
        <w:rPr>
          <w:rFonts w:ascii="宋体" w:hAnsi="宋体" w:cs="Arial" w:hint="eastAsia"/>
          <w:sz w:val="24"/>
        </w:rPr>
        <w:t>期间的基金费用</w:t>
      </w:r>
    </w:p>
    <w:p w14:paraId="35C0594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w:t>
      </w:r>
      <w:proofErr w:type="gramStart"/>
      <w:r>
        <w:rPr>
          <w:rFonts w:ascii="宋体" w:hAnsi="宋体" w:cs="Arial" w:hint="eastAsia"/>
          <w:sz w:val="24"/>
        </w:rPr>
        <w:t>侧袋机制</w:t>
      </w:r>
      <w:proofErr w:type="gramEnd"/>
      <w:r>
        <w:rPr>
          <w:rFonts w:ascii="宋体" w:hAnsi="宋体" w:cs="Arial" w:hint="eastAsia"/>
          <w:sz w:val="24"/>
        </w:rPr>
        <w:t>的，</w:t>
      </w:r>
      <w:proofErr w:type="gramStart"/>
      <w:r>
        <w:rPr>
          <w:rFonts w:ascii="宋体" w:hAnsi="宋体" w:cs="Arial" w:hint="eastAsia"/>
          <w:sz w:val="24"/>
        </w:rPr>
        <w:t>与侧袋账户</w:t>
      </w:r>
      <w:proofErr w:type="gramEnd"/>
      <w:r>
        <w:rPr>
          <w:rFonts w:ascii="宋体" w:hAnsi="宋体" w:cs="Arial" w:hint="eastAsia"/>
          <w:sz w:val="24"/>
        </w:rPr>
        <w:t>有关的费用可以</w:t>
      </w:r>
      <w:proofErr w:type="gramStart"/>
      <w:r>
        <w:rPr>
          <w:rFonts w:ascii="宋体" w:hAnsi="宋体" w:cs="Arial" w:hint="eastAsia"/>
          <w:sz w:val="24"/>
        </w:rPr>
        <w:t>从侧袋账户</w:t>
      </w:r>
      <w:proofErr w:type="gramEnd"/>
      <w:r>
        <w:rPr>
          <w:rFonts w:ascii="宋体" w:hAnsi="宋体" w:cs="Arial" w:hint="eastAsia"/>
          <w:sz w:val="24"/>
        </w:rPr>
        <w:t>中列支，但应</w:t>
      </w:r>
      <w:proofErr w:type="gramStart"/>
      <w:r>
        <w:rPr>
          <w:rFonts w:ascii="宋体" w:hAnsi="宋体" w:cs="Arial" w:hint="eastAsia"/>
          <w:sz w:val="24"/>
        </w:rPr>
        <w:t>待侧袋</w:t>
      </w:r>
      <w:proofErr w:type="gramEnd"/>
      <w:r>
        <w:rPr>
          <w:rFonts w:ascii="宋体" w:hAnsi="宋体" w:cs="Arial" w:hint="eastAsia"/>
          <w:sz w:val="24"/>
        </w:rPr>
        <w:t>账户资产变现后方可列支，有关费用可酌情收取或减免，但不得收取基金管理费</w:t>
      </w:r>
      <w:r>
        <w:rPr>
          <w:rFonts w:hint="eastAsia"/>
          <w:bCs/>
          <w:sz w:val="24"/>
        </w:rPr>
        <w:t>（包含固定管理费、或有管理费和超额管理费）</w:t>
      </w:r>
      <w:r>
        <w:rPr>
          <w:rFonts w:ascii="宋体" w:hAnsi="宋体" w:cs="Arial" w:hint="eastAsia"/>
          <w:sz w:val="24"/>
        </w:rPr>
        <w:t>，详见招募说明书的规定。</w:t>
      </w:r>
    </w:p>
    <w:p w14:paraId="2F2DBD0E" w14:textId="77777777" w:rsidR="00B05562" w:rsidRDefault="00B05562">
      <w:pPr>
        <w:adjustRightInd w:val="0"/>
        <w:snapToGrid w:val="0"/>
        <w:spacing w:line="360" w:lineRule="auto"/>
        <w:rPr>
          <w:rFonts w:ascii="宋体" w:hAnsi="宋体" w:cs="Arial"/>
          <w:sz w:val="24"/>
        </w:rPr>
      </w:pPr>
    </w:p>
    <w:p w14:paraId="08BA87C6" w14:textId="77777777" w:rsidR="00B05562" w:rsidRDefault="004C5F38">
      <w:pPr>
        <w:pStyle w:val="2"/>
        <w:spacing w:line="360" w:lineRule="auto"/>
        <w:jc w:val="center"/>
        <w:rPr>
          <w:rFonts w:ascii="宋体" w:eastAsia="宋体" w:hAnsi="宋体"/>
          <w:sz w:val="30"/>
        </w:rPr>
      </w:pPr>
      <w:bookmarkStart w:id="103" w:name="_Toc124325896"/>
      <w:r>
        <w:rPr>
          <w:rFonts w:ascii="宋体" w:eastAsia="宋体" w:hAnsi="宋体" w:hint="eastAsia"/>
          <w:sz w:val="30"/>
        </w:rPr>
        <w:t>十二、基金份额持有人名册的保管</w:t>
      </w:r>
      <w:bookmarkEnd w:id="103"/>
    </w:p>
    <w:p w14:paraId="76F7678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0C4CAE5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74CA28AF" w14:textId="77777777" w:rsidR="00B05562" w:rsidRDefault="00B05562">
      <w:pPr>
        <w:adjustRightInd w:val="0"/>
        <w:snapToGrid w:val="0"/>
        <w:spacing w:line="360" w:lineRule="auto"/>
        <w:rPr>
          <w:rFonts w:ascii="宋体" w:hAnsi="宋体" w:cs="Arial"/>
          <w:sz w:val="24"/>
        </w:rPr>
      </w:pPr>
    </w:p>
    <w:p w14:paraId="0A87A7EE" w14:textId="77777777" w:rsidR="00B05562" w:rsidRDefault="004C5F38">
      <w:pPr>
        <w:pStyle w:val="2"/>
        <w:spacing w:line="360" w:lineRule="auto"/>
        <w:jc w:val="center"/>
        <w:rPr>
          <w:rFonts w:ascii="宋体" w:eastAsia="宋体" w:hAnsi="宋体"/>
          <w:sz w:val="30"/>
        </w:rPr>
      </w:pPr>
      <w:bookmarkStart w:id="104" w:name="_Toc124325897"/>
      <w:r>
        <w:rPr>
          <w:rFonts w:ascii="宋体" w:eastAsia="宋体" w:hAnsi="宋体" w:hint="eastAsia"/>
          <w:sz w:val="30"/>
        </w:rPr>
        <w:t>十三、基金有关文件档案的保存</w:t>
      </w:r>
      <w:bookmarkEnd w:id="104"/>
    </w:p>
    <w:p w14:paraId="11420DBC"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2E15A89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0FF13A51"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3456F54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070C024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72BF3534"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2C68F192" w14:textId="77777777" w:rsidR="00B05562" w:rsidRDefault="004C5F38">
      <w:pPr>
        <w:adjustRightInd w:val="0"/>
        <w:snapToGrid w:val="0"/>
        <w:spacing w:line="360" w:lineRule="auto"/>
        <w:ind w:firstLineChars="200" w:firstLine="480"/>
        <w:rPr>
          <w:rFonts w:ascii="宋体" w:hAnsi="宋体"/>
          <w:b/>
          <w:bCs/>
          <w:sz w:val="30"/>
          <w:szCs w:val="30"/>
        </w:rPr>
      </w:pPr>
      <w:proofErr w:type="gramStart"/>
      <w:r>
        <w:rPr>
          <w:rFonts w:ascii="宋体" w:hAnsi="宋体" w:cs="Arial" w:hint="eastAsia"/>
          <w:sz w:val="24"/>
        </w:rPr>
        <w:t>若基金</w:t>
      </w:r>
      <w:proofErr w:type="gramEnd"/>
      <w:r>
        <w:rPr>
          <w:rFonts w:ascii="宋体" w:hAnsi="宋体" w:cs="Arial" w:hint="eastAsia"/>
          <w:sz w:val="24"/>
        </w:rPr>
        <w:t>管理人/基金托管人发生变更，未变更的一方有义务协助变更后的接任人接收相应文件。</w:t>
      </w:r>
    </w:p>
    <w:p w14:paraId="5108343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w:t>
      </w:r>
      <w:r>
        <w:rPr>
          <w:rFonts w:ascii="宋体" w:hAnsi="宋体" w:hint="eastAsia"/>
          <w:color w:val="000000"/>
        </w:rPr>
        <w:t>不低于</w:t>
      </w:r>
      <w:r>
        <w:rPr>
          <w:rFonts w:ascii="宋体" w:hAnsi="宋体" w:hint="eastAsia"/>
          <w:color w:val="000000"/>
          <w:szCs w:val="21"/>
        </w:rPr>
        <w:t>法律法规规定的最低期限</w:t>
      </w:r>
      <w:r>
        <w:rPr>
          <w:rFonts w:ascii="宋体" w:hAnsi="宋体" w:cs="Arial" w:hint="eastAsia"/>
          <w:sz w:val="24"/>
        </w:rPr>
        <w:t>。</w:t>
      </w:r>
    </w:p>
    <w:p w14:paraId="42C9364B" w14:textId="77777777" w:rsidR="00B05562" w:rsidRDefault="00B05562">
      <w:pPr>
        <w:adjustRightInd w:val="0"/>
        <w:snapToGrid w:val="0"/>
        <w:spacing w:line="360" w:lineRule="auto"/>
        <w:rPr>
          <w:rFonts w:ascii="宋体" w:hAnsi="宋体"/>
          <w:sz w:val="30"/>
          <w:szCs w:val="30"/>
        </w:rPr>
      </w:pPr>
    </w:p>
    <w:p w14:paraId="3C34BA2E" w14:textId="77777777" w:rsidR="00B05562" w:rsidRDefault="004C5F38">
      <w:pPr>
        <w:pStyle w:val="2"/>
        <w:spacing w:line="360" w:lineRule="auto"/>
        <w:jc w:val="center"/>
        <w:rPr>
          <w:rFonts w:ascii="宋体" w:eastAsia="宋体" w:hAnsi="宋体"/>
          <w:sz w:val="30"/>
        </w:rPr>
      </w:pPr>
      <w:bookmarkStart w:id="105" w:name="_Toc124325898"/>
      <w:r>
        <w:rPr>
          <w:rFonts w:ascii="宋体" w:eastAsia="宋体" w:hAnsi="宋体" w:hint="eastAsia"/>
          <w:sz w:val="30"/>
        </w:rPr>
        <w:t>十四、基金管理人和基金托管人的更换</w:t>
      </w:r>
      <w:bookmarkEnd w:id="105"/>
    </w:p>
    <w:p w14:paraId="4DD755D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590619B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5A1542D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7CB134B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3541880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2E0BA20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F5480B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37DB154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2.基金管理人的更换程序</w:t>
      </w:r>
    </w:p>
    <w:p w14:paraId="6ACCC12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4C1AC60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3A2B60F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2D34CC7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w:t>
      </w:r>
      <w:proofErr w:type="gramStart"/>
      <w:r>
        <w:rPr>
          <w:rFonts w:ascii="宋体" w:hAnsi="宋体" w:cs="Arial" w:hint="eastAsia"/>
          <w:sz w:val="24"/>
        </w:rPr>
        <w:t>新任基金</w:t>
      </w:r>
      <w:proofErr w:type="gramEnd"/>
      <w:r>
        <w:rPr>
          <w:rFonts w:ascii="宋体" w:hAnsi="宋体" w:cs="Arial" w:hint="eastAsia"/>
          <w:sz w:val="24"/>
        </w:rPr>
        <w:t>管理人产生之前，由中国证监会指定临时基金管理人；</w:t>
      </w:r>
    </w:p>
    <w:p w14:paraId="5D93A83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(4)备案：基金份额持有人大会选任基金管理人的决议须报中国证监会备案；</w:t>
      </w:r>
    </w:p>
    <w:p w14:paraId="04A8794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(5)公告：基金管理人更换后，由基金托管人在更换基金管理人的基金份额持有人大会决议生效后2日内在规定媒介公告；</w:t>
      </w:r>
    </w:p>
    <w:p w14:paraId="4E408C7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w:t>
      </w:r>
      <w:proofErr w:type="gramStart"/>
      <w:r>
        <w:rPr>
          <w:rFonts w:ascii="宋体" w:hAnsi="宋体" w:cs="Arial" w:hint="eastAsia"/>
          <w:sz w:val="24"/>
        </w:rPr>
        <w:t>新任基金</w:t>
      </w:r>
      <w:proofErr w:type="gramEnd"/>
      <w:r>
        <w:rPr>
          <w:rFonts w:ascii="宋体" w:hAnsi="宋体" w:cs="Arial" w:hint="eastAsia"/>
          <w:sz w:val="24"/>
        </w:rPr>
        <w:t>管理人办理基金管理业务的移交手续，临时基金管理人或</w:t>
      </w:r>
      <w:proofErr w:type="gramStart"/>
      <w:r>
        <w:rPr>
          <w:rFonts w:ascii="宋体" w:hAnsi="宋体" w:cs="Arial" w:hint="eastAsia"/>
          <w:sz w:val="24"/>
        </w:rPr>
        <w:t>新任基金</w:t>
      </w:r>
      <w:proofErr w:type="gramEnd"/>
      <w:r>
        <w:rPr>
          <w:rFonts w:ascii="宋体" w:hAnsi="宋体" w:cs="Arial" w:hint="eastAsia"/>
          <w:sz w:val="24"/>
        </w:rPr>
        <w:t>管理人应及时接收。临时基金管理人或</w:t>
      </w:r>
      <w:proofErr w:type="gramStart"/>
      <w:r>
        <w:rPr>
          <w:rFonts w:ascii="宋体" w:hAnsi="宋体" w:cs="Arial" w:hint="eastAsia"/>
          <w:sz w:val="24"/>
        </w:rPr>
        <w:t>新任基金</w:t>
      </w:r>
      <w:proofErr w:type="gramEnd"/>
      <w:r>
        <w:rPr>
          <w:rFonts w:ascii="宋体" w:hAnsi="宋体" w:cs="Arial" w:hint="eastAsia"/>
          <w:sz w:val="24"/>
        </w:rPr>
        <w:t>管理人应与基金托管人核对基金净值信息；</w:t>
      </w:r>
    </w:p>
    <w:p w14:paraId="1D590FD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(7)审计：基金管理人职责终止的，应当按照法律法规规定聘请会计师事务所对基金财产进行审计，并将审计结果予以公告，同时报中国证监会备案；</w:t>
      </w:r>
    </w:p>
    <w:p w14:paraId="7CC077F3" w14:textId="77777777" w:rsidR="00B05562" w:rsidRDefault="004C5F38">
      <w:pPr>
        <w:adjustRightInd w:val="0"/>
        <w:snapToGrid w:val="0"/>
        <w:spacing w:line="360" w:lineRule="auto"/>
        <w:ind w:firstLineChars="200" w:firstLine="480"/>
        <w:rPr>
          <w:rFonts w:ascii="宋体" w:hAnsi="宋体"/>
          <w:sz w:val="30"/>
          <w:szCs w:val="30"/>
        </w:rPr>
      </w:pPr>
      <w:r>
        <w:rPr>
          <w:rFonts w:ascii="宋体" w:hAnsi="宋体" w:cs="Arial" w:hint="eastAsia"/>
          <w:sz w:val="24"/>
        </w:rPr>
        <w:t>(8)基金名称变更：基金管理人更换后，如果原任或</w:t>
      </w:r>
      <w:proofErr w:type="gramStart"/>
      <w:r>
        <w:rPr>
          <w:rFonts w:ascii="宋体" w:hAnsi="宋体" w:cs="Arial" w:hint="eastAsia"/>
          <w:sz w:val="24"/>
        </w:rPr>
        <w:t>新任基金</w:t>
      </w:r>
      <w:proofErr w:type="gramEnd"/>
      <w:r>
        <w:rPr>
          <w:rFonts w:ascii="宋体" w:hAnsi="宋体" w:cs="Arial" w:hint="eastAsia"/>
          <w:sz w:val="24"/>
        </w:rPr>
        <w:t>管理人要求，应按其要求替换或删除基金名称中与</w:t>
      </w:r>
      <w:proofErr w:type="gramStart"/>
      <w:r>
        <w:rPr>
          <w:rFonts w:ascii="宋体" w:hAnsi="宋体" w:cs="Arial" w:hint="eastAsia"/>
          <w:sz w:val="24"/>
        </w:rPr>
        <w:t>原基金</w:t>
      </w:r>
      <w:proofErr w:type="gramEnd"/>
      <w:r>
        <w:rPr>
          <w:rFonts w:ascii="宋体" w:hAnsi="宋体" w:cs="Arial" w:hint="eastAsia"/>
          <w:sz w:val="24"/>
        </w:rPr>
        <w:t>管理人有关的名称字样。</w:t>
      </w:r>
    </w:p>
    <w:p w14:paraId="7EC699D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2409A56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211B2C79"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2A85DF7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6CD9E8C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7EC5499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71A4A0A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53B5456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6C341C3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(1)提名：</w:t>
      </w:r>
      <w:proofErr w:type="gramStart"/>
      <w:r>
        <w:rPr>
          <w:rFonts w:ascii="宋体" w:hAnsi="宋体" w:cs="Arial" w:hint="eastAsia"/>
          <w:sz w:val="24"/>
        </w:rPr>
        <w:t>新任基金</w:t>
      </w:r>
      <w:proofErr w:type="gramEnd"/>
      <w:r>
        <w:rPr>
          <w:rFonts w:ascii="宋体" w:hAnsi="宋体" w:cs="Arial" w:hint="eastAsia"/>
          <w:sz w:val="24"/>
        </w:rPr>
        <w:t>托管人由基金管理人</w:t>
      </w:r>
      <w:r>
        <w:rPr>
          <w:rFonts w:ascii="宋体" w:hAnsi="宋体" w:hint="eastAsia"/>
          <w:sz w:val="24"/>
        </w:rPr>
        <w:t>或由单独或合计持有10%以上(含10%)基金份额的基金份额持有人</w:t>
      </w:r>
      <w:r>
        <w:rPr>
          <w:rFonts w:ascii="宋体" w:hAnsi="宋体" w:cs="Arial" w:hint="eastAsia"/>
          <w:sz w:val="24"/>
        </w:rPr>
        <w:t>提名；</w:t>
      </w:r>
    </w:p>
    <w:p w14:paraId="262B52B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(2)决议：基金份额持有人大会在基金托管人职责终止后6个月内对被提名的基金托管人形成决议，该决议需经参加大会的基金份额持有人所持表决权的三分之二以上(含三分之二)表决通过；</w:t>
      </w:r>
    </w:p>
    <w:p w14:paraId="6711A75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w:t>
      </w:r>
      <w:proofErr w:type="gramStart"/>
      <w:r>
        <w:rPr>
          <w:rFonts w:ascii="宋体" w:hAnsi="宋体" w:cs="Arial" w:hint="eastAsia"/>
          <w:sz w:val="24"/>
        </w:rPr>
        <w:t>新任基金</w:t>
      </w:r>
      <w:proofErr w:type="gramEnd"/>
      <w:r>
        <w:rPr>
          <w:rFonts w:ascii="宋体" w:hAnsi="宋体" w:cs="Arial" w:hint="eastAsia"/>
          <w:sz w:val="24"/>
        </w:rPr>
        <w:t>托管人产生之前，由中国证监会指定临时基金托管人；</w:t>
      </w:r>
    </w:p>
    <w:p w14:paraId="2B4EE6B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(4)备案：基金份额持有人大会更换基金托管人的决议须报中国证监会备案；</w:t>
      </w:r>
    </w:p>
    <w:p w14:paraId="0CF6CAD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 2日内在规定媒介公告；</w:t>
      </w:r>
    </w:p>
    <w:p w14:paraId="72D035F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w:t>
      </w:r>
      <w:proofErr w:type="gramStart"/>
      <w:r>
        <w:rPr>
          <w:rFonts w:ascii="宋体" w:hAnsi="宋体" w:cs="Arial" w:hint="eastAsia"/>
          <w:sz w:val="24"/>
        </w:rPr>
        <w:t>新任基金</w:t>
      </w:r>
      <w:proofErr w:type="gramEnd"/>
      <w:r>
        <w:rPr>
          <w:rFonts w:ascii="宋体" w:hAnsi="宋体" w:cs="Arial" w:hint="eastAsia"/>
          <w:sz w:val="24"/>
        </w:rPr>
        <w:t>托管人或者临时基金托管人应当及时接收。</w:t>
      </w:r>
      <w:proofErr w:type="gramStart"/>
      <w:r>
        <w:rPr>
          <w:rFonts w:ascii="宋体" w:hAnsi="宋体" w:cs="Arial" w:hint="eastAsia"/>
          <w:sz w:val="24"/>
        </w:rPr>
        <w:t>新任基金</w:t>
      </w:r>
      <w:proofErr w:type="gramEnd"/>
      <w:r>
        <w:rPr>
          <w:rFonts w:ascii="宋体" w:hAnsi="宋体" w:cs="Arial" w:hint="eastAsia"/>
          <w:sz w:val="24"/>
        </w:rPr>
        <w:t>托管人或临时基金托管人与基金管理人核对基金净值信息；</w:t>
      </w:r>
    </w:p>
    <w:p w14:paraId="38B3A78A"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(7)审计：基金托管人职责终止的，应当按照法律法规规定聘请会计师事务所对基金财产进行审计，并将审计结果予以公告，同时报中国证监会备案。</w:t>
      </w:r>
    </w:p>
    <w:p w14:paraId="5F2F2C6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2FC6578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671800F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1EEB309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3.公告：</w:t>
      </w:r>
      <w:proofErr w:type="gramStart"/>
      <w:r>
        <w:rPr>
          <w:rFonts w:ascii="宋体" w:hAnsi="宋体" w:cs="Arial" w:hint="eastAsia"/>
          <w:sz w:val="24"/>
        </w:rPr>
        <w:t>新任基金</w:t>
      </w:r>
      <w:proofErr w:type="gramEnd"/>
      <w:r>
        <w:rPr>
          <w:rFonts w:ascii="宋体" w:hAnsi="宋体" w:cs="Arial" w:hint="eastAsia"/>
          <w:sz w:val="24"/>
        </w:rPr>
        <w:t>管理人和</w:t>
      </w:r>
      <w:proofErr w:type="gramStart"/>
      <w:r>
        <w:rPr>
          <w:rFonts w:ascii="宋体" w:hAnsi="宋体" w:cs="Arial" w:hint="eastAsia"/>
          <w:sz w:val="24"/>
        </w:rPr>
        <w:t>新任基金</w:t>
      </w:r>
      <w:proofErr w:type="gramEnd"/>
      <w:r>
        <w:rPr>
          <w:rFonts w:ascii="宋体" w:hAnsi="宋体" w:cs="Arial" w:hint="eastAsia"/>
          <w:sz w:val="24"/>
        </w:rPr>
        <w:t>托管人应在更换基金管理人和基金托管人的基金份额持有人大会决议生效后2日内在规定媒介上联合公告。</w:t>
      </w:r>
    </w:p>
    <w:p w14:paraId="3FB5128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托管人应继续履行相关职责，并保证不做出对基金份额持有人的利益造成损害的行为。</w:t>
      </w:r>
      <w:proofErr w:type="gramStart"/>
      <w:r>
        <w:rPr>
          <w:rFonts w:ascii="宋体" w:hAnsi="宋体" w:cs="Arial" w:hint="eastAsia"/>
          <w:sz w:val="24"/>
        </w:rPr>
        <w:t>原基金</w:t>
      </w:r>
      <w:proofErr w:type="gramEnd"/>
      <w:r>
        <w:rPr>
          <w:rFonts w:ascii="宋体" w:hAnsi="宋体" w:cs="Arial" w:hint="eastAsia"/>
          <w:sz w:val="24"/>
        </w:rPr>
        <w:t>管理人或</w:t>
      </w:r>
      <w:proofErr w:type="gramStart"/>
      <w:r>
        <w:rPr>
          <w:rFonts w:ascii="宋体" w:hAnsi="宋体" w:cs="Arial" w:hint="eastAsia"/>
          <w:sz w:val="24"/>
        </w:rPr>
        <w:t>原基金</w:t>
      </w:r>
      <w:proofErr w:type="gramEnd"/>
      <w:r>
        <w:rPr>
          <w:rFonts w:ascii="宋体" w:hAnsi="宋体" w:cs="Arial" w:hint="eastAsia"/>
          <w:sz w:val="24"/>
        </w:rPr>
        <w:t>托管人在继续履行相关职责期间，仍有权按照基金合同和本协议的规定收取基金管理费或基金托管费。</w:t>
      </w:r>
    </w:p>
    <w:p w14:paraId="209401C2" w14:textId="77777777" w:rsidR="00B05562" w:rsidRDefault="00B05562">
      <w:pPr>
        <w:adjustRightInd w:val="0"/>
        <w:snapToGrid w:val="0"/>
        <w:spacing w:line="360" w:lineRule="auto"/>
        <w:rPr>
          <w:rFonts w:ascii="宋体" w:hAnsi="宋体" w:cs="Arial"/>
          <w:sz w:val="24"/>
        </w:rPr>
      </w:pPr>
    </w:p>
    <w:p w14:paraId="691444F8" w14:textId="77777777" w:rsidR="00B05562" w:rsidRDefault="004C5F38">
      <w:pPr>
        <w:pStyle w:val="2"/>
        <w:spacing w:line="360" w:lineRule="auto"/>
        <w:jc w:val="center"/>
        <w:rPr>
          <w:rFonts w:ascii="宋体" w:eastAsia="宋体" w:hAnsi="宋体"/>
          <w:sz w:val="30"/>
        </w:rPr>
      </w:pPr>
      <w:bookmarkStart w:id="106" w:name="_Toc124325899"/>
      <w:r>
        <w:rPr>
          <w:rFonts w:ascii="宋体" w:eastAsia="宋体" w:hAnsi="宋体" w:hint="eastAsia"/>
          <w:sz w:val="30"/>
        </w:rPr>
        <w:t>十五、禁止行为</w:t>
      </w:r>
      <w:bookmarkEnd w:id="106"/>
    </w:p>
    <w:p w14:paraId="49A6C199"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1D5DECD1" w14:textId="77777777" w:rsidR="00B05562" w:rsidRDefault="004C5F38">
      <w:pPr>
        <w:spacing w:line="360" w:lineRule="auto"/>
        <w:ind w:firstLineChars="200" w:firstLine="480"/>
        <w:rPr>
          <w:rFonts w:ascii="宋体" w:hAnsi="宋体"/>
          <w:sz w:val="24"/>
        </w:rPr>
      </w:pPr>
      <w:r>
        <w:rPr>
          <w:rFonts w:ascii="宋体" w:hAnsi="宋体" w:hint="eastAsia"/>
          <w:sz w:val="24"/>
        </w:rPr>
        <w:lastRenderedPageBreak/>
        <w:t>（一）基金管理人、基金托管人将其固有财产或者他人财产混同于基金财产从事证券投资。</w:t>
      </w:r>
    </w:p>
    <w:p w14:paraId="3752C66C" w14:textId="77777777" w:rsidR="00B05562" w:rsidRDefault="004C5F38">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7D92F56C" w14:textId="77777777" w:rsidR="00B05562" w:rsidRDefault="004C5F38">
      <w:pPr>
        <w:spacing w:line="360" w:lineRule="auto"/>
        <w:ind w:firstLineChars="200" w:firstLine="480"/>
        <w:rPr>
          <w:rFonts w:ascii="宋体" w:hAnsi="宋体"/>
          <w:sz w:val="24"/>
        </w:rPr>
      </w:pPr>
      <w:r>
        <w:rPr>
          <w:rFonts w:ascii="宋体" w:hAnsi="宋体" w:hint="eastAsia"/>
          <w:sz w:val="24"/>
        </w:rPr>
        <w:t>（三）基金管理人、基金托管人利用基金财产为基金份额持有人以外的第三人牟取利益。</w:t>
      </w:r>
    </w:p>
    <w:p w14:paraId="09DE286C" w14:textId="77777777" w:rsidR="00B05562" w:rsidRDefault="004C5F38">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2AC17833"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（五）基金管理人、基金托管人对他人泄露基金运作和管理过程中任何尚未按法律法规规定的方式公开披露的信息。</w:t>
      </w:r>
    </w:p>
    <w:p w14:paraId="5B2D0282" w14:textId="77777777" w:rsidR="00B05562" w:rsidRDefault="004C5F38">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68C62817"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w:t>
      </w:r>
      <w:proofErr w:type="gramStart"/>
      <w:r>
        <w:rPr>
          <w:rFonts w:ascii="宋体" w:hAnsi="宋体" w:cs="Arial" w:hint="eastAsia"/>
          <w:sz w:val="24"/>
        </w:rPr>
        <w:t>独立,</w:t>
      </w:r>
      <w:proofErr w:type="gramEnd"/>
      <w:r>
        <w:rPr>
          <w:rFonts w:ascii="宋体" w:hAnsi="宋体" w:cs="Arial" w:hint="eastAsia"/>
          <w:sz w:val="24"/>
        </w:rPr>
        <w:t xml:space="preserve"> 其高级管理人员和其他从业人员相互兼职。</w:t>
      </w:r>
    </w:p>
    <w:p w14:paraId="14FCE5A8" w14:textId="77777777" w:rsidR="00B05562" w:rsidRDefault="004C5F38">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（八）基金托管人私自动用或处分基金财产，根据基金管理人的有效指令、《基金合同》或托管协议的规定进行处分的除外。</w:t>
      </w:r>
    </w:p>
    <w:p w14:paraId="450315B4" w14:textId="77777777" w:rsidR="00B05562" w:rsidRDefault="004C5F38">
      <w:pPr>
        <w:spacing w:line="360" w:lineRule="auto"/>
        <w:ind w:firstLineChars="200" w:firstLine="480"/>
        <w:rPr>
          <w:rFonts w:ascii="宋体" w:hAnsi="宋体"/>
          <w:sz w:val="24"/>
        </w:rPr>
      </w:pPr>
      <w:r>
        <w:rPr>
          <w:rFonts w:ascii="宋体" w:hAnsi="宋体" w:hint="eastAsia"/>
          <w:sz w:val="24"/>
        </w:rPr>
        <w:t>（九）</w:t>
      </w:r>
      <w:r>
        <w:rPr>
          <w:rFonts w:ascii="宋体" w:hAnsi="宋体" w:cs="Arial" w:hint="eastAsia"/>
          <w:sz w:val="24"/>
        </w:rPr>
        <w:t>基金财产</w:t>
      </w:r>
      <w:r>
        <w:rPr>
          <w:rFonts w:ascii="宋体" w:hAnsi="宋体"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法律法规或监管部门取消上述限制，如适用于本基金，则本基金投资不再受相关限制。</w:t>
      </w:r>
    </w:p>
    <w:p w14:paraId="226472A9" w14:textId="77777777" w:rsidR="00B05562" w:rsidRDefault="004C5F38">
      <w:pPr>
        <w:adjustRightInd w:val="0"/>
        <w:snapToGrid w:val="0"/>
        <w:spacing w:line="360" w:lineRule="auto"/>
        <w:ind w:firstLineChars="200" w:firstLine="480"/>
        <w:outlineLvl w:val="0"/>
        <w:rPr>
          <w:rFonts w:ascii="宋体" w:hAnsi="宋体"/>
          <w:sz w:val="24"/>
        </w:rPr>
      </w:pPr>
      <w:r>
        <w:rPr>
          <w:rFonts w:ascii="宋体" w:hAnsi="宋体" w:hint="eastAsia"/>
          <w:sz w:val="24"/>
        </w:rPr>
        <w:t>（十）法律法规和《基金合同》禁止的其他行为，以及依照法律、行政法规有关规定，由国务院证券监督管理机构规定禁止基金管理人、基金托管人从事的其他行为。</w:t>
      </w:r>
    </w:p>
    <w:p w14:paraId="028F6FD3" w14:textId="77777777" w:rsidR="00B05562" w:rsidRDefault="00B05562">
      <w:pPr>
        <w:adjustRightInd w:val="0"/>
        <w:snapToGrid w:val="0"/>
        <w:spacing w:line="360" w:lineRule="auto"/>
        <w:rPr>
          <w:rFonts w:ascii="宋体" w:hAnsi="宋体"/>
          <w:sz w:val="30"/>
          <w:szCs w:val="30"/>
        </w:rPr>
      </w:pPr>
    </w:p>
    <w:p w14:paraId="53C1AE7E" w14:textId="77777777" w:rsidR="00B05562" w:rsidRDefault="004C5F38">
      <w:pPr>
        <w:pStyle w:val="2"/>
        <w:spacing w:line="360" w:lineRule="auto"/>
        <w:jc w:val="center"/>
        <w:rPr>
          <w:rFonts w:ascii="宋体" w:eastAsia="宋体" w:hAnsi="宋体"/>
          <w:sz w:val="30"/>
        </w:rPr>
      </w:pPr>
      <w:bookmarkStart w:id="107" w:name="_Toc124325900"/>
      <w:r>
        <w:rPr>
          <w:rFonts w:ascii="宋体" w:eastAsia="宋体" w:hAnsi="宋体" w:hint="eastAsia"/>
          <w:sz w:val="30"/>
        </w:rPr>
        <w:t>十六、托管协议的变更、终止与基金财产的清算</w:t>
      </w:r>
      <w:bookmarkEnd w:id="107"/>
    </w:p>
    <w:p w14:paraId="4850047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40C95C1F"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本协议双方当事人经协商一致，可以对协议进行修改。修改后的新协议，其内</w:t>
      </w:r>
      <w:r>
        <w:rPr>
          <w:rFonts w:ascii="宋体" w:hAnsi="宋体" w:cs="Arial" w:hint="eastAsia"/>
          <w:sz w:val="24"/>
        </w:rPr>
        <w:lastRenderedPageBreak/>
        <w:t>容不得与《基金合同》的规定有任何冲突。</w:t>
      </w:r>
    </w:p>
    <w:p w14:paraId="07DFDEE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32768B3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08C6EA1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5210120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4D9193C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4.发生法律法规或《基金合同》规定的终止事项。</w:t>
      </w:r>
    </w:p>
    <w:p w14:paraId="64DF1A53"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5E01C49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04E0621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2F1F3EB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5CB65EE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5B62BA8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w:t>
      </w:r>
    </w:p>
    <w:p w14:paraId="7599956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200515D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7E22A96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12C989E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58BCCA8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5DB23B7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19A0145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2D38BB0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746BAD3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61E1279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15B8BB9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依据基金财产清算的分配方案，将基金财产清算后的全部剩余资产扣除基金财产清算费用、交纳所欠税款并清偿基金债务后，按基金份额持有人持有的基金份额比例进行分配，并加上返还基金份额持有人的或有管理费（如有）或扣除相应的超额管理费（如有），以及加上返还基金份额持有人的销售服务费（如有，具体详见本基金招募说明书）。</w:t>
      </w:r>
    </w:p>
    <w:p w14:paraId="6B00C99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1841D7B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清算过程中的有关重大事项须及时公告；基金财产清算报告</w:t>
      </w:r>
      <w:proofErr w:type="gramStart"/>
      <w:r>
        <w:rPr>
          <w:rFonts w:ascii="宋体" w:hAnsi="宋体" w:cs="Arial" w:hint="eastAsia"/>
          <w:sz w:val="24"/>
        </w:rPr>
        <w:t>经符合</w:t>
      </w:r>
      <w:proofErr w:type="gramEnd"/>
      <w:r>
        <w:rPr>
          <w:rFonts w:ascii="宋体" w:hAnsi="宋体" w:cs="Arial" w:hint="eastAsia"/>
          <w:sz w:val="24"/>
        </w:rPr>
        <w:t>《证券法》规定的会计师事务所审计、并由律师事务所出具法律意见书后，报中国证监会备案并公告。基金财产清算小组应当将清算报告登载在规定网站上，并将清算报告提示性公告登载在规定报刊上。</w:t>
      </w:r>
    </w:p>
    <w:p w14:paraId="30FD035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7576BAA2"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66E2CD5D" w14:textId="77777777" w:rsidR="00B05562" w:rsidRDefault="00B05562">
      <w:pPr>
        <w:adjustRightInd w:val="0"/>
        <w:snapToGrid w:val="0"/>
        <w:spacing w:line="360" w:lineRule="auto"/>
        <w:rPr>
          <w:rFonts w:ascii="宋体" w:hAnsi="宋体" w:cs="Arial"/>
          <w:sz w:val="24"/>
        </w:rPr>
      </w:pPr>
    </w:p>
    <w:p w14:paraId="25ED5402" w14:textId="77777777" w:rsidR="00B05562" w:rsidRDefault="004C5F38">
      <w:pPr>
        <w:pStyle w:val="2"/>
        <w:spacing w:line="360" w:lineRule="auto"/>
        <w:jc w:val="center"/>
        <w:rPr>
          <w:rFonts w:ascii="宋体" w:eastAsia="宋体" w:hAnsi="宋体"/>
          <w:sz w:val="30"/>
        </w:rPr>
      </w:pPr>
      <w:bookmarkStart w:id="108" w:name="_Toc124325901"/>
      <w:r>
        <w:rPr>
          <w:rFonts w:ascii="宋体" w:eastAsia="宋体" w:hAnsi="宋体" w:hint="eastAsia"/>
          <w:sz w:val="30"/>
        </w:rPr>
        <w:t>十七、违约责任</w:t>
      </w:r>
      <w:bookmarkEnd w:id="108"/>
    </w:p>
    <w:p w14:paraId="1CBCA7CC"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0C7DF323"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6E537C4"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329940EE"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3C5CC56D"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2.基金管理人、基金托管人按照当时有效的法律法规或中国证监会的规定作为或不作为而造成的损失等；</w:t>
      </w:r>
    </w:p>
    <w:p w14:paraId="4E0EADB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w:t>
      </w:r>
      <w:r>
        <w:rPr>
          <w:rFonts w:ascii="宋体" w:hAnsi="宋体" w:cs="Arial" w:hint="eastAsia"/>
          <w:sz w:val="24"/>
        </w:rPr>
        <w:lastRenderedPageBreak/>
        <w:t>资或不投资造成的直接损失或潜在损失等；</w:t>
      </w:r>
    </w:p>
    <w:p w14:paraId="242ABAB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.非因基金管理人、基金托管人的故意或重大过失造成的计算机系统故障、网络故障、通讯故障、电力故障、计算机病毒攻击及其他意外事故所导致的损失等。</w:t>
      </w:r>
    </w:p>
    <w:p w14:paraId="1648EC26"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982B1A"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16BA27E4" w14:textId="77777777" w:rsidR="00B05562" w:rsidRDefault="004C5F38">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7E990614" w14:textId="77777777" w:rsidR="00B05562" w:rsidRDefault="00B05562">
      <w:pPr>
        <w:adjustRightInd w:val="0"/>
        <w:snapToGrid w:val="0"/>
        <w:spacing w:line="360" w:lineRule="auto"/>
        <w:outlineLvl w:val="0"/>
        <w:rPr>
          <w:rFonts w:ascii="宋体" w:hAnsi="宋体" w:cs="Arial"/>
          <w:sz w:val="24"/>
        </w:rPr>
      </w:pPr>
    </w:p>
    <w:p w14:paraId="4F8B2C91" w14:textId="77777777" w:rsidR="00B05562" w:rsidRDefault="004C5F38">
      <w:pPr>
        <w:pStyle w:val="2"/>
        <w:spacing w:line="360" w:lineRule="auto"/>
        <w:jc w:val="center"/>
        <w:rPr>
          <w:rFonts w:ascii="宋体" w:eastAsia="宋体" w:hAnsi="宋体"/>
          <w:sz w:val="30"/>
        </w:rPr>
      </w:pPr>
      <w:bookmarkStart w:id="109" w:name="_Toc124325902"/>
      <w:r>
        <w:rPr>
          <w:rFonts w:ascii="宋体" w:eastAsia="宋体" w:hAnsi="宋体" w:hint="eastAsia"/>
          <w:sz w:val="30"/>
        </w:rPr>
        <w:t>十八、争议解决方式</w:t>
      </w:r>
      <w:bookmarkEnd w:id="109"/>
    </w:p>
    <w:p w14:paraId="2939A7E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3EAC14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0058668"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等线" w:hAnsi="等线"/>
          <w:bCs/>
          <w:sz w:val="24"/>
        </w:rPr>
        <w:t>（</w:t>
      </w:r>
      <w:r>
        <w:rPr>
          <w:rFonts w:ascii="等线" w:hAnsi="等线" w:hint="eastAsia"/>
          <w:bCs/>
          <w:sz w:val="24"/>
        </w:rPr>
        <w:t>仅为本协议之目的，</w:t>
      </w:r>
      <w:r>
        <w:rPr>
          <w:rFonts w:ascii="等线" w:hAnsi="等线"/>
          <w:bCs/>
          <w:sz w:val="24"/>
        </w:rPr>
        <w:t>不包括香港、澳门特别行政区和台湾地区法律）</w:t>
      </w:r>
      <w:r>
        <w:rPr>
          <w:rFonts w:ascii="宋体" w:hAnsi="宋体" w:cs="Arial" w:hint="eastAsia"/>
          <w:sz w:val="24"/>
        </w:rPr>
        <w:t>管辖。</w:t>
      </w:r>
    </w:p>
    <w:p w14:paraId="6F01ED70" w14:textId="77777777" w:rsidR="00B05562" w:rsidRDefault="00B05562">
      <w:pPr>
        <w:adjustRightInd w:val="0"/>
        <w:snapToGrid w:val="0"/>
        <w:spacing w:line="360" w:lineRule="auto"/>
        <w:rPr>
          <w:rFonts w:ascii="宋体" w:hAnsi="宋体" w:cs="Arial"/>
          <w:sz w:val="24"/>
        </w:rPr>
      </w:pPr>
    </w:p>
    <w:p w14:paraId="37FEE198" w14:textId="77777777" w:rsidR="00B05562" w:rsidRDefault="004C5F38">
      <w:pPr>
        <w:pStyle w:val="2"/>
        <w:spacing w:line="360" w:lineRule="auto"/>
        <w:jc w:val="center"/>
        <w:rPr>
          <w:rFonts w:ascii="宋体" w:eastAsia="宋体" w:hAnsi="宋体"/>
          <w:sz w:val="30"/>
        </w:rPr>
      </w:pPr>
      <w:bookmarkStart w:id="110" w:name="_Toc124325903"/>
      <w:r>
        <w:rPr>
          <w:rFonts w:ascii="宋体" w:eastAsia="宋体" w:hAnsi="宋体" w:hint="eastAsia"/>
          <w:sz w:val="30"/>
        </w:rPr>
        <w:t>十九、托管协议的效力</w:t>
      </w:r>
      <w:bookmarkEnd w:id="110"/>
    </w:p>
    <w:p w14:paraId="482147E1"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3FCF5D67"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14:paraId="113F0A05"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3A700DE0"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77D11CB8" w14:textId="77777777" w:rsidR="00B05562" w:rsidRDefault="004C5F38">
      <w:pPr>
        <w:adjustRightInd w:val="0"/>
        <w:snapToGrid w:val="0"/>
        <w:spacing w:line="360" w:lineRule="auto"/>
        <w:ind w:firstLineChars="200" w:firstLine="480"/>
        <w:rPr>
          <w:rFonts w:ascii="宋体" w:hAnsi="宋体"/>
          <w:sz w:val="30"/>
          <w:szCs w:val="30"/>
        </w:rPr>
      </w:pPr>
      <w:r>
        <w:rPr>
          <w:rFonts w:ascii="宋体" w:hAnsi="宋体" w:cs="Arial" w:hint="eastAsia"/>
          <w:sz w:val="24"/>
        </w:rPr>
        <w:t>（四）本协议一式六份，协议双方各持二份，上报监管机构二份，每份具有同等的法律效力。</w:t>
      </w:r>
    </w:p>
    <w:p w14:paraId="2C47B096" w14:textId="77777777" w:rsidR="00B05562" w:rsidRDefault="00B05562">
      <w:pPr>
        <w:adjustRightInd w:val="0"/>
        <w:snapToGrid w:val="0"/>
        <w:spacing w:line="360" w:lineRule="auto"/>
        <w:rPr>
          <w:rFonts w:ascii="宋体" w:hAnsi="宋体" w:cs="Arial"/>
          <w:sz w:val="24"/>
        </w:rPr>
      </w:pPr>
    </w:p>
    <w:p w14:paraId="554E3A24" w14:textId="77777777" w:rsidR="00B05562" w:rsidRDefault="004C5F38">
      <w:pPr>
        <w:pStyle w:val="2"/>
        <w:spacing w:line="360" w:lineRule="auto"/>
        <w:jc w:val="center"/>
        <w:rPr>
          <w:rFonts w:ascii="宋体" w:eastAsia="宋体" w:hAnsi="宋体"/>
          <w:sz w:val="30"/>
        </w:rPr>
      </w:pPr>
      <w:bookmarkStart w:id="111" w:name="_Toc124325904"/>
      <w:r>
        <w:rPr>
          <w:rFonts w:ascii="宋体" w:eastAsia="宋体" w:hAnsi="宋体" w:hint="eastAsia"/>
          <w:sz w:val="30"/>
        </w:rPr>
        <w:t>二十、其他事项</w:t>
      </w:r>
      <w:bookmarkEnd w:id="111"/>
    </w:p>
    <w:p w14:paraId="35195424"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27BDB37C"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339B5DAF" w14:textId="77777777" w:rsidR="00B05562" w:rsidRDefault="00B05562">
      <w:pPr>
        <w:adjustRightInd w:val="0"/>
        <w:snapToGrid w:val="0"/>
        <w:spacing w:line="360" w:lineRule="auto"/>
        <w:rPr>
          <w:rFonts w:ascii="宋体" w:hAnsi="宋体"/>
          <w:b/>
          <w:bCs/>
        </w:rPr>
      </w:pPr>
    </w:p>
    <w:p w14:paraId="6A65E0E8" w14:textId="77777777" w:rsidR="00B05562" w:rsidRDefault="004C5F38">
      <w:pPr>
        <w:pStyle w:val="2"/>
        <w:spacing w:line="360" w:lineRule="auto"/>
        <w:jc w:val="center"/>
        <w:rPr>
          <w:rFonts w:ascii="宋体" w:eastAsia="宋体" w:hAnsi="宋体"/>
          <w:sz w:val="30"/>
        </w:rPr>
      </w:pPr>
      <w:bookmarkStart w:id="112" w:name="_Toc124325905"/>
      <w:r>
        <w:rPr>
          <w:rFonts w:ascii="宋体" w:eastAsia="宋体" w:hAnsi="宋体" w:hint="eastAsia"/>
          <w:sz w:val="30"/>
        </w:rPr>
        <w:t>二十一、托管协议的签订</w:t>
      </w:r>
      <w:bookmarkEnd w:id="112"/>
    </w:p>
    <w:p w14:paraId="6172186B" w14:textId="77777777" w:rsidR="00B05562" w:rsidRDefault="004C5F38">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本协议双方法定代表人或授权代表签字或盖章并加盖双方公章或合同专用章，并列明签订地、签订日。</w:t>
      </w:r>
    </w:p>
    <w:p w14:paraId="391E6161" w14:textId="77777777" w:rsidR="00B05562" w:rsidRDefault="00B05562">
      <w:pPr>
        <w:adjustRightInd w:val="0"/>
        <w:snapToGrid w:val="0"/>
        <w:spacing w:line="360" w:lineRule="auto"/>
        <w:ind w:firstLineChars="200" w:firstLine="480"/>
        <w:rPr>
          <w:rFonts w:ascii="宋体" w:hAnsi="宋体" w:cs="Arial"/>
          <w:sz w:val="24"/>
        </w:rPr>
        <w:sectPr w:rsidR="00B05562" w:rsidSect="005B52BE">
          <w:headerReference w:type="default" r:id="rId9"/>
          <w:footerReference w:type="default" r:id="rId10"/>
          <w:pgSz w:w="11906" w:h="16838"/>
          <w:pgMar w:top="1418" w:right="1701" w:bottom="1418" w:left="1701" w:header="851" w:footer="992" w:gutter="0"/>
          <w:pgNumType w:start="1"/>
          <w:cols w:space="720"/>
          <w:docGrid w:type="lines" w:linePitch="312"/>
        </w:sectPr>
      </w:pPr>
    </w:p>
    <w:p w14:paraId="5D8A8986" w14:textId="77777777" w:rsidR="00B05562" w:rsidRDefault="004C5F38">
      <w:pPr>
        <w:spacing w:line="360" w:lineRule="auto"/>
        <w:ind w:right="26"/>
        <w:rPr>
          <w:rFonts w:ascii="宋体" w:hAnsi="宋体"/>
          <w:sz w:val="24"/>
        </w:rPr>
      </w:pPr>
      <w:r>
        <w:rPr>
          <w:rFonts w:ascii="宋体" w:hAnsi="宋体" w:hint="eastAsia"/>
          <w:sz w:val="24"/>
        </w:rPr>
        <w:lastRenderedPageBreak/>
        <w:t>本页无正文，为《广发匠心精选混合型证券投资基金托管协议》的签字盖章页。</w:t>
      </w:r>
    </w:p>
    <w:p w14:paraId="26CAB7DE" w14:textId="77777777" w:rsidR="00B05562" w:rsidRDefault="00B05562">
      <w:pPr>
        <w:spacing w:line="360" w:lineRule="auto"/>
        <w:rPr>
          <w:rFonts w:ascii="宋体" w:hAnsi="宋体"/>
          <w:sz w:val="24"/>
        </w:rPr>
      </w:pPr>
    </w:p>
    <w:p w14:paraId="49FC7F7D" w14:textId="77777777" w:rsidR="00B05562" w:rsidRDefault="00B05562">
      <w:pPr>
        <w:spacing w:line="360" w:lineRule="auto"/>
        <w:rPr>
          <w:rFonts w:ascii="宋体" w:hAnsi="宋体"/>
          <w:sz w:val="24"/>
        </w:rPr>
      </w:pPr>
    </w:p>
    <w:p w14:paraId="76B3AEF4" w14:textId="77777777" w:rsidR="00B05562" w:rsidRDefault="00B05562">
      <w:pPr>
        <w:spacing w:line="360" w:lineRule="auto"/>
        <w:rPr>
          <w:rFonts w:ascii="宋体" w:hAnsi="宋体"/>
          <w:sz w:val="24"/>
        </w:rPr>
      </w:pPr>
    </w:p>
    <w:p w14:paraId="664BD0F5" w14:textId="77777777" w:rsidR="00B05562" w:rsidRDefault="004C5F38">
      <w:pPr>
        <w:spacing w:line="360" w:lineRule="auto"/>
        <w:ind w:right="26"/>
        <w:rPr>
          <w:rFonts w:ascii="宋体" w:hAnsi="宋体"/>
          <w:sz w:val="24"/>
        </w:rPr>
      </w:pPr>
      <w:r>
        <w:rPr>
          <w:rFonts w:ascii="宋体" w:hAnsi="宋体" w:hint="eastAsia"/>
          <w:sz w:val="24"/>
        </w:rPr>
        <w:t>基金管理人：广发基金管理有限公司（盖章）</w:t>
      </w:r>
    </w:p>
    <w:p w14:paraId="059C2CD6" w14:textId="77777777" w:rsidR="00B05562" w:rsidRDefault="00B05562">
      <w:pPr>
        <w:spacing w:line="360" w:lineRule="auto"/>
        <w:ind w:right="26"/>
        <w:rPr>
          <w:rFonts w:ascii="宋体" w:hAnsi="宋体"/>
          <w:sz w:val="24"/>
        </w:rPr>
      </w:pPr>
    </w:p>
    <w:p w14:paraId="5370BB73" w14:textId="77777777" w:rsidR="00B05562" w:rsidRDefault="00B05562">
      <w:pPr>
        <w:spacing w:line="360" w:lineRule="auto"/>
        <w:ind w:right="26"/>
        <w:rPr>
          <w:rFonts w:ascii="宋体" w:hAnsi="宋体"/>
          <w:sz w:val="24"/>
        </w:rPr>
      </w:pPr>
    </w:p>
    <w:p w14:paraId="26D3FCFA" w14:textId="77777777" w:rsidR="00B05562" w:rsidRDefault="00B05562">
      <w:pPr>
        <w:spacing w:line="360" w:lineRule="auto"/>
        <w:ind w:right="26"/>
        <w:rPr>
          <w:rFonts w:ascii="宋体" w:hAnsi="宋体"/>
          <w:sz w:val="24"/>
        </w:rPr>
      </w:pPr>
    </w:p>
    <w:p w14:paraId="2D9CC043" w14:textId="77777777" w:rsidR="00B05562" w:rsidRDefault="00B05562">
      <w:pPr>
        <w:spacing w:line="360" w:lineRule="auto"/>
        <w:ind w:right="26"/>
        <w:rPr>
          <w:rFonts w:ascii="宋体" w:hAnsi="宋体"/>
          <w:sz w:val="24"/>
        </w:rPr>
      </w:pPr>
    </w:p>
    <w:p w14:paraId="7188A214" w14:textId="77777777" w:rsidR="00B05562" w:rsidRDefault="004C5F38">
      <w:pPr>
        <w:spacing w:line="360" w:lineRule="auto"/>
        <w:ind w:right="26"/>
        <w:rPr>
          <w:rFonts w:ascii="宋体" w:hAnsi="宋体"/>
          <w:sz w:val="24"/>
        </w:rPr>
      </w:pPr>
      <w:r>
        <w:rPr>
          <w:rFonts w:ascii="宋体" w:hAnsi="宋体" w:hint="eastAsia"/>
          <w:sz w:val="24"/>
        </w:rPr>
        <w:t xml:space="preserve">法定代表人或授权代表：                   </w:t>
      </w:r>
    </w:p>
    <w:p w14:paraId="21BECE02" w14:textId="77777777" w:rsidR="00B05562" w:rsidRDefault="00B05562">
      <w:pPr>
        <w:spacing w:line="360" w:lineRule="auto"/>
        <w:ind w:right="26"/>
        <w:rPr>
          <w:rFonts w:ascii="宋体" w:hAnsi="宋体"/>
          <w:sz w:val="24"/>
        </w:rPr>
      </w:pPr>
    </w:p>
    <w:p w14:paraId="2FF1D634" w14:textId="77777777" w:rsidR="00B05562" w:rsidRDefault="00B05562">
      <w:pPr>
        <w:spacing w:line="360" w:lineRule="auto"/>
        <w:ind w:right="26"/>
        <w:rPr>
          <w:rFonts w:ascii="宋体" w:hAnsi="宋体"/>
          <w:sz w:val="24"/>
        </w:rPr>
      </w:pPr>
    </w:p>
    <w:p w14:paraId="6BB35A8F" w14:textId="77777777" w:rsidR="00B05562" w:rsidRDefault="00B05562">
      <w:pPr>
        <w:spacing w:line="360" w:lineRule="auto"/>
        <w:ind w:right="26"/>
        <w:rPr>
          <w:rFonts w:ascii="宋体" w:hAnsi="宋体"/>
          <w:sz w:val="24"/>
        </w:rPr>
      </w:pPr>
    </w:p>
    <w:p w14:paraId="5AA61FB3" w14:textId="77777777" w:rsidR="00B05562" w:rsidRDefault="00B05562">
      <w:pPr>
        <w:spacing w:line="360" w:lineRule="auto"/>
        <w:ind w:right="26"/>
        <w:rPr>
          <w:rFonts w:ascii="宋体" w:hAnsi="宋体"/>
          <w:sz w:val="24"/>
        </w:rPr>
      </w:pPr>
    </w:p>
    <w:p w14:paraId="321B0AB1" w14:textId="77777777" w:rsidR="00B05562" w:rsidRDefault="00B05562">
      <w:pPr>
        <w:spacing w:line="360" w:lineRule="auto"/>
        <w:ind w:right="26"/>
        <w:rPr>
          <w:rFonts w:ascii="宋体" w:hAnsi="宋体"/>
          <w:sz w:val="24"/>
        </w:rPr>
      </w:pPr>
    </w:p>
    <w:p w14:paraId="5275FB05" w14:textId="77777777" w:rsidR="00B05562" w:rsidRDefault="004C5F38">
      <w:pPr>
        <w:spacing w:line="360" w:lineRule="auto"/>
        <w:ind w:right="26"/>
        <w:rPr>
          <w:rFonts w:ascii="宋体" w:hAnsi="宋体"/>
          <w:sz w:val="24"/>
        </w:rPr>
      </w:pPr>
      <w:r>
        <w:rPr>
          <w:rFonts w:ascii="宋体" w:hAnsi="宋体" w:hint="eastAsia"/>
          <w:sz w:val="24"/>
        </w:rPr>
        <w:t>基金托管人：中国建设银行股份有限公司（盖章）</w:t>
      </w:r>
    </w:p>
    <w:p w14:paraId="132BDD0A" w14:textId="77777777" w:rsidR="00B05562" w:rsidRDefault="00B05562">
      <w:pPr>
        <w:spacing w:line="360" w:lineRule="auto"/>
        <w:ind w:right="26"/>
        <w:rPr>
          <w:rFonts w:ascii="宋体" w:hAnsi="宋体"/>
          <w:sz w:val="24"/>
        </w:rPr>
      </w:pPr>
    </w:p>
    <w:p w14:paraId="14CB8388" w14:textId="77777777" w:rsidR="00B05562" w:rsidRDefault="00B05562">
      <w:pPr>
        <w:spacing w:line="360" w:lineRule="auto"/>
        <w:ind w:right="26"/>
        <w:rPr>
          <w:rFonts w:ascii="宋体" w:hAnsi="宋体"/>
          <w:sz w:val="24"/>
        </w:rPr>
      </w:pPr>
    </w:p>
    <w:p w14:paraId="5E81A30A" w14:textId="77777777" w:rsidR="00B05562" w:rsidRDefault="00B05562">
      <w:pPr>
        <w:spacing w:line="360" w:lineRule="auto"/>
        <w:ind w:right="26"/>
        <w:rPr>
          <w:rFonts w:ascii="宋体" w:hAnsi="宋体"/>
          <w:sz w:val="24"/>
        </w:rPr>
      </w:pPr>
    </w:p>
    <w:p w14:paraId="2E589E09" w14:textId="77777777" w:rsidR="00B05562" w:rsidRDefault="00B05562">
      <w:pPr>
        <w:spacing w:line="360" w:lineRule="auto"/>
        <w:ind w:right="26"/>
        <w:rPr>
          <w:rFonts w:ascii="宋体" w:hAnsi="宋体"/>
          <w:sz w:val="24"/>
        </w:rPr>
      </w:pPr>
    </w:p>
    <w:p w14:paraId="18B38C39" w14:textId="77777777" w:rsidR="00B05562" w:rsidRDefault="004C5F38">
      <w:pPr>
        <w:spacing w:line="360" w:lineRule="auto"/>
        <w:ind w:right="26"/>
        <w:rPr>
          <w:rFonts w:ascii="宋体" w:hAnsi="宋体"/>
          <w:sz w:val="24"/>
        </w:rPr>
      </w:pPr>
      <w:r>
        <w:rPr>
          <w:rFonts w:ascii="宋体" w:hAnsi="宋体" w:hint="eastAsia"/>
          <w:sz w:val="24"/>
        </w:rPr>
        <w:t xml:space="preserve">法定代表人或授权代表：                   </w:t>
      </w:r>
    </w:p>
    <w:p w14:paraId="3B172F17" w14:textId="77777777" w:rsidR="00B05562" w:rsidRDefault="00B05562">
      <w:pPr>
        <w:spacing w:line="360" w:lineRule="auto"/>
        <w:ind w:right="26"/>
        <w:rPr>
          <w:rFonts w:ascii="宋体" w:hAnsi="宋体"/>
          <w:b/>
          <w:sz w:val="24"/>
          <w:szCs w:val="28"/>
        </w:rPr>
      </w:pPr>
    </w:p>
    <w:p w14:paraId="03764AAB" w14:textId="77777777" w:rsidR="00B05562" w:rsidRDefault="00B05562">
      <w:pPr>
        <w:spacing w:line="360" w:lineRule="auto"/>
        <w:ind w:right="26"/>
        <w:rPr>
          <w:rFonts w:ascii="宋体" w:hAnsi="宋体"/>
          <w:b/>
          <w:sz w:val="24"/>
          <w:szCs w:val="28"/>
        </w:rPr>
      </w:pPr>
    </w:p>
    <w:p w14:paraId="6C1B3645" w14:textId="77777777" w:rsidR="00B05562" w:rsidRDefault="00B05562">
      <w:pPr>
        <w:spacing w:line="360" w:lineRule="auto"/>
        <w:ind w:right="26"/>
        <w:rPr>
          <w:rFonts w:ascii="宋体" w:hAnsi="宋体"/>
          <w:b/>
          <w:sz w:val="24"/>
          <w:szCs w:val="28"/>
        </w:rPr>
      </w:pPr>
    </w:p>
    <w:p w14:paraId="6AFDDF16" w14:textId="77777777" w:rsidR="00B05562" w:rsidRDefault="004C5F38">
      <w:pPr>
        <w:spacing w:line="360" w:lineRule="auto"/>
        <w:ind w:right="26"/>
        <w:rPr>
          <w:rFonts w:ascii="宋体" w:hAnsi="宋体"/>
          <w:b/>
          <w:sz w:val="24"/>
          <w:szCs w:val="28"/>
        </w:rPr>
      </w:pPr>
      <w:r>
        <w:rPr>
          <w:rFonts w:ascii="宋体" w:hAnsi="宋体" w:hint="eastAsia"/>
          <w:b/>
          <w:sz w:val="24"/>
          <w:szCs w:val="28"/>
        </w:rPr>
        <w:t>签订地点：</w:t>
      </w:r>
    </w:p>
    <w:p w14:paraId="28645018" w14:textId="1D38A3A4" w:rsidR="00B05562" w:rsidRDefault="004C5F38">
      <w:pPr>
        <w:spacing w:line="360" w:lineRule="auto"/>
        <w:ind w:right="26"/>
        <w:rPr>
          <w:rFonts w:ascii="宋体" w:hAnsi="宋体"/>
          <w:b/>
          <w:sz w:val="24"/>
          <w:szCs w:val="28"/>
        </w:rPr>
      </w:pPr>
      <w:r>
        <w:rPr>
          <w:rFonts w:ascii="宋体" w:hAnsi="宋体" w:hint="eastAsia"/>
          <w:b/>
          <w:sz w:val="24"/>
          <w:szCs w:val="28"/>
        </w:rPr>
        <w:t>签 订 日：</w:t>
      </w:r>
      <w:bookmarkStart w:id="113" w:name="_GoBack"/>
      <w:bookmarkEnd w:id="113"/>
      <w:r>
        <w:rPr>
          <w:rFonts w:ascii="宋体" w:hAnsi="宋体" w:cs="宋体" w:hint="eastAsia"/>
          <w:b/>
          <w:sz w:val="24"/>
          <w:szCs w:val="28"/>
        </w:rPr>
        <w:t xml:space="preserve">  </w:t>
      </w:r>
      <w:r>
        <w:rPr>
          <w:rFonts w:ascii="宋体" w:hAnsi="宋体" w:hint="eastAsia"/>
          <w:b/>
          <w:sz w:val="24"/>
          <w:szCs w:val="28"/>
        </w:rPr>
        <w:t>年</w:t>
      </w:r>
      <w:r>
        <w:rPr>
          <w:rFonts w:ascii="宋体" w:hAnsi="宋体" w:cs="宋体" w:hint="eastAsia"/>
          <w:b/>
          <w:sz w:val="24"/>
          <w:szCs w:val="28"/>
        </w:rPr>
        <w:t xml:space="preserve">   </w:t>
      </w:r>
      <w:r>
        <w:rPr>
          <w:rFonts w:ascii="宋体" w:hAnsi="宋体" w:hint="eastAsia"/>
          <w:b/>
          <w:sz w:val="24"/>
          <w:szCs w:val="28"/>
        </w:rPr>
        <w:t>月</w:t>
      </w:r>
      <w:r>
        <w:rPr>
          <w:rFonts w:ascii="宋体" w:hAnsi="宋体" w:cs="宋体" w:hint="eastAsia"/>
          <w:b/>
          <w:sz w:val="24"/>
          <w:szCs w:val="28"/>
        </w:rPr>
        <w:t xml:space="preserve">   </w:t>
      </w:r>
      <w:r>
        <w:rPr>
          <w:rFonts w:ascii="宋体" w:hAnsi="宋体" w:hint="eastAsia"/>
          <w:b/>
          <w:sz w:val="24"/>
          <w:szCs w:val="28"/>
        </w:rPr>
        <w:t>日</w:t>
      </w:r>
    </w:p>
    <w:p w14:paraId="2B61815C" w14:textId="77777777" w:rsidR="00B05562" w:rsidRDefault="00B05562">
      <w:pPr>
        <w:adjustRightInd w:val="0"/>
        <w:snapToGrid w:val="0"/>
        <w:spacing w:line="360" w:lineRule="auto"/>
        <w:rPr>
          <w:rFonts w:ascii="宋体" w:hAnsi="宋体" w:cs="Arial"/>
          <w:sz w:val="24"/>
        </w:rPr>
      </w:pPr>
    </w:p>
    <w:p w14:paraId="56AC7BB0" w14:textId="77777777" w:rsidR="00B05562" w:rsidRDefault="00B05562">
      <w:pPr>
        <w:spacing w:line="360" w:lineRule="auto"/>
        <w:rPr>
          <w:rFonts w:ascii="宋体" w:hAnsi="宋体"/>
        </w:rPr>
      </w:pPr>
    </w:p>
    <w:sectPr w:rsidR="00B05562">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536F1" w14:textId="77777777" w:rsidR="00343AE1" w:rsidRDefault="00343AE1">
      <w:r>
        <w:separator/>
      </w:r>
    </w:p>
  </w:endnote>
  <w:endnote w:type="continuationSeparator" w:id="0">
    <w:p w14:paraId="64FEACBA" w14:textId="77777777" w:rsidR="00343AE1" w:rsidRDefault="0034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338F" w14:textId="77777777" w:rsidR="00B05562" w:rsidRDefault="004C5F38">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42</w:t>
    </w:r>
    <w:r>
      <w:rPr>
        <w:rStyle w:val="af"/>
      </w:rPr>
      <w:fldChar w:fldCharType="end"/>
    </w:r>
  </w:p>
  <w:p w14:paraId="5813DE86" w14:textId="77777777" w:rsidR="00B05562" w:rsidRDefault="00B0556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432C" w14:textId="245EFB02" w:rsidR="00B05562" w:rsidRDefault="00B05562">
    <w:pPr>
      <w:pStyle w:val="a8"/>
      <w:framePr w:wrap="around" w:vAnchor="text" w:hAnchor="margin" w:xAlign="center" w:y="1"/>
      <w:rPr>
        <w:rStyle w:val="af"/>
      </w:rPr>
    </w:pPr>
  </w:p>
  <w:p w14:paraId="0BAACE4C" w14:textId="77777777" w:rsidR="00B05562" w:rsidRDefault="00B0556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910" w14:textId="28AEDFFC" w:rsidR="005B52BE" w:rsidRDefault="005B52BE">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43</w:t>
    </w:r>
    <w:r>
      <w:rPr>
        <w:rStyle w:val="af"/>
      </w:rPr>
      <w:fldChar w:fldCharType="end"/>
    </w:r>
  </w:p>
  <w:p w14:paraId="2518B1FF" w14:textId="77777777" w:rsidR="005B52BE" w:rsidRDefault="005B52BE">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A8F7" w14:textId="77777777" w:rsidR="00B05562" w:rsidRDefault="00B055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5FC3B" w14:textId="77777777" w:rsidR="00343AE1" w:rsidRDefault="00343AE1">
      <w:r>
        <w:separator/>
      </w:r>
    </w:p>
  </w:footnote>
  <w:footnote w:type="continuationSeparator" w:id="0">
    <w:p w14:paraId="40562404" w14:textId="77777777" w:rsidR="00343AE1" w:rsidRDefault="0034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25D6" w14:textId="4ED4043E" w:rsidR="00B05562" w:rsidRDefault="004C5F38">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7D25" w14:textId="77777777" w:rsidR="00B05562" w:rsidRDefault="004C5F38">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isplayBackgroundShape/>
  <w:bordersDoNotSurroundHeader/>
  <w:bordersDoNotSurroundFooter/>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249D6"/>
    <w:rsid w:val="00025EBB"/>
    <w:rsid w:val="000303E0"/>
    <w:rsid w:val="00033697"/>
    <w:rsid w:val="00040F5C"/>
    <w:rsid w:val="00043538"/>
    <w:rsid w:val="00052DD1"/>
    <w:rsid w:val="00055B8E"/>
    <w:rsid w:val="00064D22"/>
    <w:rsid w:val="000662BB"/>
    <w:rsid w:val="000734C2"/>
    <w:rsid w:val="000836E4"/>
    <w:rsid w:val="000841AB"/>
    <w:rsid w:val="00085734"/>
    <w:rsid w:val="0009125B"/>
    <w:rsid w:val="00092B02"/>
    <w:rsid w:val="00092D0E"/>
    <w:rsid w:val="000A0BA6"/>
    <w:rsid w:val="000A0DC9"/>
    <w:rsid w:val="000A6320"/>
    <w:rsid w:val="000A6C25"/>
    <w:rsid w:val="000A7B1C"/>
    <w:rsid w:val="000B2CE6"/>
    <w:rsid w:val="000B6015"/>
    <w:rsid w:val="000B6BF5"/>
    <w:rsid w:val="000C0991"/>
    <w:rsid w:val="000C1DB4"/>
    <w:rsid w:val="000D0CCB"/>
    <w:rsid w:val="000D4B45"/>
    <w:rsid w:val="000F0982"/>
    <w:rsid w:val="000F5ED3"/>
    <w:rsid w:val="00100B98"/>
    <w:rsid w:val="0010767C"/>
    <w:rsid w:val="001115B3"/>
    <w:rsid w:val="001125C9"/>
    <w:rsid w:val="00132C6D"/>
    <w:rsid w:val="00135594"/>
    <w:rsid w:val="00140859"/>
    <w:rsid w:val="0014099C"/>
    <w:rsid w:val="0015074B"/>
    <w:rsid w:val="0017190E"/>
    <w:rsid w:val="00184EA2"/>
    <w:rsid w:val="0018537F"/>
    <w:rsid w:val="001940A0"/>
    <w:rsid w:val="00197230"/>
    <w:rsid w:val="001A3B29"/>
    <w:rsid w:val="001A49E4"/>
    <w:rsid w:val="001C05A5"/>
    <w:rsid w:val="001C7D61"/>
    <w:rsid w:val="001D76FC"/>
    <w:rsid w:val="001F0793"/>
    <w:rsid w:val="002003A2"/>
    <w:rsid w:val="002034B0"/>
    <w:rsid w:val="00212970"/>
    <w:rsid w:val="00215040"/>
    <w:rsid w:val="002173F8"/>
    <w:rsid w:val="00227208"/>
    <w:rsid w:val="00230FA1"/>
    <w:rsid w:val="00232A1C"/>
    <w:rsid w:val="002358C1"/>
    <w:rsid w:val="00251A06"/>
    <w:rsid w:val="002641D1"/>
    <w:rsid w:val="002675F3"/>
    <w:rsid w:val="002733AC"/>
    <w:rsid w:val="00273960"/>
    <w:rsid w:val="00274EA9"/>
    <w:rsid w:val="0028148E"/>
    <w:rsid w:val="002825A4"/>
    <w:rsid w:val="0028293D"/>
    <w:rsid w:val="002A0A0C"/>
    <w:rsid w:val="002B1089"/>
    <w:rsid w:val="002B4247"/>
    <w:rsid w:val="002B5BE9"/>
    <w:rsid w:val="002B61C1"/>
    <w:rsid w:val="002C0D68"/>
    <w:rsid w:val="002C49A9"/>
    <w:rsid w:val="002D5DBF"/>
    <w:rsid w:val="002D640A"/>
    <w:rsid w:val="00303FBE"/>
    <w:rsid w:val="00307099"/>
    <w:rsid w:val="00316F3E"/>
    <w:rsid w:val="00320784"/>
    <w:rsid w:val="00325859"/>
    <w:rsid w:val="00332F13"/>
    <w:rsid w:val="00343AE1"/>
    <w:rsid w:val="00353BD1"/>
    <w:rsid w:val="00361048"/>
    <w:rsid w:val="003611B9"/>
    <w:rsid w:val="00363BA7"/>
    <w:rsid w:val="0037368E"/>
    <w:rsid w:val="003751D1"/>
    <w:rsid w:val="00376763"/>
    <w:rsid w:val="00383FBF"/>
    <w:rsid w:val="00386D21"/>
    <w:rsid w:val="0039110D"/>
    <w:rsid w:val="003946DD"/>
    <w:rsid w:val="00395BE1"/>
    <w:rsid w:val="003A4EEC"/>
    <w:rsid w:val="003A7025"/>
    <w:rsid w:val="003B1C14"/>
    <w:rsid w:val="003B46F9"/>
    <w:rsid w:val="003B7E82"/>
    <w:rsid w:val="003D2A48"/>
    <w:rsid w:val="003E1E8E"/>
    <w:rsid w:val="003F0D6B"/>
    <w:rsid w:val="003F24F1"/>
    <w:rsid w:val="00401831"/>
    <w:rsid w:val="004045F9"/>
    <w:rsid w:val="004070BF"/>
    <w:rsid w:val="004103A2"/>
    <w:rsid w:val="00412734"/>
    <w:rsid w:val="00415F65"/>
    <w:rsid w:val="00433C78"/>
    <w:rsid w:val="0043423D"/>
    <w:rsid w:val="004404ED"/>
    <w:rsid w:val="00450BD6"/>
    <w:rsid w:val="004569BE"/>
    <w:rsid w:val="004606C9"/>
    <w:rsid w:val="00465034"/>
    <w:rsid w:val="0046683C"/>
    <w:rsid w:val="004675E8"/>
    <w:rsid w:val="00470D80"/>
    <w:rsid w:val="00472D5F"/>
    <w:rsid w:val="0047762F"/>
    <w:rsid w:val="004820FE"/>
    <w:rsid w:val="00484862"/>
    <w:rsid w:val="004A1E71"/>
    <w:rsid w:val="004A2465"/>
    <w:rsid w:val="004A53CC"/>
    <w:rsid w:val="004A6368"/>
    <w:rsid w:val="004B3796"/>
    <w:rsid w:val="004C1330"/>
    <w:rsid w:val="004C19B4"/>
    <w:rsid w:val="004C1CF8"/>
    <w:rsid w:val="004C5F38"/>
    <w:rsid w:val="004D20B1"/>
    <w:rsid w:val="004D3B8C"/>
    <w:rsid w:val="004E101D"/>
    <w:rsid w:val="004E25EB"/>
    <w:rsid w:val="004E52EF"/>
    <w:rsid w:val="004E6F8A"/>
    <w:rsid w:val="0050027A"/>
    <w:rsid w:val="00501CF4"/>
    <w:rsid w:val="005050A3"/>
    <w:rsid w:val="005050BE"/>
    <w:rsid w:val="0050594B"/>
    <w:rsid w:val="00510EBA"/>
    <w:rsid w:val="00513DBB"/>
    <w:rsid w:val="00532E2A"/>
    <w:rsid w:val="00542BD6"/>
    <w:rsid w:val="0054440A"/>
    <w:rsid w:val="005500B0"/>
    <w:rsid w:val="00580061"/>
    <w:rsid w:val="00591EB4"/>
    <w:rsid w:val="00593605"/>
    <w:rsid w:val="0059405A"/>
    <w:rsid w:val="005A2446"/>
    <w:rsid w:val="005B1ADA"/>
    <w:rsid w:val="005B2110"/>
    <w:rsid w:val="005B52BE"/>
    <w:rsid w:val="005B7AA2"/>
    <w:rsid w:val="005C04EC"/>
    <w:rsid w:val="005C606F"/>
    <w:rsid w:val="005D129B"/>
    <w:rsid w:val="005D1CF0"/>
    <w:rsid w:val="005D2018"/>
    <w:rsid w:val="005D6A9F"/>
    <w:rsid w:val="005D71F6"/>
    <w:rsid w:val="005E17DA"/>
    <w:rsid w:val="005E33FE"/>
    <w:rsid w:val="005E654C"/>
    <w:rsid w:val="005E7D65"/>
    <w:rsid w:val="005F1CE9"/>
    <w:rsid w:val="005F3A20"/>
    <w:rsid w:val="005F4C60"/>
    <w:rsid w:val="0060300C"/>
    <w:rsid w:val="006126F0"/>
    <w:rsid w:val="00614F24"/>
    <w:rsid w:val="00616CEF"/>
    <w:rsid w:val="006246F3"/>
    <w:rsid w:val="00626EC3"/>
    <w:rsid w:val="00634F7C"/>
    <w:rsid w:val="0063571B"/>
    <w:rsid w:val="006358B1"/>
    <w:rsid w:val="006414B2"/>
    <w:rsid w:val="00642A8A"/>
    <w:rsid w:val="00645DC7"/>
    <w:rsid w:val="00654841"/>
    <w:rsid w:val="0065627F"/>
    <w:rsid w:val="00661CA3"/>
    <w:rsid w:val="00661F59"/>
    <w:rsid w:val="006753D7"/>
    <w:rsid w:val="00676E2E"/>
    <w:rsid w:val="0068629F"/>
    <w:rsid w:val="00687CD1"/>
    <w:rsid w:val="00691732"/>
    <w:rsid w:val="006A5F59"/>
    <w:rsid w:val="006B13D5"/>
    <w:rsid w:val="006B4273"/>
    <w:rsid w:val="006C3354"/>
    <w:rsid w:val="006D0EA5"/>
    <w:rsid w:val="006D4447"/>
    <w:rsid w:val="006E5EFC"/>
    <w:rsid w:val="006E6C04"/>
    <w:rsid w:val="006E7C25"/>
    <w:rsid w:val="006F779C"/>
    <w:rsid w:val="00703887"/>
    <w:rsid w:val="00706656"/>
    <w:rsid w:val="007077F1"/>
    <w:rsid w:val="00710218"/>
    <w:rsid w:val="0072261C"/>
    <w:rsid w:val="00726310"/>
    <w:rsid w:val="00734FDC"/>
    <w:rsid w:val="0073607B"/>
    <w:rsid w:val="0074065C"/>
    <w:rsid w:val="0075591A"/>
    <w:rsid w:val="00755C13"/>
    <w:rsid w:val="00755C3A"/>
    <w:rsid w:val="00765ED3"/>
    <w:rsid w:val="007667E8"/>
    <w:rsid w:val="007721C3"/>
    <w:rsid w:val="00774793"/>
    <w:rsid w:val="007748AD"/>
    <w:rsid w:val="00775F3A"/>
    <w:rsid w:val="0078544F"/>
    <w:rsid w:val="00790D2C"/>
    <w:rsid w:val="00795194"/>
    <w:rsid w:val="00796D6A"/>
    <w:rsid w:val="007A354E"/>
    <w:rsid w:val="007A5C83"/>
    <w:rsid w:val="007C268E"/>
    <w:rsid w:val="007C3443"/>
    <w:rsid w:val="007D6157"/>
    <w:rsid w:val="007E23D0"/>
    <w:rsid w:val="007F3D68"/>
    <w:rsid w:val="007F619B"/>
    <w:rsid w:val="007F62F9"/>
    <w:rsid w:val="0080732A"/>
    <w:rsid w:val="008121F7"/>
    <w:rsid w:val="00814A7F"/>
    <w:rsid w:val="00816B6A"/>
    <w:rsid w:val="00820193"/>
    <w:rsid w:val="00820591"/>
    <w:rsid w:val="008236A5"/>
    <w:rsid w:val="0083046C"/>
    <w:rsid w:val="00833B12"/>
    <w:rsid w:val="008346A1"/>
    <w:rsid w:val="008350E5"/>
    <w:rsid w:val="008354CD"/>
    <w:rsid w:val="00837402"/>
    <w:rsid w:val="0084553F"/>
    <w:rsid w:val="0084614A"/>
    <w:rsid w:val="00847DD3"/>
    <w:rsid w:val="00850426"/>
    <w:rsid w:val="00852205"/>
    <w:rsid w:val="008547B4"/>
    <w:rsid w:val="0085689A"/>
    <w:rsid w:val="00860DC1"/>
    <w:rsid w:val="00863FCF"/>
    <w:rsid w:val="008675B8"/>
    <w:rsid w:val="0087125E"/>
    <w:rsid w:val="00872089"/>
    <w:rsid w:val="00875BA4"/>
    <w:rsid w:val="008830A6"/>
    <w:rsid w:val="008A1CEC"/>
    <w:rsid w:val="008B112F"/>
    <w:rsid w:val="008C0954"/>
    <w:rsid w:val="008C0AC9"/>
    <w:rsid w:val="008C288B"/>
    <w:rsid w:val="008C32DC"/>
    <w:rsid w:val="008C53D3"/>
    <w:rsid w:val="008D0205"/>
    <w:rsid w:val="008E0BAD"/>
    <w:rsid w:val="008E2099"/>
    <w:rsid w:val="008F08D7"/>
    <w:rsid w:val="008F23A8"/>
    <w:rsid w:val="00906B21"/>
    <w:rsid w:val="00912F8C"/>
    <w:rsid w:val="0091304D"/>
    <w:rsid w:val="00915071"/>
    <w:rsid w:val="0091596D"/>
    <w:rsid w:val="009204E9"/>
    <w:rsid w:val="00927782"/>
    <w:rsid w:val="009307BC"/>
    <w:rsid w:val="00934AF7"/>
    <w:rsid w:val="00935217"/>
    <w:rsid w:val="0093578F"/>
    <w:rsid w:val="00940507"/>
    <w:rsid w:val="009428F5"/>
    <w:rsid w:val="00953FA5"/>
    <w:rsid w:val="00976406"/>
    <w:rsid w:val="009768C4"/>
    <w:rsid w:val="00981311"/>
    <w:rsid w:val="00984D18"/>
    <w:rsid w:val="00991CCD"/>
    <w:rsid w:val="009A0D80"/>
    <w:rsid w:val="009A47DD"/>
    <w:rsid w:val="009B16A7"/>
    <w:rsid w:val="009C12A1"/>
    <w:rsid w:val="009C6E25"/>
    <w:rsid w:val="009D1ECE"/>
    <w:rsid w:val="009D60E2"/>
    <w:rsid w:val="009D76C4"/>
    <w:rsid w:val="009E073F"/>
    <w:rsid w:val="009E2CC7"/>
    <w:rsid w:val="009F2F01"/>
    <w:rsid w:val="009F384A"/>
    <w:rsid w:val="009F59DC"/>
    <w:rsid w:val="00A018D7"/>
    <w:rsid w:val="00A02B86"/>
    <w:rsid w:val="00A123EA"/>
    <w:rsid w:val="00A15A53"/>
    <w:rsid w:val="00A177E3"/>
    <w:rsid w:val="00A21157"/>
    <w:rsid w:val="00A21EDE"/>
    <w:rsid w:val="00A2272D"/>
    <w:rsid w:val="00A24D34"/>
    <w:rsid w:val="00A24F7D"/>
    <w:rsid w:val="00A252B9"/>
    <w:rsid w:val="00A262F2"/>
    <w:rsid w:val="00A32818"/>
    <w:rsid w:val="00A36003"/>
    <w:rsid w:val="00A44E96"/>
    <w:rsid w:val="00A6029A"/>
    <w:rsid w:val="00A606FD"/>
    <w:rsid w:val="00A65DD8"/>
    <w:rsid w:val="00A72217"/>
    <w:rsid w:val="00A7255A"/>
    <w:rsid w:val="00A74063"/>
    <w:rsid w:val="00A74228"/>
    <w:rsid w:val="00A82D35"/>
    <w:rsid w:val="00A83C38"/>
    <w:rsid w:val="00A843F4"/>
    <w:rsid w:val="00A8441F"/>
    <w:rsid w:val="00A863F0"/>
    <w:rsid w:val="00A875F7"/>
    <w:rsid w:val="00A936A1"/>
    <w:rsid w:val="00A965E8"/>
    <w:rsid w:val="00A976C3"/>
    <w:rsid w:val="00AA2BBB"/>
    <w:rsid w:val="00AB1BE8"/>
    <w:rsid w:val="00AB22F2"/>
    <w:rsid w:val="00AB23A9"/>
    <w:rsid w:val="00AB29B7"/>
    <w:rsid w:val="00AC2F84"/>
    <w:rsid w:val="00AD1C13"/>
    <w:rsid w:val="00AD21CA"/>
    <w:rsid w:val="00AD5827"/>
    <w:rsid w:val="00AF3F5A"/>
    <w:rsid w:val="00AF40D0"/>
    <w:rsid w:val="00AF56E4"/>
    <w:rsid w:val="00B01F13"/>
    <w:rsid w:val="00B05562"/>
    <w:rsid w:val="00B069F6"/>
    <w:rsid w:val="00B14F0A"/>
    <w:rsid w:val="00B22C34"/>
    <w:rsid w:val="00B23F38"/>
    <w:rsid w:val="00B2400F"/>
    <w:rsid w:val="00B34E98"/>
    <w:rsid w:val="00B34FD6"/>
    <w:rsid w:val="00B420FA"/>
    <w:rsid w:val="00B51686"/>
    <w:rsid w:val="00B52A7B"/>
    <w:rsid w:val="00B53BDB"/>
    <w:rsid w:val="00B629DF"/>
    <w:rsid w:val="00B649FE"/>
    <w:rsid w:val="00B747BD"/>
    <w:rsid w:val="00B778DE"/>
    <w:rsid w:val="00B77E96"/>
    <w:rsid w:val="00B8225A"/>
    <w:rsid w:val="00B84672"/>
    <w:rsid w:val="00B876E3"/>
    <w:rsid w:val="00B9408B"/>
    <w:rsid w:val="00BA1396"/>
    <w:rsid w:val="00BA24F2"/>
    <w:rsid w:val="00BA27AF"/>
    <w:rsid w:val="00BA6047"/>
    <w:rsid w:val="00BB1209"/>
    <w:rsid w:val="00BC408F"/>
    <w:rsid w:val="00BC43DE"/>
    <w:rsid w:val="00BD039F"/>
    <w:rsid w:val="00BD11C6"/>
    <w:rsid w:val="00BD1268"/>
    <w:rsid w:val="00BD587D"/>
    <w:rsid w:val="00BD6BC7"/>
    <w:rsid w:val="00BE3E42"/>
    <w:rsid w:val="00BE5076"/>
    <w:rsid w:val="00BE62DC"/>
    <w:rsid w:val="00BF0ADF"/>
    <w:rsid w:val="00BF1608"/>
    <w:rsid w:val="00BF7A74"/>
    <w:rsid w:val="00C11B14"/>
    <w:rsid w:val="00C127A4"/>
    <w:rsid w:val="00C166BF"/>
    <w:rsid w:val="00C16971"/>
    <w:rsid w:val="00C25C70"/>
    <w:rsid w:val="00C31647"/>
    <w:rsid w:val="00C5268F"/>
    <w:rsid w:val="00C52B29"/>
    <w:rsid w:val="00C56EEA"/>
    <w:rsid w:val="00C6220C"/>
    <w:rsid w:val="00C63E51"/>
    <w:rsid w:val="00C73F74"/>
    <w:rsid w:val="00C803D7"/>
    <w:rsid w:val="00C8374D"/>
    <w:rsid w:val="00C86A79"/>
    <w:rsid w:val="00C8703E"/>
    <w:rsid w:val="00C90423"/>
    <w:rsid w:val="00C914E3"/>
    <w:rsid w:val="00C92E3C"/>
    <w:rsid w:val="00CA22C3"/>
    <w:rsid w:val="00CC046F"/>
    <w:rsid w:val="00CC3980"/>
    <w:rsid w:val="00CC471E"/>
    <w:rsid w:val="00CC4D9B"/>
    <w:rsid w:val="00CD6844"/>
    <w:rsid w:val="00CD75A2"/>
    <w:rsid w:val="00CE1EC6"/>
    <w:rsid w:val="00CF6ACE"/>
    <w:rsid w:val="00D00251"/>
    <w:rsid w:val="00D068F3"/>
    <w:rsid w:val="00D06C7F"/>
    <w:rsid w:val="00D113D5"/>
    <w:rsid w:val="00D1676A"/>
    <w:rsid w:val="00D24517"/>
    <w:rsid w:val="00D25BFB"/>
    <w:rsid w:val="00D318C1"/>
    <w:rsid w:val="00D33B26"/>
    <w:rsid w:val="00D33B2F"/>
    <w:rsid w:val="00D37EB8"/>
    <w:rsid w:val="00D53A68"/>
    <w:rsid w:val="00D55E1F"/>
    <w:rsid w:val="00D561E3"/>
    <w:rsid w:val="00D64C37"/>
    <w:rsid w:val="00D654BA"/>
    <w:rsid w:val="00D65C0B"/>
    <w:rsid w:val="00D83EAA"/>
    <w:rsid w:val="00D86008"/>
    <w:rsid w:val="00D87A49"/>
    <w:rsid w:val="00D91570"/>
    <w:rsid w:val="00D92327"/>
    <w:rsid w:val="00D92AF5"/>
    <w:rsid w:val="00D94781"/>
    <w:rsid w:val="00D976A5"/>
    <w:rsid w:val="00D97B38"/>
    <w:rsid w:val="00DA05A2"/>
    <w:rsid w:val="00DA0D37"/>
    <w:rsid w:val="00DA356F"/>
    <w:rsid w:val="00DA48BB"/>
    <w:rsid w:val="00DB1C9C"/>
    <w:rsid w:val="00DB37BB"/>
    <w:rsid w:val="00DB7902"/>
    <w:rsid w:val="00DC34F5"/>
    <w:rsid w:val="00DC3B6B"/>
    <w:rsid w:val="00DD4E54"/>
    <w:rsid w:val="00DD6CE1"/>
    <w:rsid w:val="00DE0E6F"/>
    <w:rsid w:val="00DF1B07"/>
    <w:rsid w:val="00DF2E52"/>
    <w:rsid w:val="00DF3A43"/>
    <w:rsid w:val="00DF68BF"/>
    <w:rsid w:val="00E05376"/>
    <w:rsid w:val="00E05F79"/>
    <w:rsid w:val="00E10C87"/>
    <w:rsid w:val="00E17A63"/>
    <w:rsid w:val="00E17D3C"/>
    <w:rsid w:val="00E26940"/>
    <w:rsid w:val="00E2728F"/>
    <w:rsid w:val="00E356F6"/>
    <w:rsid w:val="00E43147"/>
    <w:rsid w:val="00E504E2"/>
    <w:rsid w:val="00E50B4E"/>
    <w:rsid w:val="00E538B1"/>
    <w:rsid w:val="00E53946"/>
    <w:rsid w:val="00E54677"/>
    <w:rsid w:val="00E547E1"/>
    <w:rsid w:val="00E5770F"/>
    <w:rsid w:val="00E66576"/>
    <w:rsid w:val="00E74135"/>
    <w:rsid w:val="00E937EB"/>
    <w:rsid w:val="00E95243"/>
    <w:rsid w:val="00E9794B"/>
    <w:rsid w:val="00EA159F"/>
    <w:rsid w:val="00EA1613"/>
    <w:rsid w:val="00EA2E84"/>
    <w:rsid w:val="00EA3141"/>
    <w:rsid w:val="00EA6276"/>
    <w:rsid w:val="00EA773B"/>
    <w:rsid w:val="00EB4102"/>
    <w:rsid w:val="00EC1FA8"/>
    <w:rsid w:val="00EC2B4D"/>
    <w:rsid w:val="00EC2E22"/>
    <w:rsid w:val="00EC5CDF"/>
    <w:rsid w:val="00ED5708"/>
    <w:rsid w:val="00ED6657"/>
    <w:rsid w:val="00EE06E4"/>
    <w:rsid w:val="00EE2BE5"/>
    <w:rsid w:val="00EF043F"/>
    <w:rsid w:val="00EF5CF7"/>
    <w:rsid w:val="00F078D6"/>
    <w:rsid w:val="00F1170D"/>
    <w:rsid w:val="00F139E0"/>
    <w:rsid w:val="00F14CCF"/>
    <w:rsid w:val="00F1565E"/>
    <w:rsid w:val="00F2367B"/>
    <w:rsid w:val="00F24B1A"/>
    <w:rsid w:val="00F31816"/>
    <w:rsid w:val="00F326EC"/>
    <w:rsid w:val="00F365A0"/>
    <w:rsid w:val="00F422C5"/>
    <w:rsid w:val="00F44A5D"/>
    <w:rsid w:val="00F45029"/>
    <w:rsid w:val="00F46567"/>
    <w:rsid w:val="00F50ADC"/>
    <w:rsid w:val="00F5410E"/>
    <w:rsid w:val="00F57A45"/>
    <w:rsid w:val="00F61D4D"/>
    <w:rsid w:val="00F74812"/>
    <w:rsid w:val="00F80761"/>
    <w:rsid w:val="00F838E9"/>
    <w:rsid w:val="00F85C9E"/>
    <w:rsid w:val="00F86473"/>
    <w:rsid w:val="00F8744B"/>
    <w:rsid w:val="00F94D1D"/>
    <w:rsid w:val="00F95D93"/>
    <w:rsid w:val="00FA1D61"/>
    <w:rsid w:val="00FA61FA"/>
    <w:rsid w:val="00FB2B2E"/>
    <w:rsid w:val="00FB32B5"/>
    <w:rsid w:val="00FB379E"/>
    <w:rsid w:val="00FB54E5"/>
    <w:rsid w:val="00FB5D70"/>
    <w:rsid w:val="00FC47DF"/>
    <w:rsid w:val="00FC54E9"/>
    <w:rsid w:val="00FC71A4"/>
    <w:rsid w:val="00FC7518"/>
    <w:rsid w:val="00FD049E"/>
    <w:rsid w:val="00FD05C9"/>
    <w:rsid w:val="00FD3720"/>
    <w:rsid w:val="00FE0488"/>
    <w:rsid w:val="00FE439A"/>
    <w:rsid w:val="00FF238E"/>
    <w:rsid w:val="00FF4309"/>
    <w:rsid w:val="00FF6DF9"/>
    <w:rsid w:val="057F13E1"/>
    <w:rsid w:val="24806EE4"/>
    <w:rsid w:val="24BC32DA"/>
    <w:rsid w:val="2C3A210E"/>
    <w:rsid w:val="2CBB231A"/>
    <w:rsid w:val="3A830B88"/>
    <w:rsid w:val="53E605A8"/>
    <w:rsid w:val="54FA013D"/>
    <w:rsid w:val="5A372751"/>
    <w:rsid w:val="73307147"/>
    <w:rsid w:val="79AD29A2"/>
    <w:rsid w:val="7A3B6EB6"/>
    <w:rsid w:val="7C55154F"/>
    <w:rsid w:val="7DAA5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201F9"/>
  <w15:docId w15:val="{079ADFA4-325C-425C-AA2D-C5E65B4A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4">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20">
    <w:name w:val="批注文字 字符2"/>
    <w:link w:val="a4"/>
    <w:uiPriority w:val="99"/>
    <w:qFormat/>
    <w:rPr>
      <w:rFonts w:ascii="Times New Roman" w:eastAsia="宋体" w:hAnsi="Times New Roman" w:cs="Times New Roman"/>
      <w:szCs w:val="24"/>
    </w:rPr>
  </w:style>
  <w:style w:type="character" w:customStyle="1" w:styleId="af3">
    <w:name w:val="正文文本缩进 字符"/>
    <w:uiPriority w:val="99"/>
    <w:semiHidden/>
    <w:qFormat/>
    <w:rPr>
      <w:rFonts w:ascii="Times New Roman" w:eastAsia="宋体" w:hAnsi="Times New Roman" w:cs="Times New Roman"/>
      <w:szCs w:val="24"/>
    </w:rPr>
  </w:style>
  <w:style w:type="character" w:customStyle="1" w:styleId="af4">
    <w:name w:val="批注主题 字符"/>
    <w:uiPriority w:val="99"/>
    <w:semiHidden/>
    <w:qFormat/>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5">
    <w:name w:val="修订1"/>
    <w:uiPriority w:val="99"/>
    <w:semiHidden/>
    <w:qFormat/>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26">
    <w:name w:val="修订2"/>
    <w:hidden/>
    <w:uiPriority w:val="99"/>
    <w:semiHidden/>
    <w:qFormat/>
    <w:rPr>
      <w:rFonts w:ascii="Times New Roman" w:hAnsi="Times New Roman"/>
      <w:kern w:val="2"/>
      <w:sz w:val="21"/>
      <w:szCs w:val="24"/>
    </w:rPr>
  </w:style>
  <w:style w:type="paragraph" w:customStyle="1" w:styleId="33">
    <w:name w:val="修订3"/>
    <w:hidden/>
    <w:uiPriority w:val="99"/>
    <w:semiHidden/>
    <w:rPr>
      <w:rFonts w:ascii="Times New Roman" w:hAnsi="Times New Roman"/>
      <w:kern w:val="2"/>
      <w:sz w:val="21"/>
      <w:szCs w:val="24"/>
    </w:rPr>
  </w:style>
  <w:style w:type="paragraph" w:customStyle="1" w:styleId="40">
    <w:name w:val="修订4"/>
    <w:hidden/>
    <w:uiPriority w:val="99"/>
    <w:semiHidden/>
    <w:rPr>
      <w:rFonts w:ascii="Times New Roman" w:hAnsi="Times New Roman"/>
      <w:kern w:val="2"/>
      <w:sz w:val="21"/>
      <w:szCs w:val="24"/>
    </w:rPr>
  </w:style>
  <w:style w:type="paragraph" w:styleId="af8">
    <w:name w:val="Revision"/>
    <w:hidden/>
    <w:uiPriority w:val="99"/>
    <w:unhideWhenUsed/>
    <w:rsid w:val="00BE62DC"/>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5722-505F-44AA-8FD4-08A670A0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5261</Words>
  <Characters>29988</Characters>
  <Application>Microsoft Office Word</Application>
  <DocSecurity>0</DocSecurity>
  <Lines>249</Lines>
  <Paragraphs>70</Paragraphs>
  <ScaleCrop>false</ScaleCrop>
  <Company>神州网信技术有限公司</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晁梦婷</cp:lastModifiedBy>
  <cp:revision>4</cp:revision>
  <cp:lastPrinted>2026-01-29T11:19:00Z</cp:lastPrinted>
  <dcterms:created xsi:type="dcterms:W3CDTF">2026-06-12T03:03:00Z</dcterms:created>
  <dcterms:modified xsi:type="dcterms:W3CDTF">2026-06-23T06:36:00Z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63151313E10C4DDAACAE742F105BD98B_13</vt:lpwstr>
  </property>
</Properties>
</file>