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0CEDFF" w14:textId="77777777" w:rsidR="00F012EE" w:rsidRDefault="00F012EE">
      <w:pPr>
        <w:adjustRightInd w:val="0"/>
        <w:snapToGrid w:val="0"/>
        <w:spacing w:line="360" w:lineRule="auto"/>
        <w:jc w:val="center"/>
        <w:rPr>
          <w:rFonts w:ascii="宋体" w:eastAsia="宋体" w:hAnsi="宋体" w:cs="Arial"/>
          <w:sz w:val="24"/>
          <w:szCs w:val="24"/>
        </w:rPr>
      </w:pPr>
      <w:bookmarkStart w:id="0" w:name="OLE_LINK2"/>
      <w:bookmarkStart w:id="1" w:name="OLE_LINK4"/>
    </w:p>
    <w:p w14:paraId="191334CB" w14:textId="77777777" w:rsidR="00F012EE" w:rsidRDefault="00F012EE">
      <w:pPr>
        <w:adjustRightInd w:val="0"/>
        <w:snapToGrid w:val="0"/>
        <w:spacing w:line="360" w:lineRule="auto"/>
        <w:jc w:val="center"/>
        <w:rPr>
          <w:rFonts w:ascii="宋体" w:eastAsia="宋体" w:hAnsi="宋体" w:cs="Arial"/>
          <w:sz w:val="24"/>
          <w:szCs w:val="24"/>
        </w:rPr>
      </w:pPr>
    </w:p>
    <w:p w14:paraId="10DD0B78" w14:textId="77777777" w:rsidR="00F012EE" w:rsidRDefault="00F012EE">
      <w:pPr>
        <w:adjustRightInd w:val="0"/>
        <w:snapToGrid w:val="0"/>
        <w:spacing w:line="360" w:lineRule="auto"/>
        <w:jc w:val="center"/>
        <w:rPr>
          <w:rFonts w:ascii="宋体" w:eastAsia="宋体" w:hAnsi="宋体" w:cs="Arial"/>
          <w:sz w:val="24"/>
          <w:szCs w:val="24"/>
        </w:rPr>
      </w:pPr>
    </w:p>
    <w:p w14:paraId="0B0DA528" w14:textId="77777777" w:rsidR="00F012EE" w:rsidRDefault="00F012EE">
      <w:pPr>
        <w:adjustRightInd w:val="0"/>
        <w:snapToGrid w:val="0"/>
        <w:spacing w:line="360" w:lineRule="auto"/>
        <w:jc w:val="center"/>
        <w:rPr>
          <w:rFonts w:ascii="宋体" w:eastAsia="宋体" w:hAnsi="宋体" w:cs="Arial"/>
          <w:sz w:val="24"/>
          <w:szCs w:val="24"/>
        </w:rPr>
      </w:pPr>
    </w:p>
    <w:p w14:paraId="2585A99A" w14:textId="77777777" w:rsidR="00F012EE" w:rsidRDefault="00F012EE">
      <w:pPr>
        <w:adjustRightInd w:val="0"/>
        <w:snapToGrid w:val="0"/>
        <w:spacing w:line="360" w:lineRule="auto"/>
        <w:jc w:val="center"/>
        <w:rPr>
          <w:rFonts w:ascii="宋体" w:eastAsia="宋体" w:hAnsi="宋体" w:cs="Arial"/>
          <w:sz w:val="24"/>
          <w:szCs w:val="24"/>
        </w:rPr>
      </w:pPr>
    </w:p>
    <w:p w14:paraId="13C84A05" w14:textId="77777777" w:rsidR="00F012EE" w:rsidRDefault="00F012EE">
      <w:pPr>
        <w:adjustRightInd w:val="0"/>
        <w:snapToGrid w:val="0"/>
        <w:spacing w:line="360" w:lineRule="auto"/>
        <w:rPr>
          <w:rFonts w:ascii="宋体" w:eastAsia="宋体" w:hAnsi="宋体" w:cs="Arial"/>
          <w:sz w:val="24"/>
          <w:szCs w:val="24"/>
        </w:rPr>
      </w:pPr>
    </w:p>
    <w:p w14:paraId="05CC69D4" w14:textId="77777777" w:rsidR="00F012EE" w:rsidRDefault="00F012EE">
      <w:pPr>
        <w:adjustRightInd w:val="0"/>
        <w:snapToGrid w:val="0"/>
        <w:spacing w:line="360" w:lineRule="auto"/>
        <w:jc w:val="center"/>
        <w:rPr>
          <w:rFonts w:ascii="宋体" w:eastAsia="宋体" w:hAnsi="宋体" w:cs="Arial"/>
          <w:sz w:val="24"/>
          <w:szCs w:val="24"/>
        </w:rPr>
      </w:pPr>
    </w:p>
    <w:p w14:paraId="0E048C7C" w14:textId="77777777" w:rsidR="00F012EE" w:rsidRDefault="00F012EE">
      <w:pPr>
        <w:adjustRightInd w:val="0"/>
        <w:snapToGrid w:val="0"/>
        <w:spacing w:line="360" w:lineRule="auto"/>
        <w:jc w:val="center"/>
        <w:rPr>
          <w:rFonts w:ascii="宋体" w:eastAsia="宋体" w:hAnsi="宋体" w:cs="Arial"/>
          <w:sz w:val="24"/>
          <w:szCs w:val="24"/>
        </w:rPr>
      </w:pPr>
    </w:p>
    <w:p w14:paraId="5F8E39CD" w14:textId="77777777" w:rsidR="00F012EE" w:rsidRDefault="00F012EE">
      <w:pPr>
        <w:adjustRightInd w:val="0"/>
        <w:snapToGrid w:val="0"/>
        <w:spacing w:line="360" w:lineRule="auto"/>
        <w:jc w:val="center"/>
        <w:rPr>
          <w:rFonts w:ascii="宋体" w:eastAsia="宋体" w:hAnsi="宋体" w:cs="Arial"/>
          <w:sz w:val="24"/>
          <w:szCs w:val="24"/>
        </w:rPr>
      </w:pPr>
    </w:p>
    <w:p w14:paraId="6E4C559F" w14:textId="45FA647B" w:rsidR="00F012EE" w:rsidRDefault="00477FBC">
      <w:pPr>
        <w:spacing w:line="360" w:lineRule="auto"/>
        <w:jc w:val="center"/>
        <w:rPr>
          <w:rFonts w:ascii="宋体" w:eastAsia="宋体" w:hAnsi="宋体" w:cs="Arial"/>
          <w:b/>
          <w:sz w:val="44"/>
          <w:szCs w:val="44"/>
        </w:rPr>
      </w:pPr>
      <w:r>
        <w:rPr>
          <w:rFonts w:ascii="宋体" w:eastAsia="宋体" w:hAnsi="宋体" w:hint="eastAsia"/>
          <w:b/>
          <w:sz w:val="44"/>
          <w:szCs w:val="44"/>
        </w:rPr>
        <w:t>嘉实中证红利</w:t>
      </w:r>
      <w:r>
        <w:rPr>
          <w:rFonts w:ascii="宋体" w:eastAsia="宋体" w:hAnsi="宋体"/>
          <w:b/>
          <w:sz w:val="44"/>
          <w:szCs w:val="44"/>
        </w:rPr>
        <w:t>低</w:t>
      </w:r>
      <w:r>
        <w:rPr>
          <w:rFonts w:ascii="宋体" w:eastAsia="宋体" w:hAnsi="宋体" w:hint="eastAsia"/>
          <w:b/>
          <w:sz w:val="44"/>
          <w:szCs w:val="44"/>
        </w:rPr>
        <w:t>波动100交易型开放式指数证券投资基金托管协议</w:t>
      </w:r>
    </w:p>
    <w:p w14:paraId="017DA10A" w14:textId="77777777" w:rsidR="00F012EE" w:rsidRDefault="00F012EE">
      <w:pPr>
        <w:spacing w:line="360" w:lineRule="auto"/>
        <w:jc w:val="center"/>
        <w:rPr>
          <w:rFonts w:ascii="宋体" w:eastAsia="宋体" w:hAnsi="宋体"/>
        </w:rPr>
      </w:pPr>
    </w:p>
    <w:p w14:paraId="4B979BE1" w14:textId="77777777" w:rsidR="00F012EE" w:rsidRDefault="00F012EE">
      <w:pPr>
        <w:spacing w:line="360" w:lineRule="auto"/>
        <w:rPr>
          <w:rFonts w:ascii="宋体" w:eastAsia="宋体" w:hAnsi="宋体"/>
        </w:rPr>
      </w:pPr>
    </w:p>
    <w:p w14:paraId="1243D6C4" w14:textId="77777777" w:rsidR="00F012EE" w:rsidRDefault="00F012EE">
      <w:pPr>
        <w:spacing w:line="360" w:lineRule="auto"/>
        <w:rPr>
          <w:rFonts w:ascii="宋体" w:eastAsia="宋体" w:hAnsi="宋体"/>
        </w:rPr>
      </w:pPr>
    </w:p>
    <w:p w14:paraId="4F92DBD8" w14:textId="77777777" w:rsidR="00F012EE" w:rsidRDefault="00F012EE">
      <w:pPr>
        <w:spacing w:line="360" w:lineRule="auto"/>
        <w:rPr>
          <w:rFonts w:ascii="宋体" w:eastAsia="宋体" w:hAnsi="宋体"/>
        </w:rPr>
      </w:pPr>
    </w:p>
    <w:p w14:paraId="5008C19D" w14:textId="77777777" w:rsidR="00F012EE" w:rsidRDefault="00F012EE">
      <w:pPr>
        <w:spacing w:line="360" w:lineRule="auto"/>
        <w:rPr>
          <w:rFonts w:ascii="宋体" w:eastAsia="宋体" w:hAnsi="宋体"/>
        </w:rPr>
      </w:pPr>
    </w:p>
    <w:p w14:paraId="7AF87D32" w14:textId="77777777" w:rsidR="00F012EE" w:rsidRDefault="00477FBC">
      <w:pPr>
        <w:spacing w:line="360" w:lineRule="auto"/>
        <w:rPr>
          <w:rFonts w:ascii="宋体" w:eastAsia="宋体" w:hAnsi="宋体"/>
          <w:sz w:val="24"/>
        </w:rPr>
      </w:pPr>
      <w:r>
        <w:rPr>
          <w:rFonts w:ascii="宋体" w:eastAsia="宋体" w:hAnsi="宋体"/>
        </w:rPr>
        <w:t xml:space="preserve"> </w:t>
      </w:r>
    </w:p>
    <w:p w14:paraId="29E7ED36" w14:textId="77777777" w:rsidR="00F012EE" w:rsidRDefault="00477FBC">
      <w:pPr>
        <w:adjustRightInd w:val="0"/>
        <w:snapToGrid w:val="0"/>
        <w:spacing w:line="360" w:lineRule="auto"/>
        <w:jc w:val="center"/>
        <w:rPr>
          <w:rFonts w:ascii="宋体" w:eastAsia="宋体" w:hAnsi="宋体"/>
          <w:b/>
          <w:sz w:val="28"/>
        </w:rPr>
      </w:pPr>
      <w:r>
        <w:rPr>
          <w:rFonts w:ascii="宋体" w:eastAsia="宋体" w:hAnsi="宋体" w:hint="eastAsia"/>
          <w:b/>
          <w:sz w:val="28"/>
        </w:rPr>
        <w:t>基金管理人：嘉</w:t>
      </w:r>
      <w:proofErr w:type="gramStart"/>
      <w:r>
        <w:rPr>
          <w:rFonts w:ascii="宋体" w:eastAsia="宋体" w:hAnsi="宋体" w:hint="eastAsia"/>
          <w:b/>
          <w:sz w:val="28"/>
        </w:rPr>
        <w:t>实基金</w:t>
      </w:r>
      <w:proofErr w:type="gramEnd"/>
      <w:r>
        <w:rPr>
          <w:rFonts w:ascii="宋体" w:eastAsia="宋体" w:hAnsi="宋体" w:hint="eastAsia"/>
          <w:b/>
          <w:sz w:val="28"/>
        </w:rPr>
        <w:t>管理有限公司</w:t>
      </w:r>
    </w:p>
    <w:p w14:paraId="418408CF" w14:textId="77777777" w:rsidR="00F012EE" w:rsidRDefault="00477FBC">
      <w:pPr>
        <w:spacing w:line="360" w:lineRule="auto"/>
        <w:jc w:val="center"/>
        <w:rPr>
          <w:rFonts w:ascii="宋体" w:eastAsia="宋体" w:hAnsi="宋体"/>
          <w:b/>
          <w:sz w:val="28"/>
        </w:rPr>
      </w:pPr>
      <w:r>
        <w:rPr>
          <w:rFonts w:ascii="宋体" w:eastAsia="宋体" w:hAnsi="宋体" w:hint="eastAsia"/>
          <w:b/>
          <w:sz w:val="28"/>
        </w:rPr>
        <w:t>基金托管人：中国建设银行股份有限公司</w:t>
      </w:r>
    </w:p>
    <w:p w14:paraId="0152BF06" w14:textId="77777777" w:rsidR="00F012EE" w:rsidRDefault="00F012EE">
      <w:pPr>
        <w:spacing w:line="360" w:lineRule="auto"/>
        <w:rPr>
          <w:rFonts w:ascii="宋体" w:eastAsia="宋体" w:hAnsi="宋体"/>
        </w:rPr>
      </w:pPr>
    </w:p>
    <w:p w14:paraId="5E770A24" w14:textId="77777777" w:rsidR="00F012EE" w:rsidRDefault="00F012EE">
      <w:pPr>
        <w:spacing w:line="360" w:lineRule="auto"/>
        <w:rPr>
          <w:rFonts w:ascii="宋体" w:eastAsia="宋体" w:hAnsi="宋体"/>
          <w:sz w:val="22"/>
        </w:rPr>
      </w:pPr>
    </w:p>
    <w:p w14:paraId="17CCF36E" w14:textId="2A321155" w:rsidR="00F012EE" w:rsidRDefault="00477FBC">
      <w:pPr>
        <w:adjustRightInd w:val="0"/>
        <w:snapToGrid w:val="0"/>
        <w:spacing w:line="360" w:lineRule="auto"/>
        <w:jc w:val="center"/>
        <w:rPr>
          <w:rFonts w:ascii="宋体" w:eastAsia="宋体" w:hAnsi="宋体" w:cs="Arial"/>
          <w:b/>
          <w:bCs/>
          <w:sz w:val="28"/>
          <w:szCs w:val="24"/>
        </w:rPr>
      </w:pPr>
      <w:r>
        <w:rPr>
          <w:rFonts w:ascii="宋体" w:eastAsia="宋体" w:hAnsi="宋体" w:cs="微软雅黑" w:hint="eastAsia"/>
          <w:b/>
          <w:sz w:val="28"/>
          <w:szCs w:val="24"/>
        </w:rPr>
        <w:t>二零二六年</w:t>
      </w:r>
      <w:r w:rsidR="00482A33">
        <w:rPr>
          <w:rFonts w:ascii="宋体" w:eastAsia="宋体" w:hAnsi="宋体" w:cs="微软雅黑" w:hint="eastAsia"/>
          <w:b/>
          <w:sz w:val="28"/>
          <w:szCs w:val="24"/>
        </w:rPr>
        <w:t>七</w:t>
      </w:r>
      <w:r>
        <w:rPr>
          <w:rFonts w:ascii="宋体" w:eastAsia="宋体" w:hAnsi="宋体" w:cs="微软雅黑" w:hint="eastAsia"/>
          <w:b/>
          <w:sz w:val="28"/>
          <w:szCs w:val="24"/>
        </w:rPr>
        <w:t>月</w:t>
      </w:r>
    </w:p>
    <w:p w14:paraId="2CA37491" w14:textId="77777777" w:rsidR="00F012EE" w:rsidRDefault="00F012EE">
      <w:pPr>
        <w:adjustRightInd w:val="0"/>
        <w:snapToGrid w:val="0"/>
        <w:spacing w:line="360" w:lineRule="auto"/>
        <w:jc w:val="center"/>
        <w:rPr>
          <w:rFonts w:ascii="宋体" w:eastAsia="宋体" w:hAnsi="宋体" w:cs="Arial"/>
          <w:bCs/>
          <w:sz w:val="24"/>
          <w:szCs w:val="24"/>
        </w:rPr>
      </w:pPr>
    </w:p>
    <w:p w14:paraId="4588DD36" w14:textId="77777777" w:rsidR="00F012EE" w:rsidRDefault="00F012EE">
      <w:pPr>
        <w:adjustRightInd w:val="0"/>
        <w:snapToGrid w:val="0"/>
        <w:spacing w:line="360" w:lineRule="auto"/>
        <w:jc w:val="center"/>
        <w:rPr>
          <w:rFonts w:ascii="宋体" w:eastAsia="宋体" w:hAnsi="宋体" w:cs="Arial"/>
          <w:bCs/>
          <w:sz w:val="24"/>
          <w:szCs w:val="24"/>
        </w:rPr>
        <w:sectPr w:rsidR="00F012EE">
          <w:footerReference w:type="even" r:id="rId8"/>
          <w:footerReference w:type="default" r:id="rId9"/>
          <w:pgSz w:w="11906" w:h="16838"/>
          <w:pgMar w:top="1418" w:right="1701" w:bottom="1418" w:left="1701" w:header="851" w:footer="992" w:gutter="0"/>
          <w:cols w:space="425"/>
          <w:docGrid w:type="lines" w:linePitch="312"/>
        </w:sectPr>
      </w:pPr>
    </w:p>
    <w:p w14:paraId="2E9B40FA" w14:textId="77777777" w:rsidR="00F012EE" w:rsidRDefault="00477FBC">
      <w:pPr>
        <w:spacing w:line="360" w:lineRule="auto"/>
        <w:jc w:val="center"/>
        <w:rPr>
          <w:rFonts w:ascii="宋体" w:eastAsia="宋体" w:hAnsi="宋体" w:cs="Times New Roman"/>
          <w:b/>
          <w:bCs/>
          <w:sz w:val="30"/>
          <w:szCs w:val="24"/>
        </w:rPr>
      </w:pPr>
      <w:r>
        <w:rPr>
          <w:rFonts w:ascii="宋体" w:eastAsia="宋体" w:hAnsi="宋体" w:cs="微软雅黑" w:hint="eastAsia"/>
          <w:b/>
          <w:bCs/>
          <w:sz w:val="30"/>
          <w:szCs w:val="24"/>
        </w:rPr>
        <w:lastRenderedPageBreak/>
        <w:t>目</w:t>
      </w:r>
      <w:r>
        <w:rPr>
          <w:rFonts w:ascii="宋体" w:eastAsia="宋体" w:hAnsi="宋体" w:cs="Times New Roman" w:hint="eastAsia"/>
          <w:b/>
          <w:bCs/>
          <w:sz w:val="30"/>
          <w:szCs w:val="24"/>
        </w:rPr>
        <w:t xml:space="preserve">    </w:t>
      </w:r>
      <w:r>
        <w:rPr>
          <w:rFonts w:ascii="宋体" w:eastAsia="宋体" w:hAnsi="宋体" w:cs="微软雅黑" w:hint="eastAsia"/>
          <w:b/>
          <w:bCs/>
          <w:sz w:val="30"/>
          <w:szCs w:val="24"/>
        </w:rPr>
        <w:t>录</w:t>
      </w:r>
    </w:p>
    <w:p w14:paraId="151880ED" w14:textId="1A946AA4" w:rsidR="00F012EE" w:rsidRDefault="00477FBC">
      <w:pPr>
        <w:tabs>
          <w:tab w:val="right" w:leader="dot" w:pos="8494"/>
        </w:tabs>
        <w:spacing w:line="360" w:lineRule="auto"/>
        <w:ind w:leftChars="200" w:left="420"/>
        <w:rPr>
          <w:rFonts w:ascii="宋体" w:eastAsia="宋体" w:hAnsi="宋体" w:cs="Times New Roman"/>
          <w:noProof/>
          <w:sz w:val="28"/>
          <w:szCs w:val="24"/>
        </w:rPr>
      </w:pPr>
      <w:r>
        <w:rPr>
          <w:rFonts w:ascii="宋体" w:eastAsia="宋体" w:hAnsi="宋体" w:cs="Times New Roman" w:hint="eastAsia"/>
          <w:sz w:val="28"/>
          <w:szCs w:val="24"/>
        </w:rPr>
        <w:fldChar w:fldCharType="begin"/>
      </w:r>
      <w:r>
        <w:rPr>
          <w:rFonts w:ascii="宋体" w:eastAsia="宋体" w:hAnsi="宋体" w:cs="Times New Roman" w:hint="eastAsia"/>
          <w:sz w:val="28"/>
          <w:szCs w:val="24"/>
        </w:rPr>
        <w:instrText xml:space="preserve"> TOC \o "1-2" \h \z </w:instrText>
      </w:r>
      <w:r>
        <w:rPr>
          <w:rFonts w:ascii="宋体" w:eastAsia="宋体" w:hAnsi="宋体" w:cs="Times New Roman" w:hint="eastAsia"/>
          <w:sz w:val="28"/>
          <w:szCs w:val="24"/>
        </w:rPr>
        <w:fldChar w:fldCharType="separate"/>
      </w:r>
      <w:hyperlink w:anchor="_Toc124325885" w:history="1">
        <w:r>
          <w:rPr>
            <w:rFonts w:ascii="宋体" w:eastAsia="宋体" w:hAnsi="宋体" w:cs="微软雅黑" w:hint="eastAsia"/>
            <w:noProof/>
            <w:color w:val="0000FF"/>
            <w:sz w:val="28"/>
            <w:szCs w:val="32"/>
            <w:u w:val="single"/>
          </w:rPr>
          <w:t>一</w:t>
        </w:r>
        <w:r>
          <w:rPr>
            <w:rFonts w:ascii="宋体" w:eastAsia="宋体" w:hAnsi="宋体" w:cs="Malgun Gothic Semilight" w:hint="eastAsia"/>
            <w:noProof/>
            <w:color w:val="0000FF"/>
            <w:sz w:val="28"/>
            <w:szCs w:val="32"/>
            <w:u w:val="single"/>
          </w:rPr>
          <w:t>、</w:t>
        </w:r>
        <w:r>
          <w:rPr>
            <w:rFonts w:ascii="宋体" w:eastAsia="宋体" w:hAnsi="宋体" w:cs="微软雅黑" w:hint="eastAsia"/>
            <w:noProof/>
            <w:color w:val="0000FF"/>
            <w:sz w:val="28"/>
            <w:szCs w:val="32"/>
            <w:u w:val="single"/>
          </w:rPr>
          <w:t>基金托管协议当事人</w:t>
        </w:r>
        <w:r>
          <w:rPr>
            <w:rFonts w:ascii="宋体" w:eastAsia="宋体" w:hAnsi="宋体" w:cs="Times New Roman" w:hint="eastAsia"/>
            <w:noProof/>
            <w:sz w:val="28"/>
            <w:szCs w:val="24"/>
          </w:rPr>
          <w:tab/>
        </w:r>
        <w:r>
          <w:rPr>
            <w:rFonts w:ascii="宋体" w:eastAsia="宋体" w:hAnsi="宋体" w:cs="Times New Roman" w:hint="eastAsia"/>
            <w:noProof/>
            <w:sz w:val="28"/>
            <w:szCs w:val="24"/>
          </w:rPr>
          <w:fldChar w:fldCharType="begin"/>
        </w:r>
        <w:r>
          <w:rPr>
            <w:rFonts w:ascii="宋体" w:eastAsia="宋体" w:hAnsi="宋体" w:cs="Times New Roman" w:hint="eastAsia"/>
            <w:noProof/>
            <w:sz w:val="28"/>
            <w:szCs w:val="24"/>
          </w:rPr>
          <w:instrText xml:space="preserve"> PAGEREF _Toc124325885 \h </w:instrText>
        </w:r>
        <w:r>
          <w:rPr>
            <w:rFonts w:ascii="宋体" w:eastAsia="宋体" w:hAnsi="宋体" w:cs="Times New Roman" w:hint="eastAsia"/>
            <w:noProof/>
            <w:sz w:val="28"/>
            <w:szCs w:val="24"/>
          </w:rPr>
        </w:r>
        <w:r>
          <w:rPr>
            <w:rFonts w:ascii="宋体" w:eastAsia="宋体" w:hAnsi="宋体" w:cs="Times New Roman" w:hint="eastAsia"/>
            <w:noProof/>
            <w:sz w:val="28"/>
            <w:szCs w:val="24"/>
          </w:rPr>
          <w:fldChar w:fldCharType="separate"/>
        </w:r>
        <w:r w:rsidR="00482A33">
          <w:rPr>
            <w:rFonts w:ascii="宋体" w:eastAsia="宋体" w:hAnsi="宋体" w:cs="Times New Roman"/>
            <w:noProof/>
            <w:sz w:val="28"/>
            <w:szCs w:val="24"/>
          </w:rPr>
          <w:t>4</w:t>
        </w:r>
        <w:r>
          <w:rPr>
            <w:rFonts w:ascii="宋体" w:eastAsia="宋体" w:hAnsi="宋体" w:cs="Times New Roman" w:hint="eastAsia"/>
            <w:noProof/>
            <w:sz w:val="28"/>
            <w:szCs w:val="24"/>
          </w:rPr>
          <w:fldChar w:fldCharType="end"/>
        </w:r>
      </w:hyperlink>
    </w:p>
    <w:p w14:paraId="6816D039" w14:textId="500E13BC" w:rsidR="00F012EE" w:rsidRDefault="004A03DE">
      <w:pPr>
        <w:tabs>
          <w:tab w:val="right" w:leader="dot" w:pos="8494"/>
        </w:tabs>
        <w:spacing w:line="360" w:lineRule="auto"/>
        <w:ind w:leftChars="200" w:left="420"/>
        <w:rPr>
          <w:rFonts w:ascii="宋体" w:eastAsia="宋体" w:hAnsi="宋体" w:cs="Times New Roman"/>
          <w:noProof/>
          <w:sz w:val="28"/>
          <w:szCs w:val="24"/>
        </w:rPr>
      </w:pPr>
      <w:hyperlink w:anchor="_Toc124325886" w:history="1">
        <w:r w:rsidR="00477FBC">
          <w:rPr>
            <w:rFonts w:ascii="宋体" w:eastAsia="宋体" w:hAnsi="宋体" w:cs="微软雅黑" w:hint="eastAsia"/>
            <w:noProof/>
            <w:color w:val="0000FF"/>
            <w:sz w:val="28"/>
            <w:szCs w:val="32"/>
            <w:u w:val="single"/>
          </w:rPr>
          <w:t>二</w:t>
        </w:r>
        <w:r w:rsidR="00477FBC">
          <w:rPr>
            <w:rFonts w:ascii="宋体" w:eastAsia="宋体" w:hAnsi="宋体" w:cs="Malgun Gothic Semilight" w:hint="eastAsia"/>
            <w:noProof/>
            <w:color w:val="0000FF"/>
            <w:sz w:val="28"/>
            <w:szCs w:val="32"/>
            <w:u w:val="single"/>
          </w:rPr>
          <w:t>、</w:t>
        </w:r>
        <w:r w:rsidR="00477FBC">
          <w:rPr>
            <w:rFonts w:ascii="宋体" w:eastAsia="宋体" w:hAnsi="宋体" w:cs="微软雅黑" w:hint="eastAsia"/>
            <w:noProof/>
            <w:color w:val="0000FF"/>
            <w:sz w:val="28"/>
            <w:szCs w:val="32"/>
            <w:u w:val="single"/>
          </w:rPr>
          <w:t>基金托管协议的依据</w:t>
        </w:r>
        <w:r w:rsidR="00477FBC">
          <w:rPr>
            <w:rFonts w:ascii="宋体" w:eastAsia="宋体" w:hAnsi="宋体" w:cs="Malgun Gothic Semilight" w:hint="eastAsia"/>
            <w:noProof/>
            <w:color w:val="0000FF"/>
            <w:sz w:val="28"/>
            <w:szCs w:val="32"/>
            <w:u w:val="single"/>
          </w:rPr>
          <w:t>、</w:t>
        </w:r>
        <w:r w:rsidR="00477FBC">
          <w:rPr>
            <w:rFonts w:ascii="宋体" w:eastAsia="宋体" w:hAnsi="宋体" w:cs="微软雅黑" w:hint="eastAsia"/>
            <w:noProof/>
            <w:color w:val="0000FF"/>
            <w:sz w:val="28"/>
            <w:szCs w:val="32"/>
            <w:u w:val="single"/>
          </w:rPr>
          <w:t>目的和原则</w:t>
        </w:r>
        <w:r w:rsidR="00477FBC">
          <w:rPr>
            <w:rFonts w:ascii="宋体" w:eastAsia="宋体" w:hAnsi="宋体" w:cs="Times New Roman" w:hint="eastAsia"/>
            <w:noProof/>
            <w:sz w:val="28"/>
            <w:szCs w:val="24"/>
          </w:rPr>
          <w:tab/>
        </w:r>
        <w:r w:rsidR="00477FBC">
          <w:rPr>
            <w:rFonts w:ascii="宋体" w:eastAsia="宋体" w:hAnsi="宋体" w:cs="Times New Roman" w:hint="eastAsia"/>
            <w:noProof/>
            <w:sz w:val="28"/>
            <w:szCs w:val="24"/>
          </w:rPr>
          <w:fldChar w:fldCharType="begin"/>
        </w:r>
        <w:r w:rsidR="00477FBC">
          <w:rPr>
            <w:rFonts w:ascii="宋体" w:eastAsia="宋体" w:hAnsi="宋体" w:cs="Times New Roman" w:hint="eastAsia"/>
            <w:noProof/>
            <w:sz w:val="28"/>
            <w:szCs w:val="24"/>
          </w:rPr>
          <w:instrText xml:space="preserve"> PAGEREF _Toc124325886 \h </w:instrText>
        </w:r>
        <w:r w:rsidR="00477FBC">
          <w:rPr>
            <w:rFonts w:ascii="宋体" w:eastAsia="宋体" w:hAnsi="宋体" w:cs="Times New Roman" w:hint="eastAsia"/>
            <w:noProof/>
            <w:sz w:val="28"/>
            <w:szCs w:val="24"/>
          </w:rPr>
        </w:r>
        <w:r w:rsidR="00477FBC">
          <w:rPr>
            <w:rFonts w:ascii="宋体" w:eastAsia="宋体" w:hAnsi="宋体" w:cs="Times New Roman" w:hint="eastAsia"/>
            <w:noProof/>
            <w:sz w:val="28"/>
            <w:szCs w:val="24"/>
          </w:rPr>
          <w:fldChar w:fldCharType="separate"/>
        </w:r>
        <w:r w:rsidR="00482A33">
          <w:rPr>
            <w:rFonts w:ascii="宋体" w:eastAsia="宋体" w:hAnsi="宋体" w:cs="Times New Roman"/>
            <w:noProof/>
            <w:sz w:val="28"/>
            <w:szCs w:val="24"/>
          </w:rPr>
          <w:t>5</w:t>
        </w:r>
        <w:r w:rsidR="00477FBC">
          <w:rPr>
            <w:rFonts w:ascii="宋体" w:eastAsia="宋体" w:hAnsi="宋体" w:cs="Times New Roman" w:hint="eastAsia"/>
            <w:noProof/>
            <w:sz w:val="28"/>
            <w:szCs w:val="24"/>
          </w:rPr>
          <w:fldChar w:fldCharType="end"/>
        </w:r>
      </w:hyperlink>
    </w:p>
    <w:p w14:paraId="4E3F0987" w14:textId="2A388F9E" w:rsidR="00F012EE" w:rsidRDefault="004A03DE">
      <w:pPr>
        <w:tabs>
          <w:tab w:val="right" w:leader="dot" w:pos="8494"/>
        </w:tabs>
        <w:spacing w:line="360" w:lineRule="auto"/>
        <w:ind w:leftChars="200" w:left="420"/>
        <w:rPr>
          <w:rFonts w:ascii="宋体" w:eastAsia="宋体" w:hAnsi="宋体" w:cs="Times New Roman"/>
          <w:noProof/>
          <w:sz w:val="28"/>
          <w:szCs w:val="24"/>
        </w:rPr>
      </w:pPr>
      <w:hyperlink w:anchor="_Toc124325887" w:history="1">
        <w:r w:rsidR="00477FBC">
          <w:rPr>
            <w:rFonts w:ascii="宋体" w:eastAsia="宋体" w:hAnsi="宋体" w:cs="微软雅黑" w:hint="eastAsia"/>
            <w:noProof/>
            <w:color w:val="0000FF"/>
            <w:sz w:val="28"/>
            <w:szCs w:val="32"/>
            <w:u w:val="single"/>
          </w:rPr>
          <w:t>三</w:t>
        </w:r>
        <w:r w:rsidR="00477FBC">
          <w:rPr>
            <w:rFonts w:ascii="宋体" w:eastAsia="宋体" w:hAnsi="宋体" w:cs="Malgun Gothic Semilight" w:hint="eastAsia"/>
            <w:noProof/>
            <w:color w:val="0000FF"/>
            <w:sz w:val="28"/>
            <w:szCs w:val="32"/>
            <w:u w:val="single"/>
          </w:rPr>
          <w:t>、</w:t>
        </w:r>
        <w:r w:rsidR="00477FBC">
          <w:rPr>
            <w:rFonts w:ascii="宋体" w:eastAsia="宋体" w:hAnsi="宋体" w:cs="微软雅黑" w:hint="eastAsia"/>
            <w:noProof/>
            <w:color w:val="0000FF"/>
            <w:sz w:val="28"/>
            <w:szCs w:val="32"/>
            <w:u w:val="single"/>
          </w:rPr>
          <w:t>基金托管人对基金管理人的业务监督和核查</w:t>
        </w:r>
        <w:r w:rsidR="00477FBC">
          <w:rPr>
            <w:rFonts w:ascii="宋体" w:eastAsia="宋体" w:hAnsi="宋体" w:cs="Times New Roman" w:hint="eastAsia"/>
            <w:noProof/>
            <w:sz w:val="28"/>
            <w:szCs w:val="24"/>
          </w:rPr>
          <w:tab/>
        </w:r>
        <w:r w:rsidR="00477FBC">
          <w:rPr>
            <w:rFonts w:ascii="宋体" w:eastAsia="宋体" w:hAnsi="宋体" w:cs="Times New Roman" w:hint="eastAsia"/>
            <w:noProof/>
            <w:sz w:val="28"/>
            <w:szCs w:val="24"/>
          </w:rPr>
          <w:fldChar w:fldCharType="begin"/>
        </w:r>
        <w:r w:rsidR="00477FBC">
          <w:rPr>
            <w:rFonts w:ascii="宋体" w:eastAsia="宋体" w:hAnsi="宋体" w:cs="Times New Roman" w:hint="eastAsia"/>
            <w:noProof/>
            <w:sz w:val="28"/>
            <w:szCs w:val="24"/>
          </w:rPr>
          <w:instrText xml:space="preserve"> PAGEREF _Toc124325887 \h </w:instrText>
        </w:r>
        <w:r w:rsidR="00477FBC">
          <w:rPr>
            <w:rFonts w:ascii="宋体" w:eastAsia="宋体" w:hAnsi="宋体" w:cs="Times New Roman" w:hint="eastAsia"/>
            <w:noProof/>
            <w:sz w:val="28"/>
            <w:szCs w:val="24"/>
          </w:rPr>
        </w:r>
        <w:r w:rsidR="00477FBC">
          <w:rPr>
            <w:rFonts w:ascii="宋体" w:eastAsia="宋体" w:hAnsi="宋体" w:cs="Times New Roman" w:hint="eastAsia"/>
            <w:noProof/>
            <w:sz w:val="28"/>
            <w:szCs w:val="24"/>
          </w:rPr>
          <w:fldChar w:fldCharType="separate"/>
        </w:r>
        <w:r w:rsidR="00482A33">
          <w:rPr>
            <w:rFonts w:ascii="宋体" w:eastAsia="宋体" w:hAnsi="宋体" w:cs="Times New Roman"/>
            <w:noProof/>
            <w:sz w:val="28"/>
            <w:szCs w:val="24"/>
          </w:rPr>
          <w:t>6</w:t>
        </w:r>
        <w:r w:rsidR="00477FBC">
          <w:rPr>
            <w:rFonts w:ascii="宋体" w:eastAsia="宋体" w:hAnsi="宋体" w:cs="Times New Roman" w:hint="eastAsia"/>
            <w:noProof/>
            <w:sz w:val="28"/>
            <w:szCs w:val="24"/>
          </w:rPr>
          <w:fldChar w:fldCharType="end"/>
        </w:r>
      </w:hyperlink>
    </w:p>
    <w:p w14:paraId="635D4C51" w14:textId="45F06CDD" w:rsidR="00F012EE" w:rsidRDefault="004A03DE">
      <w:pPr>
        <w:tabs>
          <w:tab w:val="right" w:leader="dot" w:pos="8494"/>
        </w:tabs>
        <w:spacing w:line="360" w:lineRule="auto"/>
        <w:ind w:leftChars="200" w:left="420"/>
        <w:rPr>
          <w:rFonts w:ascii="宋体" w:eastAsia="宋体" w:hAnsi="宋体" w:cs="Times New Roman"/>
          <w:noProof/>
          <w:sz w:val="28"/>
          <w:szCs w:val="24"/>
        </w:rPr>
      </w:pPr>
      <w:hyperlink w:anchor="_Toc124325888" w:history="1">
        <w:r w:rsidR="00477FBC">
          <w:rPr>
            <w:rFonts w:ascii="宋体" w:eastAsia="宋体" w:hAnsi="宋体" w:cs="微软雅黑" w:hint="eastAsia"/>
            <w:noProof/>
            <w:color w:val="0000FF"/>
            <w:sz w:val="28"/>
            <w:szCs w:val="32"/>
            <w:u w:val="single"/>
          </w:rPr>
          <w:t>四</w:t>
        </w:r>
        <w:r w:rsidR="00477FBC">
          <w:rPr>
            <w:rFonts w:ascii="宋体" w:eastAsia="宋体" w:hAnsi="宋体" w:cs="Malgun Gothic Semilight" w:hint="eastAsia"/>
            <w:noProof/>
            <w:color w:val="0000FF"/>
            <w:sz w:val="28"/>
            <w:szCs w:val="32"/>
            <w:u w:val="single"/>
          </w:rPr>
          <w:t>、</w:t>
        </w:r>
        <w:r w:rsidR="00477FBC">
          <w:rPr>
            <w:rFonts w:ascii="宋体" w:eastAsia="宋体" w:hAnsi="宋体" w:cs="微软雅黑" w:hint="eastAsia"/>
            <w:noProof/>
            <w:color w:val="0000FF"/>
            <w:sz w:val="28"/>
            <w:szCs w:val="32"/>
            <w:u w:val="single"/>
          </w:rPr>
          <w:t>基金管理人对基金托管人的业务核查</w:t>
        </w:r>
        <w:r w:rsidR="00477FBC">
          <w:rPr>
            <w:rFonts w:ascii="宋体" w:eastAsia="宋体" w:hAnsi="宋体" w:cs="Times New Roman" w:hint="eastAsia"/>
            <w:noProof/>
            <w:sz w:val="28"/>
            <w:szCs w:val="24"/>
          </w:rPr>
          <w:tab/>
        </w:r>
        <w:r w:rsidR="00477FBC">
          <w:rPr>
            <w:rFonts w:ascii="宋体" w:eastAsia="宋体" w:hAnsi="宋体" w:cs="Times New Roman" w:hint="eastAsia"/>
            <w:noProof/>
            <w:sz w:val="28"/>
            <w:szCs w:val="24"/>
          </w:rPr>
          <w:fldChar w:fldCharType="begin"/>
        </w:r>
        <w:r w:rsidR="00477FBC">
          <w:rPr>
            <w:rFonts w:ascii="宋体" w:eastAsia="宋体" w:hAnsi="宋体" w:cs="Times New Roman" w:hint="eastAsia"/>
            <w:noProof/>
            <w:sz w:val="28"/>
            <w:szCs w:val="24"/>
          </w:rPr>
          <w:instrText xml:space="preserve"> PAGEREF _Toc124325888 \h </w:instrText>
        </w:r>
        <w:r w:rsidR="00477FBC">
          <w:rPr>
            <w:rFonts w:ascii="宋体" w:eastAsia="宋体" w:hAnsi="宋体" w:cs="Times New Roman" w:hint="eastAsia"/>
            <w:noProof/>
            <w:sz w:val="28"/>
            <w:szCs w:val="24"/>
          </w:rPr>
        </w:r>
        <w:r w:rsidR="00477FBC">
          <w:rPr>
            <w:rFonts w:ascii="宋体" w:eastAsia="宋体" w:hAnsi="宋体" w:cs="Times New Roman" w:hint="eastAsia"/>
            <w:noProof/>
            <w:sz w:val="28"/>
            <w:szCs w:val="24"/>
          </w:rPr>
          <w:fldChar w:fldCharType="separate"/>
        </w:r>
        <w:r w:rsidR="00482A33">
          <w:rPr>
            <w:rFonts w:ascii="宋体" w:eastAsia="宋体" w:hAnsi="宋体" w:cs="Times New Roman"/>
            <w:noProof/>
            <w:sz w:val="28"/>
            <w:szCs w:val="24"/>
          </w:rPr>
          <w:t>12</w:t>
        </w:r>
        <w:r w:rsidR="00477FBC">
          <w:rPr>
            <w:rFonts w:ascii="宋体" w:eastAsia="宋体" w:hAnsi="宋体" w:cs="Times New Roman" w:hint="eastAsia"/>
            <w:noProof/>
            <w:sz w:val="28"/>
            <w:szCs w:val="24"/>
          </w:rPr>
          <w:fldChar w:fldCharType="end"/>
        </w:r>
      </w:hyperlink>
    </w:p>
    <w:p w14:paraId="0D45BC2F" w14:textId="32F1B84E" w:rsidR="00F012EE" w:rsidRDefault="004A03DE">
      <w:pPr>
        <w:tabs>
          <w:tab w:val="right" w:leader="dot" w:pos="8494"/>
        </w:tabs>
        <w:spacing w:line="360" w:lineRule="auto"/>
        <w:ind w:leftChars="200" w:left="420"/>
        <w:rPr>
          <w:rFonts w:ascii="宋体" w:eastAsia="宋体" w:hAnsi="宋体" w:cs="Times New Roman"/>
          <w:noProof/>
          <w:sz w:val="28"/>
          <w:szCs w:val="24"/>
        </w:rPr>
      </w:pPr>
      <w:hyperlink w:anchor="_Toc124325889" w:history="1">
        <w:r w:rsidR="00477FBC">
          <w:rPr>
            <w:rFonts w:ascii="宋体" w:eastAsia="宋体" w:hAnsi="宋体" w:cs="微软雅黑" w:hint="eastAsia"/>
            <w:noProof/>
            <w:color w:val="0000FF"/>
            <w:sz w:val="28"/>
            <w:szCs w:val="32"/>
            <w:u w:val="single"/>
          </w:rPr>
          <w:t>五</w:t>
        </w:r>
        <w:r w:rsidR="00477FBC">
          <w:rPr>
            <w:rFonts w:ascii="宋体" w:eastAsia="宋体" w:hAnsi="宋体" w:cs="Malgun Gothic Semilight" w:hint="eastAsia"/>
            <w:noProof/>
            <w:color w:val="0000FF"/>
            <w:sz w:val="28"/>
            <w:szCs w:val="32"/>
            <w:u w:val="single"/>
          </w:rPr>
          <w:t>、</w:t>
        </w:r>
        <w:r w:rsidR="00477FBC">
          <w:rPr>
            <w:rFonts w:ascii="宋体" w:eastAsia="宋体" w:hAnsi="宋体" w:cs="微软雅黑" w:hint="eastAsia"/>
            <w:noProof/>
            <w:color w:val="0000FF"/>
            <w:sz w:val="28"/>
            <w:szCs w:val="32"/>
            <w:u w:val="single"/>
          </w:rPr>
          <w:t>基金财产的保管</w:t>
        </w:r>
        <w:r w:rsidR="00477FBC">
          <w:rPr>
            <w:rFonts w:ascii="宋体" w:eastAsia="宋体" w:hAnsi="宋体" w:cs="Times New Roman" w:hint="eastAsia"/>
            <w:noProof/>
            <w:sz w:val="28"/>
            <w:szCs w:val="24"/>
          </w:rPr>
          <w:tab/>
        </w:r>
        <w:r w:rsidR="00477FBC">
          <w:rPr>
            <w:rFonts w:ascii="宋体" w:eastAsia="宋体" w:hAnsi="宋体" w:cs="Times New Roman" w:hint="eastAsia"/>
            <w:noProof/>
            <w:sz w:val="28"/>
            <w:szCs w:val="24"/>
          </w:rPr>
          <w:fldChar w:fldCharType="begin"/>
        </w:r>
        <w:r w:rsidR="00477FBC">
          <w:rPr>
            <w:rFonts w:ascii="宋体" w:eastAsia="宋体" w:hAnsi="宋体" w:cs="Times New Roman" w:hint="eastAsia"/>
            <w:noProof/>
            <w:sz w:val="28"/>
            <w:szCs w:val="24"/>
          </w:rPr>
          <w:instrText xml:space="preserve"> PAGEREF _Toc124325889 \h </w:instrText>
        </w:r>
        <w:r w:rsidR="00477FBC">
          <w:rPr>
            <w:rFonts w:ascii="宋体" w:eastAsia="宋体" w:hAnsi="宋体" w:cs="Times New Roman" w:hint="eastAsia"/>
            <w:noProof/>
            <w:sz w:val="28"/>
            <w:szCs w:val="24"/>
          </w:rPr>
        </w:r>
        <w:r w:rsidR="00477FBC">
          <w:rPr>
            <w:rFonts w:ascii="宋体" w:eastAsia="宋体" w:hAnsi="宋体" w:cs="Times New Roman" w:hint="eastAsia"/>
            <w:noProof/>
            <w:sz w:val="28"/>
            <w:szCs w:val="24"/>
          </w:rPr>
          <w:fldChar w:fldCharType="separate"/>
        </w:r>
        <w:r w:rsidR="00482A33">
          <w:rPr>
            <w:rFonts w:ascii="宋体" w:eastAsia="宋体" w:hAnsi="宋体" w:cs="Times New Roman"/>
            <w:noProof/>
            <w:sz w:val="28"/>
            <w:szCs w:val="24"/>
          </w:rPr>
          <w:t>13</w:t>
        </w:r>
        <w:r w:rsidR="00477FBC">
          <w:rPr>
            <w:rFonts w:ascii="宋体" w:eastAsia="宋体" w:hAnsi="宋体" w:cs="Times New Roman" w:hint="eastAsia"/>
            <w:noProof/>
            <w:sz w:val="28"/>
            <w:szCs w:val="24"/>
          </w:rPr>
          <w:fldChar w:fldCharType="end"/>
        </w:r>
      </w:hyperlink>
    </w:p>
    <w:p w14:paraId="47511B1C" w14:textId="259F65CB" w:rsidR="00F012EE" w:rsidRDefault="004A03DE">
      <w:pPr>
        <w:tabs>
          <w:tab w:val="right" w:leader="dot" w:pos="8494"/>
        </w:tabs>
        <w:spacing w:line="360" w:lineRule="auto"/>
        <w:ind w:leftChars="200" w:left="420"/>
        <w:rPr>
          <w:rFonts w:ascii="宋体" w:eastAsia="宋体" w:hAnsi="宋体" w:cs="Times New Roman"/>
          <w:noProof/>
          <w:sz w:val="28"/>
          <w:szCs w:val="24"/>
        </w:rPr>
      </w:pPr>
      <w:hyperlink w:anchor="_Toc124325890" w:history="1">
        <w:r w:rsidR="00477FBC">
          <w:rPr>
            <w:rFonts w:ascii="宋体" w:eastAsia="宋体" w:hAnsi="宋体" w:cs="微软雅黑" w:hint="eastAsia"/>
            <w:noProof/>
            <w:color w:val="0000FF"/>
            <w:sz w:val="28"/>
            <w:szCs w:val="32"/>
            <w:u w:val="single"/>
          </w:rPr>
          <w:t>六</w:t>
        </w:r>
        <w:r w:rsidR="00477FBC">
          <w:rPr>
            <w:rFonts w:ascii="宋体" w:eastAsia="宋体" w:hAnsi="宋体" w:cs="Malgun Gothic Semilight" w:hint="eastAsia"/>
            <w:noProof/>
            <w:color w:val="0000FF"/>
            <w:sz w:val="28"/>
            <w:szCs w:val="32"/>
            <w:u w:val="single"/>
          </w:rPr>
          <w:t>、</w:t>
        </w:r>
        <w:r w:rsidR="00477FBC">
          <w:rPr>
            <w:rFonts w:ascii="宋体" w:eastAsia="宋体" w:hAnsi="宋体" w:cs="微软雅黑" w:hint="eastAsia"/>
            <w:noProof/>
            <w:color w:val="0000FF"/>
            <w:sz w:val="28"/>
            <w:szCs w:val="32"/>
            <w:u w:val="single"/>
          </w:rPr>
          <w:t>指令的发送</w:t>
        </w:r>
        <w:r w:rsidR="00477FBC">
          <w:rPr>
            <w:rFonts w:ascii="宋体" w:eastAsia="宋体" w:hAnsi="宋体" w:cs="Malgun Gothic Semilight" w:hint="eastAsia"/>
            <w:noProof/>
            <w:color w:val="0000FF"/>
            <w:sz w:val="28"/>
            <w:szCs w:val="32"/>
            <w:u w:val="single"/>
          </w:rPr>
          <w:t>、</w:t>
        </w:r>
        <w:r w:rsidR="00477FBC">
          <w:rPr>
            <w:rFonts w:ascii="宋体" w:eastAsia="宋体" w:hAnsi="宋体" w:cs="微软雅黑" w:hint="eastAsia"/>
            <w:noProof/>
            <w:color w:val="0000FF"/>
            <w:sz w:val="28"/>
            <w:szCs w:val="32"/>
            <w:u w:val="single"/>
          </w:rPr>
          <w:t>确认及执行</w:t>
        </w:r>
        <w:r w:rsidR="00477FBC">
          <w:rPr>
            <w:rFonts w:ascii="宋体" w:eastAsia="宋体" w:hAnsi="宋体" w:cs="Times New Roman" w:hint="eastAsia"/>
            <w:noProof/>
            <w:sz w:val="28"/>
            <w:szCs w:val="24"/>
          </w:rPr>
          <w:tab/>
        </w:r>
        <w:r w:rsidR="00477FBC">
          <w:rPr>
            <w:rFonts w:ascii="宋体" w:eastAsia="宋体" w:hAnsi="宋体" w:cs="Times New Roman" w:hint="eastAsia"/>
            <w:noProof/>
            <w:sz w:val="28"/>
            <w:szCs w:val="24"/>
          </w:rPr>
          <w:fldChar w:fldCharType="begin"/>
        </w:r>
        <w:r w:rsidR="00477FBC">
          <w:rPr>
            <w:rFonts w:ascii="宋体" w:eastAsia="宋体" w:hAnsi="宋体" w:cs="Times New Roman" w:hint="eastAsia"/>
            <w:noProof/>
            <w:sz w:val="28"/>
            <w:szCs w:val="24"/>
          </w:rPr>
          <w:instrText xml:space="preserve"> PAGEREF _Toc124325890 \h </w:instrText>
        </w:r>
        <w:r w:rsidR="00477FBC">
          <w:rPr>
            <w:rFonts w:ascii="宋体" w:eastAsia="宋体" w:hAnsi="宋体" w:cs="Times New Roman" w:hint="eastAsia"/>
            <w:noProof/>
            <w:sz w:val="28"/>
            <w:szCs w:val="24"/>
          </w:rPr>
        </w:r>
        <w:r w:rsidR="00477FBC">
          <w:rPr>
            <w:rFonts w:ascii="宋体" w:eastAsia="宋体" w:hAnsi="宋体" w:cs="Times New Roman" w:hint="eastAsia"/>
            <w:noProof/>
            <w:sz w:val="28"/>
            <w:szCs w:val="24"/>
          </w:rPr>
          <w:fldChar w:fldCharType="separate"/>
        </w:r>
        <w:r w:rsidR="00482A33">
          <w:rPr>
            <w:rFonts w:ascii="宋体" w:eastAsia="宋体" w:hAnsi="宋体" w:cs="Times New Roman"/>
            <w:noProof/>
            <w:sz w:val="28"/>
            <w:szCs w:val="24"/>
          </w:rPr>
          <w:t>16</w:t>
        </w:r>
        <w:r w:rsidR="00477FBC">
          <w:rPr>
            <w:rFonts w:ascii="宋体" w:eastAsia="宋体" w:hAnsi="宋体" w:cs="Times New Roman" w:hint="eastAsia"/>
            <w:noProof/>
            <w:sz w:val="28"/>
            <w:szCs w:val="24"/>
          </w:rPr>
          <w:fldChar w:fldCharType="end"/>
        </w:r>
      </w:hyperlink>
    </w:p>
    <w:p w14:paraId="0D89D851" w14:textId="1638BE13" w:rsidR="00F012EE" w:rsidRDefault="004A03DE">
      <w:pPr>
        <w:tabs>
          <w:tab w:val="right" w:leader="dot" w:pos="8494"/>
        </w:tabs>
        <w:spacing w:line="360" w:lineRule="auto"/>
        <w:ind w:leftChars="200" w:left="420"/>
        <w:rPr>
          <w:rFonts w:ascii="宋体" w:eastAsia="宋体" w:hAnsi="宋体" w:cs="Times New Roman"/>
          <w:noProof/>
          <w:sz w:val="28"/>
          <w:szCs w:val="24"/>
        </w:rPr>
      </w:pPr>
      <w:hyperlink w:anchor="_Toc124325891" w:history="1">
        <w:r w:rsidR="00477FBC">
          <w:rPr>
            <w:rFonts w:ascii="宋体" w:eastAsia="宋体" w:hAnsi="宋体" w:cs="微软雅黑" w:hint="eastAsia"/>
            <w:noProof/>
            <w:color w:val="0000FF"/>
            <w:sz w:val="28"/>
            <w:szCs w:val="32"/>
            <w:u w:val="single"/>
          </w:rPr>
          <w:t>七</w:t>
        </w:r>
        <w:r w:rsidR="00477FBC">
          <w:rPr>
            <w:rFonts w:ascii="宋体" w:eastAsia="宋体" w:hAnsi="宋体" w:cs="Malgun Gothic Semilight" w:hint="eastAsia"/>
            <w:noProof/>
            <w:color w:val="0000FF"/>
            <w:sz w:val="28"/>
            <w:szCs w:val="32"/>
            <w:u w:val="single"/>
          </w:rPr>
          <w:t>、</w:t>
        </w:r>
        <w:r w:rsidR="00477FBC">
          <w:rPr>
            <w:rFonts w:ascii="宋体" w:eastAsia="宋体" w:hAnsi="宋体" w:cs="微软雅黑" w:hint="eastAsia"/>
            <w:noProof/>
            <w:color w:val="0000FF"/>
            <w:sz w:val="28"/>
            <w:szCs w:val="32"/>
            <w:u w:val="single"/>
          </w:rPr>
          <w:t>交易及清算交收安排</w:t>
        </w:r>
        <w:r w:rsidR="00477FBC">
          <w:rPr>
            <w:rFonts w:ascii="宋体" w:eastAsia="宋体" w:hAnsi="宋体" w:cs="Times New Roman" w:hint="eastAsia"/>
            <w:noProof/>
            <w:sz w:val="28"/>
            <w:szCs w:val="24"/>
          </w:rPr>
          <w:tab/>
        </w:r>
        <w:r w:rsidR="00477FBC">
          <w:rPr>
            <w:rFonts w:ascii="宋体" w:eastAsia="宋体" w:hAnsi="宋体" w:cs="Times New Roman" w:hint="eastAsia"/>
            <w:noProof/>
            <w:sz w:val="28"/>
            <w:szCs w:val="24"/>
          </w:rPr>
          <w:fldChar w:fldCharType="begin"/>
        </w:r>
        <w:r w:rsidR="00477FBC">
          <w:rPr>
            <w:rFonts w:ascii="宋体" w:eastAsia="宋体" w:hAnsi="宋体" w:cs="Times New Roman" w:hint="eastAsia"/>
            <w:noProof/>
            <w:sz w:val="28"/>
            <w:szCs w:val="24"/>
          </w:rPr>
          <w:instrText xml:space="preserve"> PAGEREF _Toc124325891 \h </w:instrText>
        </w:r>
        <w:r w:rsidR="00477FBC">
          <w:rPr>
            <w:rFonts w:ascii="宋体" w:eastAsia="宋体" w:hAnsi="宋体" w:cs="Times New Roman" w:hint="eastAsia"/>
            <w:noProof/>
            <w:sz w:val="28"/>
            <w:szCs w:val="24"/>
          </w:rPr>
        </w:r>
        <w:r w:rsidR="00477FBC">
          <w:rPr>
            <w:rFonts w:ascii="宋体" w:eastAsia="宋体" w:hAnsi="宋体" w:cs="Times New Roman" w:hint="eastAsia"/>
            <w:noProof/>
            <w:sz w:val="28"/>
            <w:szCs w:val="24"/>
          </w:rPr>
          <w:fldChar w:fldCharType="separate"/>
        </w:r>
        <w:r w:rsidR="00482A33">
          <w:rPr>
            <w:rFonts w:ascii="宋体" w:eastAsia="宋体" w:hAnsi="宋体" w:cs="Times New Roman"/>
            <w:noProof/>
            <w:sz w:val="28"/>
            <w:szCs w:val="24"/>
          </w:rPr>
          <w:t>19</w:t>
        </w:r>
        <w:r w:rsidR="00477FBC">
          <w:rPr>
            <w:rFonts w:ascii="宋体" w:eastAsia="宋体" w:hAnsi="宋体" w:cs="Times New Roman" w:hint="eastAsia"/>
            <w:noProof/>
            <w:sz w:val="28"/>
            <w:szCs w:val="24"/>
          </w:rPr>
          <w:fldChar w:fldCharType="end"/>
        </w:r>
      </w:hyperlink>
    </w:p>
    <w:p w14:paraId="7C3C586A" w14:textId="04D76981" w:rsidR="00F012EE" w:rsidRDefault="004A03DE">
      <w:pPr>
        <w:tabs>
          <w:tab w:val="right" w:leader="dot" w:pos="8494"/>
        </w:tabs>
        <w:spacing w:line="360" w:lineRule="auto"/>
        <w:ind w:leftChars="200" w:left="420"/>
        <w:rPr>
          <w:rFonts w:ascii="宋体" w:eastAsia="宋体" w:hAnsi="宋体" w:cs="Times New Roman"/>
          <w:noProof/>
          <w:sz w:val="28"/>
          <w:szCs w:val="24"/>
        </w:rPr>
      </w:pPr>
      <w:hyperlink w:anchor="_Toc124325892" w:history="1">
        <w:r w:rsidR="00477FBC">
          <w:rPr>
            <w:rFonts w:ascii="宋体" w:eastAsia="宋体" w:hAnsi="宋体" w:cs="微软雅黑" w:hint="eastAsia"/>
            <w:noProof/>
            <w:color w:val="0000FF"/>
            <w:sz w:val="28"/>
            <w:szCs w:val="32"/>
            <w:u w:val="single"/>
          </w:rPr>
          <w:t>八</w:t>
        </w:r>
        <w:r w:rsidR="00477FBC">
          <w:rPr>
            <w:rFonts w:ascii="宋体" w:eastAsia="宋体" w:hAnsi="宋体" w:cs="Malgun Gothic Semilight" w:hint="eastAsia"/>
            <w:noProof/>
            <w:color w:val="0000FF"/>
            <w:sz w:val="28"/>
            <w:szCs w:val="32"/>
            <w:u w:val="single"/>
          </w:rPr>
          <w:t>、</w:t>
        </w:r>
        <w:r w:rsidR="00477FBC">
          <w:rPr>
            <w:rFonts w:ascii="宋体" w:eastAsia="宋体" w:hAnsi="宋体" w:cs="微软雅黑" w:hint="eastAsia"/>
            <w:noProof/>
            <w:color w:val="0000FF"/>
            <w:sz w:val="28"/>
            <w:szCs w:val="32"/>
            <w:u w:val="single"/>
          </w:rPr>
          <w:t>基金资产净值计算和会计核算</w:t>
        </w:r>
        <w:r w:rsidR="00477FBC">
          <w:rPr>
            <w:rFonts w:ascii="宋体" w:eastAsia="宋体" w:hAnsi="宋体" w:cs="Times New Roman" w:hint="eastAsia"/>
            <w:noProof/>
            <w:sz w:val="28"/>
            <w:szCs w:val="24"/>
          </w:rPr>
          <w:tab/>
        </w:r>
        <w:r w:rsidR="00477FBC">
          <w:rPr>
            <w:rFonts w:ascii="宋体" w:eastAsia="宋体" w:hAnsi="宋体" w:cs="Times New Roman" w:hint="eastAsia"/>
            <w:noProof/>
            <w:sz w:val="28"/>
            <w:szCs w:val="24"/>
          </w:rPr>
          <w:fldChar w:fldCharType="begin"/>
        </w:r>
        <w:r w:rsidR="00477FBC">
          <w:rPr>
            <w:rFonts w:ascii="宋体" w:eastAsia="宋体" w:hAnsi="宋体" w:cs="Times New Roman" w:hint="eastAsia"/>
            <w:noProof/>
            <w:sz w:val="28"/>
            <w:szCs w:val="24"/>
          </w:rPr>
          <w:instrText xml:space="preserve"> PAGEREF _Toc124325892 \h </w:instrText>
        </w:r>
        <w:r w:rsidR="00477FBC">
          <w:rPr>
            <w:rFonts w:ascii="宋体" w:eastAsia="宋体" w:hAnsi="宋体" w:cs="Times New Roman" w:hint="eastAsia"/>
            <w:noProof/>
            <w:sz w:val="28"/>
            <w:szCs w:val="24"/>
          </w:rPr>
        </w:r>
        <w:r w:rsidR="00477FBC">
          <w:rPr>
            <w:rFonts w:ascii="宋体" w:eastAsia="宋体" w:hAnsi="宋体" w:cs="Times New Roman" w:hint="eastAsia"/>
            <w:noProof/>
            <w:sz w:val="28"/>
            <w:szCs w:val="24"/>
          </w:rPr>
          <w:fldChar w:fldCharType="separate"/>
        </w:r>
        <w:r w:rsidR="00482A33">
          <w:rPr>
            <w:rFonts w:ascii="宋体" w:eastAsia="宋体" w:hAnsi="宋体" w:cs="Times New Roman"/>
            <w:noProof/>
            <w:sz w:val="28"/>
            <w:szCs w:val="24"/>
          </w:rPr>
          <w:t>22</w:t>
        </w:r>
        <w:r w:rsidR="00477FBC">
          <w:rPr>
            <w:rFonts w:ascii="宋体" w:eastAsia="宋体" w:hAnsi="宋体" w:cs="Times New Roman" w:hint="eastAsia"/>
            <w:noProof/>
            <w:sz w:val="28"/>
            <w:szCs w:val="24"/>
          </w:rPr>
          <w:fldChar w:fldCharType="end"/>
        </w:r>
      </w:hyperlink>
    </w:p>
    <w:p w14:paraId="3218D52B" w14:textId="38B7A37C" w:rsidR="00F012EE" w:rsidRDefault="004A03DE">
      <w:pPr>
        <w:tabs>
          <w:tab w:val="right" w:leader="dot" w:pos="8494"/>
        </w:tabs>
        <w:spacing w:line="360" w:lineRule="auto"/>
        <w:ind w:leftChars="200" w:left="420"/>
        <w:rPr>
          <w:rFonts w:ascii="宋体" w:eastAsia="宋体" w:hAnsi="宋体" w:cs="Times New Roman"/>
          <w:noProof/>
          <w:sz w:val="28"/>
          <w:szCs w:val="24"/>
        </w:rPr>
      </w:pPr>
      <w:hyperlink w:anchor="_Toc124325893" w:history="1">
        <w:r w:rsidR="00477FBC">
          <w:rPr>
            <w:rFonts w:ascii="宋体" w:eastAsia="宋体" w:hAnsi="宋体" w:cs="微软雅黑" w:hint="eastAsia"/>
            <w:noProof/>
            <w:color w:val="0000FF"/>
            <w:sz w:val="28"/>
            <w:szCs w:val="32"/>
            <w:u w:val="single"/>
          </w:rPr>
          <w:t>九</w:t>
        </w:r>
        <w:r w:rsidR="00477FBC">
          <w:rPr>
            <w:rFonts w:ascii="宋体" w:eastAsia="宋体" w:hAnsi="宋体" w:cs="Malgun Gothic Semilight" w:hint="eastAsia"/>
            <w:noProof/>
            <w:color w:val="0000FF"/>
            <w:sz w:val="28"/>
            <w:szCs w:val="32"/>
            <w:u w:val="single"/>
          </w:rPr>
          <w:t>、</w:t>
        </w:r>
        <w:r w:rsidR="00477FBC">
          <w:rPr>
            <w:rFonts w:ascii="宋体" w:eastAsia="宋体" w:hAnsi="宋体" w:cs="微软雅黑" w:hint="eastAsia"/>
            <w:noProof/>
            <w:color w:val="0000FF"/>
            <w:sz w:val="28"/>
            <w:szCs w:val="32"/>
            <w:u w:val="single"/>
          </w:rPr>
          <w:t>基金收益分配</w:t>
        </w:r>
        <w:r w:rsidR="00477FBC">
          <w:rPr>
            <w:rFonts w:ascii="宋体" w:eastAsia="宋体" w:hAnsi="宋体" w:cs="Times New Roman" w:hint="eastAsia"/>
            <w:noProof/>
            <w:sz w:val="28"/>
            <w:szCs w:val="24"/>
          </w:rPr>
          <w:tab/>
        </w:r>
        <w:r w:rsidR="00477FBC">
          <w:rPr>
            <w:rFonts w:ascii="宋体" w:eastAsia="宋体" w:hAnsi="宋体" w:cs="Times New Roman" w:hint="eastAsia"/>
            <w:noProof/>
            <w:sz w:val="28"/>
            <w:szCs w:val="24"/>
          </w:rPr>
          <w:fldChar w:fldCharType="begin"/>
        </w:r>
        <w:r w:rsidR="00477FBC">
          <w:rPr>
            <w:rFonts w:ascii="宋体" w:eastAsia="宋体" w:hAnsi="宋体" w:cs="Times New Roman" w:hint="eastAsia"/>
            <w:noProof/>
            <w:sz w:val="28"/>
            <w:szCs w:val="24"/>
          </w:rPr>
          <w:instrText xml:space="preserve"> PAGEREF _Toc124325893 \h </w:instrText>
        </w:r>
        <w:r w:rsidR="00477FBC">
          <w:rPr>
            <w:rFonts w:ascii="宋体" w:eastAsia="宋体" w:hAnsi="宋体" w:cs="Times New Roman" w:hint="eastAsia"/>
            <w:noProof/>
            <w:sz w:val="28"/>
            <w:szCs w:val="24"/>
          </w:rPr>
        </w:r>
        <w:r w:rsidR="00477FBC">
          <w:rPr>
            <w:rFonts w:ascii="宋体" w:eastAsia="宋体" w:hAnsi="宋体" w:cs="Times New Roman" w:hint="eastAsia"/>
            <w:noProof/>
            <w:sz w:val="28"/>
            <w:szCs w:val="24"/>
          </w:rPr>
          <w:fldChar w:fldCharType="separate"/>
        </w:r>
        <w:r w:rsidR="00482A33">
          <w:rPr>
            <w:rFonts w:ascii="宋体" w:eastAsia="宋体" w:hAnsi="宋体" w:cs="Times New Roman"/>
            <w:noProof/>
            <w:sz w:val="28"/>
            <w:szCs w:val="24"/>
          </w:rPr>
          <w:t>28</w:t>
        </w:r>
        <w:r w:rsidR="00477FBC">
          <w:rPr>
            <w:rFonts w:ascii="宋体" w:eastAsia="宋体" w:hAnsi="宋体" w:cs="Times New Roman" w:hint="eastAsia"/>
            <w:noProof/>
            <w:sz w:val="28"/>
            <w:szCs w:val="24"/>
          </w:rPr>
          <w:fldChar w:fldCharType="end"/>
        </w:r>
      </w:hyperlink>
    </w:p>
    <w:p w14:paraId="7DB6936E" w14:textId="105CC9B1" w:rsidR="00F012EE" w:rsidRDefault="004A03DE">
      <w:pPr>
        <w:tabs>
          <w:tab w:val="right" w:leader="dot" w:pos="8494"/>
        </w:tabs>
        <w:spacing w:line="360" w:lineRule="auto"/>
        <w:ind w:leftChars="200" w:left="420"/>
        <w:rPr>
          <w:rFonts w:ascii="宋体" w:eastAsia="宋体" w:hAnsi="宋体" w:cs="Times New Roman"/>
          <w:noProof/>
          <w:sz w:val="28"/>
          <w:szCs w:val="24"/>
        </w:rPr>
      </w:pPr>
      <w:hyperlink w:anchor="_Toc124325894" w:history="1">
        <w:r w:rsidR="00477FBC">
          <w:rPr>
            <w:rFonts w:ascii="宋体" w:eastAsia="宋体" w:hAnsi="宋体" w:cs="微软雅黑" w:hint="eastAsia"/>
            <w:noProof/>
            <w:color w:val="0000FF"/>
            <w:sz w:val="28"/>
            <w:szCs w:val="32"/>
            <w:u w:val="single"/>
          </w:rPr>
          <w:t>十</w:t>
        </w:r>
        <w:r w:rsidR="00477FBC">
          <w:rPr>
            <w:rFonts w:ascii="宋体" w:eastAsia="宋体" w:hAnsi="宋体" w:cs="Malgun Gothic Semilight" w:hint="eastAsia"/>
            <w:noProof/>
            <w:color w:val="0000FF"/>
            <w:sz w:val="28"/>
            <w:szCs w:val="32"/>
            <w:u w:val="single"/>
          </w:rPr>
          <w:t>、</w:t>
        </w:r>
        <w:r w:rsidR="00477FBC">
          <w:rPr>
            <w:rFonts w:ascii="宋体" w:eastAsia="宋体" w:hAnsi="宋体" w:cs="微软雅黑" w:hint="eastAsia"/>
            <w:noProof/>
            <w:color w:val="0000FF"/>
            <w:sz w:val="28"/>
            <w:szCs w:val="32"/>
            <w:u w:val="single"/>
          </w:rPr>
          <w:t>基金信息披露</w:t>
        </w:r>
        <w:r w:rsidR="00477FBC">
          <w:rPr>
            <w:rFonts w:ascii="宋体" w:eastAsia="宋体" w:hAnsi="宋体" w:cs="Times New Roman" w:hint="eastAsia"/>
            <w:noProof/>
            <w:sz w:val="28"/>
            <w:szCs w:val="24"/>
          </w:rPr>
          <w:tab/>
        </w:r>
        <w:r w:rsidR="00477FBC">
          <w:rPr>
            <w:rFonts w:ascii="宋体" w:eastAsia="宋体" w:hAnsi="宋体" w:cs="Times New Roman" w:hint="eastAsia"/>
            <w:noProof/>
            <w:sz w:val="28"/>
            <w:szCs w:val="24"/>
          </w:rPr>
          <w:fldChar w:fldCharType="begin"/>
        </w:r>
        <w:r w:rsidR="00477FBC">
          <w:rPr>
            <w:rFonts w:ascii="宋体" w:eastAsia="宋体" w:hAnsi="宋体" w:cs="Times New Roman" w:hint="eastAsia"/>
            <w:noProof/>
            <w:sz w:val="28"/>
            <w:szCs w:val="24"/>
          </w:rPr>
          <w:instrText xml:space="preserve"> PAGEREF _Toc124325894 \h </w:instrText>
        </w:r>
        <w:r w:rsidR="00477FBC">
          <w:rPr>
            <w:rFonts w:ascii="宋体" w:eastAsia="宋体" w:hAnsi="宋体" w:cs="Times New Roman" w:hint="eastAsia"/>
            <w:noProof/>
            <w:sz w:val="28"/>
            <w:szCs w:val="24"/>
          </w:rPr>
        </w:r>
        <w:r w:rsidR="00477FBC">
          <w:rPr>
            <w:rFonts w:ascii="宋体" w:eastAsia="宋体" w:hAnsi="宋体" w:cs="Times New Roman" w:hint="eastAsia"/>
            <w:noProof/>
            <w:sz w:val="28"/>
            <w:szCs w:val="24"/>
          </w:rPr>
          <w:fldChar w:fldCharType="separate"/>
        </w:r>
        <w:r w:rsidR="00482A33">
          <w:rPr>
            <w:rFonts w:ascii="宋体" w:eastAsia="宋体" w:hAnsi="宋体" w:cs="Times New Roman"/>
            <w:noProof/>
            <w:sz w:val="28"/>
            <w:szCs w:val="24"/>
          </w:rPr>
          <w:t>28</w:t>
        </w:r>
        <w:r w:rsidR="00477FBC">
          <w:rPr>
            <w:rFonts w:ascii="宋体" w:eastAsia="宋体" w:hAnsi="宋体" w:cs="Times New Roman" w:hint="eastAsia"/>
            <w:noProof/>
            <w:sz w:val="28"/>
            <w:szCs w:val="24"/>
          </w:rPr>
          <w:fldChar w:fldCharType="end"/>
        </w:r>
      </w:hyperlink>
    </w:p>
    <w:p w14:paraId="6042E7BB" w14:textId="2F6B5CEA" w:rsidR="00F012EE" w:rsidRDefault="004A03DE">
      <w:pPr>
        <w:tabs>
          <w:tab w:val="right" w:leader="dot" w:pos="8494"/>
        </w:tabs>
        <w:spacing w:line="360" w:lineRule="auto"/>
        <w:ind w:leftChars="200" w:left="420"/>
        <w:rPr>
          <w:rFonts w:ascii="宋体" w:eastAsia="宋体" w:hAnsi="宋体" w:cs="Times New Roman"/>
          <w:noProof/>
          <w:sz w:val="28"/>
          <w:szCs w:val="24"/>
        </w:rPr>
      </w:pPr>
      <w:hyperlink w:anchor="_Toc124325895" w:history="1">
        <w:r w:rsidR="00477FBC">
          <w:rPr>
            <w:rFonts w:ascii="宋体" w:eastAsia="宋体" w:hAnsi="宋体" w:cs="微软雅黑" w:hint="eastAsia"/>
            <w:noProof/>
            <w:color w:val="0000FF"/>
            <w:sz w:val="28"/>
            <w:szCs w:val="32"/>
            <w:u w:val="single"/>
          </w:rPr>
          <w:t>十一</w:t>
        </w:r>
        <w:r w:rsidR="00477FBC">
          <w:rPr>
            <w:rFonts w:ascii="宋体" w:eastAsia="宋体" w:hAnsi="宋体" w:cs="Malgun Gothic Semilight" w:hint="eastAsia"/>
            <w:noProof/>
            <w:color w:val="0000FF"/>
            <w:sz w:val="28"/>
            <w:szCs w:val="32"/>
            <w:u w:val="single"/>
          </w:rPr>
          <w:t>、</w:t>
        </w:r>
        <w:r w:rsidR="00477FBC">
          <w:rPr>
            <w:rFonts w:ascii="宋体" w:eastAsia="宋体" w:hAnsi="宋体" w:cs="微软雅黑" w:hint="eastAsia"/>
            <w:noProof/>
            <w:color w:val="0000FF"/>
            <w:sz w:val="28"/>
            <w:szCs w:val="32"/>
            <w:u w:val="single"/>
          </w:rPr>
          <w:t>基金费用</w:t>
        </w:r>
        <w:r w:rsidR="00477FBC">
          <w:rPr>
            <w:rFonts w:ascii="宋体" w:eastAsia="宋体" w:hAnsi="宋体" w:cs="Times New Roman" w:hint="eastAsia"/>
            <w:noProof/>
            <w:sz w:val="28"/>
            <w:szCs w:val="24"/>
          </w:rPr>
          <w:tab/>
        </w:r>
        <w:r w:rsidR="00477FBC">
          <w:rPr>
            <w:rFonts w:ascii="宋体" w:eastAsia="宋体" w:hAnsi="宋体" w:cs="Times New Roman" w:hint="eastAsia"/>
            <w:noProof/>
            <w:sz w:val="28"/>
            <w:szCs w:val="24"/>
          </w:rPr>
          <w:fldChar w:fldCharType="begin"/>
        </w:r>
        <w:r w:rsidR="00477FBC">
          <w:rPr>
            <w:rFonts w:ascii="宋体" w:eastAsia="宋体" w:hAnsi="宋体" w:cs="Times New Roman" w:hint="eastAsia"/>
            <w:noProof/>
            <w:sz w:val="28"/>
            <w:szCs w:val="24"/>
          </w:rPr>
          <w:instrText xml:space="preserve"> PAGEREF _Toc124325895 \h </w:instrText>
        </w:r>
        <w:r w:rsidR="00477FBC">
          <w:rPr>
            <w:rFonts w:ascii="宋体" w:eastAsia="宋体" w:hAnsi="宋体" w:cs="Times New Roman" w:hint="eastAsia"/>
            <w:noProof/>
            <w:sz w:val="28"/>
            <w:szCs w:val="24"/>
          </w:rPr>
        </w:r>
        <w:r w:rsidR="00477FBC">
          <w:rPr>
            <w:rFonts w:ascii="宋体" w:eastAsia="宋体" w:hAnsi="宋体" w:cs="Times New Roman" w:hint="eastAsia"/>
            <w:noProof/>
            <w:sz w:val="28"/>
            <w:szCs w:val="24"/>
          </w:rPr>
          <w:fldChar w:fldCharType="separate"/>
        </w:r>
        <w:r w:rsidR="00482A33">
          <w:rPr>
            <w:rFonts w:ascii="宋体" w:eastAsia="宋体" w:hAnsi="宋体" w:cs="Times New Roman"/>
            <w:noProof/>
            <w:sz w:val="28"/>
            <w:szCs w:val="24"/>
          </w:rPr>
          <w:t>30</w:t>
        </w:r>
        <w:r w:rsidR="00477FBC">
          <w:rPr>
            <w:rFonts w:ascii="宋体" w:eastAsia="宋体" w:hAnsi="宋体" w:cs="Times New Roman" w:hint="eastAsia"/>
            <w:noProof/>
            <w:sz w:val="28"/>
            <w:szCs w:val="24"/>
          </w:rPr>
          <w:fldChar w:fldCharType="end"/>
        </w:r>
      </w:hyperlink>
    </w:p>
    <w:p w14:paraId="01C0EC0B" w14:textId="6DFFA32E" w:rsidR="00F012EE" w:rsidRDefault="004A03DE">
      <w:pPr>
        <w:tabs>
          <w:tab w:val="right" w:leader="dot" w:pos="8494"/>
        </w:tabs>
        <w:spacing w:line="360" w:lineRule="auto"/>
        <w:ind w:leftChars="200" w:left="420"/>
        <w:rPr>
          <w:rFonts w:ascii="宋体" w:eastAsia="宋体" w:hAnsi="宋体" w:cs="Times New Roman"/>
          <w:noProof/>
          <w:sz w:val="28"/>
          <w:szCs w:val="24"/>
        </w:rPr>
      </w:pPr>
      <w:hyperlink w:anchor="_Toc124325896" w:history="1">
        <w:r w:rsidR="00477FBC">
          <w:rPr>
            <w:rFonts w:ascii="宋体" w:eastAsia="宋体" w:hAnsi="宋体" w:cs="微软雅黑" w:hint="eastAsia"/>
            <w:noProof/>
            <w:color w:val="0000FF"/>
            <w:sz w:val="28"/>
            <w:szCs w:val="32"/>
            <w:u w:val="single"/>
          </w:rPr>
          <w:t>十二</w:t>
        </w:r>
        <w:r w:rsidR="00477FBC">
          <w:rPr>
            <w:rFonts w:ascii="宋体" w:eastAsia="宋体" w:hAnsi="宋体" w:cs="Malgun Gothic Semilight" w:hint="eastAsia"/>
            <w:noProof/>
            <w:color w:val="0000FF"/>
            <w:sz w:val="28"/>
            <w:szCs w:val="32"/>
            <w:u w:val="single"/>
          </w:rPr>
          <w:t>、</w:t>
        </w:r>
        <w:r w:rsidR="00477FBC">
          <w:rPr>
            <w:rFonts w:ascii="宋体" w:eastAsia="宋体" w:hAnsi="宋体" w:cs="微软雅黑" w:hint="eastAsia"/>
            <w:noProof/>
            <w:color w:val="0000FF"/>
            <w:sz w:val="28"/>
            <w:szCs w:val="32"/>
            <w:u w:val="single"/>
          </w:rPr>
          <w:t>基金份额持有人名册的保管</w:t>
        </w:r>
        <w:r w:rsidR="00477FBC">
          <w:rPr>
            <w:rFonts w:ascii="宋体" w:eastAsia="宋体" w:hAnsi="宋体" w:cs="Times New Roman" w:hint="eastAsia"/>
            <w:noProof/>
            <w:sz w:val="28"/>
            <w:szCs w:val="24"/>
          </w:rPr>
          <w:tab/>
        </w:r>
        <w:r w:rsidR="00477FBC">
          <w:rPr>
            <w:rFonts w:ascii="宋体" w:eastAsia="宋体" w:hAnsi="宋体" w:cs="Times New Roman" w:hint="eastAsia"/>
            <w:noProof/>
            <w:sz w:val="28"/>
            <w:szCs w:val="24"/>
          </w:rPr>
          <w:fldChar w:fldCharType="begin"/>
        </w:r>
        <w:r w:rsidR="00477FBC">
          <w:rPr>
            <w:rFonts w:ascii="宋体" w:eastAsia="宋体" w:hAnsi="宋体" w:cs="Times New Roman" w:hint="eastAsia"/>
            <w:noProof/>
            <w:sz w:val="28"/>
            <w:szCs w:val="24"/>
          </w:rPr>
          <w:instrText xml:space="preserve"> PAGEREF _Toc124325896 \h </w:instrText>
        </w:r>
        <w:r w:rsidR="00477FBC">
          <w:rPr>
            <w:rFonts w:ascii="宋体" w:eastAsia="宋体" w:hAnsi="宋体" w:cs="Times New Roman" w:hint="eastAsia"/>
            <w:noProof/>
            <w:sz w:val="28"/>
            <w:szCs w:val="24"/>
          </w:rPr>
        </w:r>
        <w:r w:rsidR="00477FBC">
          <w:rPr>
            <w:rFonts w:ascii="宋体" w:eastAsia="宋体" w:hAnsi="宋体" w:cs="Times New Roman" w:hint="eastAsia"/>
            <w:noProof/>
            <w:sz w:val="28"/>
            <w:szCs w:val="24"/>
          </w:rPr>
          <w:fldChar w:fldCharType="separate"/>
        </w:r>
        <w:r w:rsidR="00482A33">
          <w:rPr>
            <w:rFonts w:ascii="宋体" w:eastAsia="宋体" w:hAnsi="宋体" w:cs="Times New Roman"/>
            <w:noProof/>
            <w:sz w:val="28"/>
            <w:szCs w:val="24"/>
          </w:rPr>
          <w:t>32</w:t>
        </w:r>
        <w:r w:rsidR="00477FBC">
          <w:rPr>
            <w:rFonts w:ascii="宋体" w:eastAsia="宋体" w:hAnsi="宋体" w:cs="Times New Roman" w:hint="eastAsia"/>
            <w:noProof/>
            <w:sz w:val="28"/>
            <w:szCs w:val="24"/>
          </w:rPr>
          <w:fldChar w:fldCharType="end"/>
        </w:r>
      </w:hyperlink>
    </w:p>
    <w:p w14:paraId="612C262E" w14:textId="1ED6213C" w:rsidR="00F012EE" w:rsidRDefault="004A03DE">
      <w:pPr>
        <w:tabs>
          <w:tab w:val="right" w:leader="dot" w:pos="8494"/>
        </w:tabs>
        <w:spacing w:line="360" w:lineRule="auto"/>
        <w:ind w:leftChars="200" w:left="420"/>
        <w:rPr>
          <w:rFonts w:ascii="宋体" w:eastAsia="宋体" w:hAnsi="宋体" w:cs="Times New Roman"/>
          <w:noProof/>
          <w:sz w:val="28"/>
          <w:szCs w:val="24"/>
        </w:rPr>
      </w:pPr>
      <w:hyperlink w:anchor="_Toc124325897" w:history="1">
        <w:r w:rsidR="00477FBC">
          <w:rPr>
            <w:rFonts w:ascii="宋体" w:eastAsia="宋体" w:hAnsi="宋体" w:cs="微软雅黑" w:hint="eastAsia"/>
            <w:noProof/>
            <w:color w:val="0000FF"/>
            <w:sz w:val="28"/>
            <w:szCs w:val="32"/>
            <w:u w:val="single"/>
          </w:rPr>
          <w:t>十三</w:t>
        </w:r>
        <w:r w:rsidR="00477FBC">
          <w:rPr>
            <w:rFonts w:ascii="宋体" w:eastAsia="宋体" w:hAnsi="宋体" w:cs="Malgun Gothic Semilight" w:hint="eastAsia"/>
            <w:noProof/>
            <w:color w:val="0000FF"/>
            <w:sz w:val="28"/>
            <w:szCs w:val="32"/>
            <w:u w:val="single"/>
          </w:rPr>
          <w:t>、</w:t>
        </w:r>
        <w:r w:rsidR="00477FBC">
          <w:rPr>
            <w:rFonts w:ascii="宋体" w:eastAsia="宋体" w:hAnsi="宋体" w:cs="微软雅黑" w:hint="eastAsia"/>
            <w:noProof/>
            <w:color w:val="0000FF"/>
            <w:sz w:val="28"/>
            <w:szCs w:val="32"/>
            <w:u w:val="single"/>
          </w:rPr>
          <w:t>基金有关文件档案的保存</w:t>
        </w:r>
        <w:r w:rsidR="00477FBC">
          <w:rPr>
            <w:rFonts w:ascii="宋体" w:eastAsia="宋体" w:hAnsi="宋体" w:cs="Times New Roman" w:hint="eastAsia"/>
            <w:noProof/>
            <w:sz w:val="28"/>
            <w:szCs w:val="24"/>
          </w:rPr>
          <w:tab/>
        </w:r>
        <w:r w:rsidR="00477FBC">
          <w:rPr>
            <w:rFonts w:ascii="宋体" w:eastAsia="宋体" w:hAnsi="宋体" w:cs="Times New Roman" w:hint="eastAsia"/>
            <w:noProof/>
            <w:sz w:val="28"/>
            <w:szCs w:val="24"/>
          </w:rPr>
          <w:fldChar w:fldCharType="begin"/>
        </w:r>
        <w:r w:rsidR="00477FBC">
          <w:rPr>
            <w:rFonts w:ascii="宋体" w:eastAsia="宋体" w:hAnsi="宋体" w:cs="Times New Roman" w:hint="eastAsia"/>
            <w:noProof/>
            <w:sz w:val="28"/>
            <w:szCs w:val="24"/>
          </w:rPr>
          <w:instrText xml:space="preserve"> PAGEREF _Toc124325897 \h </w:instrText>
        </w:r>
        <w:r w:rsidR="00477FBC">
          <w:rPr>
            <w:rFonts w:ascii="宋体" w:eastAsia="宋体" w:hAnsi="宋体" w:cs="Times New Roman" w:hint="eastAsia"/>
            <w:noProof/>
            <w:sz w:val="28"/>
            <w:szCs w:val="24"/>
          </w:rPr>
        </w:r>
        <w:r w:rsidR="00477FBC">
          <w:rPr>
            <w:rFonts w:ascii="宋体" w:eastAsia="宋体" w:hAnsi="宋体" w:cs="Times New Roman" w:hint="eastAsia"/>
            <w:noProof/>
            <w:sz w:val="28"/>
            <w:szCs w:val="24"/>
          </w:rPr>
          <w:fldChar w:fldCharType="separate"/>
        </w:r>
        <w:r w:rsidR="00482A33">
          <w:rPr>
            <w:rFonts w:ascii="宋体" w:eastAsia="宋体" w:hAnsi="宋体" w:cs="Times New Roman"/>
            <w:noProof/>
            <w:sz w:val="28"/>
            <w:szCs w:val="24"/>
          </w:rPr>
          <w:t>32</w:t>
        </w:r>
        <w:r w:rsidR="00477FBC">
          <w:rPr>
            <w:rFonts w:ascii="宋体" w:eastAsia="宋体" w:hAnsi="宋体" w:cs="Times New Roman" w:hint="eastAsia"/>
            <w:noProof/>
            <w:sz w:val="28"/>
            <w:szCs w:val="24"/>
          </w:rPr>
          <w:fldChar w:fldCharType="end"/>
        </w:r>
      </w:hyperlink>
    </w:p>
    <w:p w14:paraId="75C197CA" w14:textId="4785CD6D" w:rsidR="00F012EE" w:rsidRDefault="004A03DE">
      <w:pPr>
        <w:tabs>
          <w:tab w:val="right" w:leader="dot" w:pos="8494"/>
        </w:tabs>
        <w:spacing w:line="360" w:lineRule="auto"/>
        <w:ind w:leftChars="200" w:left="420"/>
        <w:rPr>
          <w:rFonts w:ascii="宋体" w:eastAsia="宋体" w:hAnsi="宋体" w:cs="Times New Roman"/>
          <w:noProof/>
          <w:sz w:val="28"/>
          <w:szCs w:val="24"/>
        </w:rPr>
      </w:pPr>
      <w:hyperlink w:anchor="_Toc124325898" w:history="1">
        <w:r w:rsidR="00477FBC">
          <w:rPr>
            <w:rFonts w:ascii="宋体" w:eastAsia="宋体" w:hAnsi="宋体" w:cs="微软雅黑" w:hint="eastAsia"/>
            <w:noProof/>
            <w:color w:val="0000FF"/>
            <w:sz w:val="28"/>
            <w:szCs w:val="32"/>
            <w:u w:val="single"/>
          </w:rPr>
          <w:t>十四</w:t>
        </w:r>
        <w:r w:rsidR="00477FBC">
          <w:rPr>
            <w:rFonts w:ascii="宋体" w:eastAsia="宋体" w:hAnsi="宋体" w:cs="Malgun Gothic Semilight" w:hint="eastAsia"/>
            <w:noProof/>
            <w:color w:val="0000FF"/>
            <w:sz w:val="28"/>
            <w:szCs w:val="32"/>
            <w:u w:val="single"/>
          </w:rPr>
          <w:t>、</w:t>
        </w:r>
        <w:r w:rsidR="00477FBC">
          <w:rPr>
            <w:rFonts w:ascii="宋体" w:eastAsia="宋体" w:hAnsi="宋体" w:cs="微软雅黑" w:hint="eastAsia"/>
            <w:noProof/>
            <w:color w:val="0000FF"/>
            <w:sz w:val="28"/>
            <w:szCs w:val="32"/>
            <w:u w:val="single"/>
          </w:rPr>
          <w:t>基金管理人和基金托管人的更换</w:t>
        </w:r>
        <w:r w:rsidR="00477FBC">
          <w:rPr>
            <w:rFonts w:ascii="宋体" w:eastAsia="宋体" w:hAnsi="宋体" w:cs="Times New Roman" w:hint="eastAsia"/>
            <w:noProof/>
            <w:sz w:val="28"/>
            <w:szCs w:val="24"/>
          </w:rPr>
          <w:tab/>
        </w:r>
        <w:r w:rsidR="00477FBC">
          <w:rPr>
            <w:rFonts w:ascii="宋体" w:eastAsia="宋体" w:hAnsi="宋体" w:cs="Times New Roman" w:hint="eastAsia"/>
            <w:noProof/>
            <w:sz w:val="28"/>
            <w:szCs w:val="24"/>
          </w:rPr>
          <w:fldChar w:fldCharType="begin"/>
        </w:r>
        <w:r w:rsidR="00477FBC">
          <w:rPr>
            <w:rFonts w:ascii="宋体" w:eastAsia="宋体" w:hAnsi="宋体" w:cs="Times New Roman" w:hint="eastAsia"/>
            <w:noProof/>
            <w:sz w:val="28"/>
            <w:szCs w:val="24"/>
          </w:rPr>
          <w:instrText xml:space="preserve"> PAGEREF _Toc124325898 \h </w:instrText>
        </w:r>
        <w:r w:rsidR="00477FBC">
          <w:rPr>
            <w:rFonts w:ascii="宋体" w:eastAsia="宋体" w:hAnsi="宋体" w:cs="Times New Roman" w:hint="eastAsia"/>
            <w:noProof/>
            <w:sz w:val="28"/>
            <w:szCs w:val="24"/>
          </w:rPr>
        </w:r>
        <w:r w:rsidR="00477FBC">
          <w:rPr>
            <w:rFonts w:ascii="宋体" w:eastAsia="宋体" w:hAnsi="宋体" w:cs="Times New Roman" w:hint="eastAsia"/>
            <w:noProof/>
            <w:sz w:val="28"/>
            <w:szCs w:val="24"/>
          </w:rPr>
          <w:fldChar w:fldCharType="separate"/>
        </w:r>
        <w:r w:rsidR="00482A33">
          <w:rPr>
            <w:rFonts w:ascii="宋体" w:eastAsia="宋体" w:hAnsi="宋体" w:cs="Times New Roman"/>
            <w:noProof/>
            <w:sz w:val="28"/>
            <w:szCs w:val="24"/>
          </w:rPr>
          <w:t>33</w:t>
        </w:r>
        <w:r w:rsidR="00477FBC">
          <w:rPr>
            <w:rFonts w:ascii="宋体" w:eastAsia="宋体" w:hAnsi="宋体" w:cs="Times New Roman" w:hint="eastAsia"/>
            <w:noProof/>
            <w:sz w:val="28"/>
            <w:szCs w:val="24"/>
          </w:rPr>
          <w:fldChar w:fldCharType="end"/>
        </w:r>
      </w:hyperlink>
    </w:p>
    <w:p w14:paraId="1EE91280" w14:textId="71F2BBA7" w:rsidR="00F012EE" w:rsidRDefault="004A03DE">
      <w:pPr>
        <w:tabs>
          <w:tab w:val="right" w:leader="dot" w:pos="8494"/>
        </w:tabs>
        <w:spacing w:line="360" w:lineRule="auto"/>
        <w:ind w:leftChars="200" w:left="420"/>
        <w:rPr>
          <w:rFonts w:ascii="宋体" w:eastAsia="宋体" w:hAnsi="宋体" w:cs="Times New Roman"/>
          <w:noProof/>
          <w:sz w:val="28"/>
          <w:szCs w:val="24"/>
        </w:rPr>
      </w:pPr>
      <w:hyperlink w:anchor="_Toc124325899" w:history="1">
        <w:r w:rsidR="00477FBC">
          <w:rPr>
            <w:rFonts w:ascii="宋体" w:eastAsia="宋体" w:hAnsi="宋体" w:cs="微软雅黑" w:hint="eastAsia"/>
            <w:noProof/>
            <w:color w:val="0000FF"/>
            <w:sz w:val="28"/>
            <w:szCs w:val="32"/>
            <w:u w:val="single"/>
          </w:rPr>
          <w:t>十五</w:t>
        </w:r>
        <w:r w:rsidR="00477FBC">
          <w:rPr>
            <w:rFonts w:ascii="宋体" w:eastAsia="宋体" w:hAnsi="宋体" w:cs="Malgun Gothic Semilight" w:hint="eastAsia"/>
            <w:noProof/>
            <w:color w:val="0000FF"/>
            <w:sz w:val="28"/>
            <w:szCs w:val="32"/>
            <w:u w:val="single"/>
          </w:rPr>
          <w:t>、</w:t>
        </w:r>
        <w:r w:rsidR="00477FBC">
          <w:rPr>
            <w:rFonts w:ascii="宋体" w:eastAsia="宋体" w:hAnsi="宋体" w:cs="微软雅黑" w:hint="eastAsia"/>
            <w:noProof/>
            <w:color w:val="0000FF"/>
            <w:sz w:val="28"/>
            <w:szCs w:val="32"/>
            <w:u w:val="single"/>
          </w:rPr>
          <w:t>禁止行为</w:t>
        </w:r>
        <w:r w:rsidR="00477FBC">
          <w:rPr>
            <w:rFonts w:ascii="宋体" w:eastAsia="宋体" w:hAnsi="宋体" w:cs="Times New Roman" w:hint="eastAsia"/>
            <w:noProof/>
            <w:sz w:val="28"/>
            <w:szCs w:val="24"/>
          </w:rPr>
          <w:tab/>
        </w:r>
        <w:r w:rsidR="00477FBC">
          <w:rPr>
            <w:rFonts w:ascii="宋体" w:eastAsia="宋体" w:hAnsi="宋体" w:cs="Times New Roman" w:hint="eastAsia"/>
            <w:noProof/>
            <w:sz w:val="28"/>
            <w:szCs w:val="24"/>
          </w:rPr>
          <w:fldChar w:fldCharType="begin"/>
        </w:r>
        <w:r w:rsidR="00477FBC">
          <w:rPr>
            <w:rFonts w:ascii="宋体" w:eastAsia="宋体" w:hAnsi="宋体" w:cs="Times New Roman" w:hint="eastAsia"/>
            <w:noProof/>
            <w:sz w:val="28"/>
            <w:szCs w:val="24"/>
          </w:rPr>
          <w:instrText xml:space="preserve"> PAGEREF _Toc124325899 \h </w:instrText>
        </w:r>
        <w:r w:rsidR="00477FBC">
          <w:rPr>
            <w:rFonts w:ascii="宋体" w:eastAsia="宋体" w:hAnsi="宋体" w:cs="Times New Roman" w:hint="eastAsia"/>
            <w:noProof/>
            <w:sz w:val="28"/>
            <w:szCs w:val="24"/>
          </w:rPr>
        </w:r>
        <w:r w:rsidR="00477FBC">
          <w:rPr>
            <w:rFonts w:ascii="宋体" w:eastAsia="宋体" w:hAnsi="宋体" w:cs="Times New Roman" w:hint="eastAsia"/>
            <w:noProof/>
            <w:sz w:val="28"/>
            <w:szCs w:val="24"/>
          </w:rPr>
          <w:fldChar w:fldCharType="separate"/>
        </w:r>
        <w:r w:rsidR="00482A33">
          <w:rPr>
            <w:rFonts w:ascii="宋体" w:eastAsia="宋体" w:hAnsi="宋体" w:cs="Times New Roman"/>
            <w:noProof/>
            <w:sz w:val="28"/>
            <w:szCs w:val="24"/>
          </w:rPr>
          <w:t>35</w:t>
        </w:r>
        <w:r w:rsidR="00477FBC">
          <w:rPr>
            <w:rFonts w:ascii="宋体" w:eastAsia="宋体" w:hAnsi="宋体" w:cs="Times New Roman" w:hint="eastAsia"/>
            <w:noProof/>
            <w:sz w:val="28"/>
            <w:szCs w:val="24"/>
          </w:rPr>
          <w:fldChar w:fldCharType="end"/>
        </w:r>
      </w:hyperlink>
    </w:p>
    <w:p w14:paraId="6E77848D" w14:textId="6D9B18DD" w:rsidR="00F012EE" w:rsidRDefault="004A03DE">
      <w:pPr>
        <w:tabs>
          <w:tab w:val="right" w:leader="dot" w:pos="8494"/>
        </w:tabs>
        <w:spacing w:line="360" w:lineRule="auto"/>
        <w:ind w:leftChars="200" w:left="420"/>
        <w:rPr>
          <w:rFonts w:ascii="宋体" w:eastAsia="宋体" w:hAnsi="宋体" w:cs="Times New Roman"/>
          <w:noProof/>
          <w:sz w:val="28"/>
          <w:szCs w:val="24"/>
        </w:rPr>
      </w:pPr>
      <w:hyperlink w:anchor="_Toc124325900" w:history="1">
        <w:r w:rsidR="00477FBC">
          <w:rPr>
            <w:rFonts w:ascii="宋体" w:eastAsia="宋体" w:hAnsi="宋体" w:cs="微软雅黑" w:hint="eastAsia"/>
            <w:noProof/>
            <w:color w:val="0000FF"/>
            <w:sz w:val="28"/>
            <w:szCs w:val="32"/>
            <w:u w:val="single"/>
          </w:rPr>
          <w:t>十六</w:t>
        </w:r>
        <w:r w:rsidR="00477FBC">
          <w:rPr>
            <w:rFonts w:ascii="宋体" w:eastAsia="宋体" w:hAnsi="宋体" w:cs="Malgun Gothic Semilight" w:hint="eastAsia"/>
            <w:noProof/>
            <w:color w:val="0000FF"/>
            <w:sz w:val="28"/>
            <w:szCs w:val="32"/>
            <w:u w:val="single"/>
          </w:rPr>
          <w:t>、</w:t>
        </w:r>
        <w:r w:rsidR="00477FBC">
          <w:rPr>
            <w:rFonts w:ascii="宋体" w:eastAsia="宋体" w:hAnsi="宋体" w:cs="微软雅黑" w:hint="eastAsia"/>
            <w:noProof/>
            <w:color w:val="0000FF"/>
            <w:sz w:val="28"/>
            <w:szCs w:val="32"/>
            <w:u w:val="single"/>
          </w:rPr>
          <w:t>托管协议的变更</w:t>
        </w:r>
        <w:r w:rsidR="00477FBC">
          <w:rPr>
            <w:rFonts w:ascii="宋体" w:eastAsia="宋体" w:hAnsi="宋体" w:cs="Malgun Gothic Semilight" w:hint="eastAsia"/>
            <w:noProof/>
            <w:color w:val="0000FF"/>
            <w:sz w:val="28"/>
            <w:szCs w:val="32"/>
            <w:u w:val="single"/>
          </w:rPr>
          <w:t>、</w:t>
        </w:r>
        <w:r w:rsidR="00477FBC">
          <w:rPr>
            <w:rFonts w:ascii="宋体" w:eastAsia="宋体" w:hAnsi="宋体" w:cs="微软雅黑" w:hint="eastAsia"/>
            <w:noProof/>
            <w:color w:val="0000FF"/>
            <w:sz w:val="28"/>
            <w:szCs w:val="32"/>
            <w:u w:val="single"/>
          </w:rPr>
          <w:t>终止与基金财产的清算</w:t>
        </w:r>
        <w:r w:rsidR="00477FBC">
          <w:rPr>
            <w:rFonts w:ascii="宋体" w:eastAsia="宋体" w:hAnsi="宋体" w:cs="Times New Roman" w:hint="eastAsia"/>
            <w:noProof/>
            <w:sz w:val="28"/>
            <w:szCs w:val="24"/>
          </w:rPr>
          <w:tab/>
        </w:r>
        <w:r w:rsidR="00477FBC">
          <w:rPr>
            <w:rFonts w:ascii="宋体" w:eastAsia="宋体" w:hAnsi="宋体" w:cs="Times New Roman" w:hint="eastAsia"/>
            <w:noProof/>
            <w:sz w:val="28"/>
            <w:szCs w:val="24"/>
          </w:rPr>
          <w:fldChar w:fldCharType="begin"/>
        </w:r>
        <w:r w:rsidR="00477FBC">
          <w:rPr>
            <w:rFonts w:ascii="宋体" w:eastAsia="宋体" w:hAnsi="宋体" w:cs="Times New Roman" w:hint="eastAsia"/>
            <w:noProof/>
            <w:sz w:val="28"/>
            <w:szCs w:val="24"/>
          </w:rPr>
          <w:instrText xml:space="preserve"> PAGEREF _Toc124325900 \h </w:instrText>
        </w:r>
        <w:r w:rsidR="00477FBC">
          <w:rPr>
            <w:rFonts w:ascii="宋体" w:eastAsia="宋体" w:hAnsi="宋体" w:cs="Times New Roman" w:hint="eastAsia"/>
            <w:noProof/>
            <w:sz w:val="28"/>
            <w:szCs w:val="24"/>
          </w:rPr>
        </w:r>
        <w:r w:rsidR="00477FBC">
          <w:rPr>
            <w:rFonts w:ascii="宋体" w:eastAsia="宋体" w:hAnsi="宋体" w:cs="Times New Roman" w:hint="eastAsia"/>
            <w:noProof/>
            <w:sz w:val="28"/>
            <w:szCs w:val="24"/>
          </w:rPr>
          <w:fldChar w:fldCharType="separate"/>
        </w:r>
        <w:r w:rsidR="00482A33">
          <w:rPr>
            <w:rFonts w:ascii="宋体" w:eastAsia="宋体" w:hAnsi="宋体" w:cs="Times New Roman"/>
            <w:noProof/>
            <w:sz w:val="28"/>
            <w:szCs w:val="24"/>
          </w:rPr>
          <w:t>36</w:t>
        </w:r>
        <w:r w:rsidR="00477FBC">
          <w:rPr>
            <w:rFonts w:ascii="宋体" w:eastAsia="宋体" w:hAnsi="宋体" w:cs="Times New Roman" w:hint="eastAsia"/>
            <w:noProof/>
            <w:sz w:val="28"/>
            <w:szCs w:val="24"/>
          </w:rPr>
          <w:fldChar w:fldCharType="end"/>
        </w:r>
      </w:hyperlink>
    </w:p>
    <w:p w14:paraId="7A24FD12" w14:textId="2A3E6ACE" w:rsidR="00F012EE" w:rsidRDefault="004A03DE">
      <w:pPr>
        <w:tabs>
          <w:tab w:val="right" w:leader="dot" w:pos="8494"/>
        </w:tabs>
        <w:spacing w:line="360" w:lineRule="auto"/>
        <w:ind w:leftChars="200" w:left="420"/>
        <w:rPr>
          <w:rFonts w:ascii="宋体" w:eastAsia="宋体" w:hAnsi="宋体" w:cs="Times New Roman"/>
          <w:noProof/>
          <w:sz w:val="28"/>
          <w:szCs w:val="24"/>
        </w:rPr>
      </w:pPr>
      <w:hyperlink w:anchor="_Toc124325901" w:history="1">
        <w:r w:rsidR="00477FBC">
          <w:rPr>
            <w:rFonts w:ascii="宋体" w:eastAsia="宋体" w:hAnsi="宋体" w:cs="微软雅黑" w:hint="eastAsia"/>
            <w:noProof/>
            <w:color w:val="0000FF"/>
            <w:sz w:val="28"/>
            <w:szCs w:val="32"/>
            <w:u w:val="single"/>
          </w:rPr>
          <w:t>十七</w:t>
        </w:r>
        <w:r w:rsidR="00477FBC">
          <w:rPr>
            <w:rFonts w:ascii="宋体" w:eastAsia="宋体" w:hAnsi="宋体" w:cs="Malgun Gothic Semilight" w:hint="eastAsia"/>
            <w:noProof/>
            <w:color w:val="0000FF"/>
            <w:sz w:val="28"/>
            <w:szCs w:val="32"/>
            <w:u w:val="single"/>
          </w:rPr>
          <w:t>、</w:t>
        </w:r>
        <w:r w:rsidR="00477FBC">
          <w:rPr>
            <w:rFonts w:ascii="宋体" w:eastAsia="宋体" w:hAnsi="宋体" w:cs="微软雅黑" w:hint="eastAsia"/>
            <w:noProof/>
            <w:color w:val="0000FF"/>
            <w:sz w:val="28"/>
            <w:szCs w:val="32"/>
            <w:u w:val="single"/>
          </w:rPr>
          <w:t>违约责任</w:t>
        </w:r>
        <w:r w:rsidR="00477FBC">
          <w:rPr>
            <w:rFonts w:ascii="宋体" w:eastAsia="宋体" w:hAnsi="宋体" w:cs="Times New Roman" w:hint="eastAsia"/>
            <w:noProof/>
            <w:sz w:val="28"/>
            <w:szCs w:val="24"/>
          </w:rPr>
          <w:tab/>
        </w:r>
        <w:r w:rsidR="00477FBC">
          <w:rPr>
            <w:rFonts w:ascii="宋体" w:eastAsia="宋体" w:hAnsi="宋体" w:cs="Times New Roman" w:hint="eastAsia"/>
            <w:noProof/>
            <w:sz w:val="28"/>
            <w:szCs w:val="24"/>
          </w:rPr>
          <w:fldChar w:fldCharType="begin"/>
        </w:r>
        <w:r w:rsidR="00477FBC">
          <w:rPr>
            <w:rFonts w:ascii="宋体" w:eastAsia="宋体" w:hAnsi="宋体" w:cs="Times New Roman" w:hint="eastAsia"/>
            <w:noProof/>
            <w:sz w:val="28"/>
            <w:szCs w:val="24"/>
          </w:rPr>
          <w:instrText xml:space="preserve"> PAGEREF _Toc124325901 \h </w:instrText>
        </w:r>
        <w:r w:rsidR="00477FBC">
          <w:rPr>
            <w:rFonts w:ascii="宋体" w:eastAsia="宋体" w:hAnsi="宋体" w:cs="Times New Roman" w:hint="eastAsia"/>
            <w:noProof/>
            <w:sz w:val="28"/>
            <w:szCs w:val="24"/>
          </w:rPr>
        </w:r>
        <w:r w:rsidR="00477FBC">
          <w:rPr>
            <w:rFonts w:ascii="宋体" w:eastAsia="宋体" w:hAnsi="宋体" w:cs="Times New Roman" w:hint="eastAsia"/>
            <w:noProof/>
            <w:sz w:val="28"/>
            <w:szCs w:val="24"/>
          </w:rPr>
          <w:fldChar w:fldCharType="separate"/>
        </w:r>
        <w:r w:rsidR="00482A33">
          <w:rPr>
            <w:rFonts w:ascii="宋体" w:eastAsia="宋体" w:hAnsi="宋体" w:cs="Times New Roman"/>
            <w:noProof/>
            <w:sz w:val="28"/>
            <w:szCs w:val="24"/>
          </w:rPr>
          <w:t>38</w:t>
        </w:r>
        <w:r w:rsidR="00477FBC">
          <w:rPr>
            <w:rFonts w:ascii="宋体" w:eastAsia="宋体" w:hAnsi="宋体" w:cs="Times New Roman" w:hint="eastAsia"/>
            <w:noProof/>
            <w:sz w:val="28"/>
            <w:szCs w:val="24"/>
          </w:rPr>
          <w:fldChar w:fldCharType="end"/>
        </w:r>
      </w:hyperlink>
    </w:p>
    <w:p w14:paraId="780D9272" w14:textId="07763AB6" w:rsidR="00F012EE" w:rsidRDefault="004A03DE">
      <w:pPr>
        <w:tabs>
          <w:tab w:val="right" w:leader="dot" w:pos="8494"/>
        </w:tabs>
        <w:spacing w:line="360" w:lineRule="auto"/>
        <w:ind w:leftChars="200" w:left="420"/>
        <w:rPr>
          <w:rFonts w:ascii="宋体" w:eastAsia="宋体" w:hAnsi="宋体" w:cs="Times New Roman"/>
          <w:noProof/>
          <w:sz w:val="28"/>
          <w:szCs w:val="24"/>
        </w:rPr>
      </w:pPr>
      <w:hyperlink w:anchor="_Toc124325902" w:history="1">
        <w:r w:rsidR="00477FBC">
          <w:rPr>
            <w:rFonts w:ascii="宋体" w:eastAsia="宋体" w:hAnsi="宋体" w:cs="微软雅黑" w:hint="eastAsia"/>
            <w:noProof/>
            <w:color w:val="0000FF"/>
            <w:sz w:val="28"/>
            <w:szCs w:val="32"/>
            <w:u w:val="single"/>
          </w:rPr>
          <w:t>十八</w:t>
        </w:r>
        <w:r w:rsidR="00477FBC">
          <w:rPr>
            <w:rFonts w:ascii="宋体" w:eastAsia="宋体" w:hAnsi="宋体" w:cs="Malgun Gothic Semilight" w:hint="eastAsia"/>
            <w:noProof/>
            <w:color w:val="0000FF"/>
            <w:sz w:val="28"/>
            <w:szCs w:val="32"/>
            <w:u w:val="single"/>
          </w:rPr>
          <w:t>、</w:t>
        </w:r>
        <w:r w:rsidR="00477FBC">
          <w:rPr>
            <w:rFonts w:ascii="宋体" w:eastAsia="宋体" w:hAnsi="宋体" w:cs="微软雅黑" w:hint="eastAsia"/>
            <w:noProof/>
            <w:color w:val="0000FF"/>
            <w:sz w:val="28"/>
            <w:szCs w:val="32"/>
            <w:u w:val="single"/>
          </w:rPr>
          <w:t>争议解决方式</w:t>
        </w:r>
        <w:r w:rsidR="00477FBC">
          <w:rPr>
            <w:rFonts w:ascii="宋体" w:eastAsia="宋体" w:hAnsi="宋体" w:cs="Times New Roman" w:hint="eastAsia"/>
            <w:noProof/>
            <w:sz w:val="28"/>
            <w:szCs w:val="24"/>
          </w:rPr>
          <w:tab/>
        </w:r>
        <w:r w:rsidR="00477FBC">
          <w:rPr>
            <w:rFonts w:ascii="宋体" w:eastAsia="宋体" w:hAnsi="宋体" w:cs="Times New Roman" w:hint="eastAsia"/>
            <w:noProof/>
            <w:sz w:val="28"/>
            <w:szCs w:val="24"/>
          </w:rPr>
          <w:fldChar w:fldCharType="begin"/>
        </w:r>
        <w:r w:rsidR="00477FBC">
          <w:rPr>
            <w:rFonts w:ascii="宋体" w:eastAsia="宋体" w:hAnsi="宋体" w:cs="Times New Roman" w:hint="eastAsia"/>
            <w:noProof/>
            <w:sz w:val="28"/>
            <w:szCs w:val="24"/>
          </w:rPr>
          <w:instrText xml:space="preserve"> PAGEREF _Toc124325902 \h </w:instrText>
        </w:r>
        <w:r w:rsidR="00477FBC">
          <w:rPr>
            <w:rFonts w:ascii="宋体" w:eastAsia="宋体" w:hAnsi="宋体" w:cs="Times New Roman" w:hint="eastAsia"/>
            <w:noProof/>
            <w:sz w:val="28"/>
            <w:szCs w:val="24"/>
          </w:rPr>
        </w:r>
        <w:r w:rsidR="00477FBC">
          <w:rPr>
            <w:rFonts w:ascii="宋体" w:eastAsia="宋体" w:hAnsi="宋体" w:cs="Times New Roman" w:hint="eastAsia"/>
            <w:noProof/>
            <w:sz w:val="28"/>
            <w:szCs w:val="24"/>
          </w:rPr>
          <w:fldChar w:fldCharType="separate"/>
        </w:r>
        <w:r w:rsidR="00482A33">
          <w:rPr>
            <w:rFonts w:ascii="宋体" w:eastAsia="宋体" w:hAnsi="宋体" w:cs="Times New Roman"/>
            <w:noProof/>
            <w:sz w:val="28"/>
            <w:szCs w:val="24"/>
          </w:rPr>
          <w:t>39</w:t>
        </w:r>
        <w:r w:rsidR="00477FBC">
          <w:rPr>
            <w:rFonts w:ascii="宋体" w:eastAsia="宋体" w:hAnsi="宋体" w:cs="Times New Roman" w:hint="eastAsia"/>
            <w:noProof/>
            <w:sz w:val="28"/>
            <w:szCs w:val="24"/>
          </w:rPr>
          <w:fldChar w:fldCharType="end"/>
        </w:r>
      </w:hyperlink>
    </w:p>
    <w:p w14:paraId="3BB829CF" w14:textId="6D77513F" w:rsidR="00F012EE" w:rsidRDefault="004A03DE">
      <w:pPr>
        <w:tabs>
          <w:tab w:val="right" w:leader="dot" w:pos="8494"/>
        </w:tabs>
        <w:spacing w:line="360" w:lineRule="auto"/>
        <w:ind w:leftChars="200" w:left="420"/>
        <w:rPr>
          <w:rFonts w:ascii="宋体" w:eastAsia="宋体" w:hAnsi="宋体" w:cs="Times New Roman"/>
          <w:noProof/>
          <w:sz w:val="28"/>
          <w:szCs w:val="24"/>
        </w:rPr>
      </w:pPr>
      <w:hyperlink w:anchor="_Toc124325903" w:history="1">
        <w:r w:rsidR="00477FBC">
          <w:rPr>
            <w:rFonts w:ascii="宋体" w:eastAsia="宋体" w:hAnsi="宋体" w:cs="微软雅黑" w:hint="eastAsia"/>
            <w:noProof/>
            <w:color w:val="0000FF"/>
            <w:sz w:val="28"/>
            <w:szCs w:val="32"/>
            <w:u w:val="single"/>
          </w:rPr>
          <w:t>十九</w:t>
        </w:r>
        <w:r w:rsidR="00477FBC">
          <w:rPr>
            <w:rFonts w:ascii="宋体" w:eastAsia="宋体" w:hAnsi="宋体" w:cs="Malgun Gothic Semilight" w:hint="eastAsia"/>
            <w:noProof/>
            <w:color w:val="0000FF"/>
            <w:sz w:val="28"/>
            <w:szCs w:val="32"/>
            <w:u w:val="single"/>
          </w:rPr>
          <w:t>、</w:t>
        </w:r>
        <w:r w:rsidR="00477FBC">
          <w:rPr>
            <w:rFonts w:ascii="宋体" w:eastAsia="宋体" w:hAnsi="宋体" w:cs="微软雅黑" w:hint="eastAsia"/>
            <w:noProof/>
            <w:color w:val="0000FF"/>
            <w:sz w:val="28"/>
            <w:szCs w:val="32"/>
            <w:u w:val="single"/>
          </w:rPr>
          <w:t>托管协议的效力</w:t>
        </w:r>
        <w:r w:rsidR="00477FBC">
          <w:rPr>
            <w:rFonts w:ascii="宋体" w:eastAsia="宋体" w:hAnsi="宋体" w:cs="Times New Roman" w:hint="eastAsia"/>
            <w:noProof/>
            <w:sz w:val="28"/>
            <w:szCs w:val="24"/>
          </w:rPr>
          <w:tab/>
        </w:r>
        <w:r w:rsidR="00477FBC">
          <w:rPr>
            <w:rFonts w:ascii="宋体" w:eastAsia="宋体" w:hAnsi="宋体" w:cs="Times New Roman" w:hint="eastAsia"/>
            <w:noProof/>
            <w:sz w:val="28"/>
            <w:szCs w:val="24"/>
          </w:rPr>
          <w:fldChar w:fldCharType="begin"/>
        </w:r>
        <w:r w:rsidR="00477FBC">
          <w:rPr>
            <w:rFonts w:ascii="宋体" w:eastAsia="宋体" w:hAnsi="宋体" w:cs="Times New Roman" w:hint="eastAsia"/>
            <w:noProof/>
            <w:sz w:val="28"/>
            <w:szCs w:val="24"/>
          </w:rPr>
          <w:instrText xml:space="preserve"> PAGEREF _Toc124325903 \h </w:instrText>
        </w:r>
        <w:r w:rsidR="00477FBC">
          <w:rPr>
            <w:rFonts w:ascii="宋体" w:eastAsia="宋体" w:hAnsi="宋体" w:cs="Times New Roman" w:hint="eastAsia"/>
            <w:noProof/>
            <w:sz w:val="28"/>
            <w:szCs w:val="24"/>
          </w:rPr>
        </w:r>
        <w:r w:rsidR="00477FBC">
          <w:rPr>
            <w:rFonts w:ascii="宋体" w:eastAsia="宋体" w:hAnsi="宋体" w:cs="Times New Roman" w:hint="eastAsia"/>
            <w:noProof/>
            <w:sz w:val="28"/>
            <w:szCs w:val="24"/>
          </w:rPr>
          <w:fldChar w:fldCharType="separate"/>
        </w:r>
        <w:r w:rsidR="00482A33">
          <w:rPr>
            <w:rFonts w:ascii="宋体" w:eastAsia="宋体" w:hAnsi="宋体" w:cs="Times New Roman"/>
            <w:noProof/>
            <w:sz w:val="28"/>
            <w:szCs w:val="24"/>
          </w:rPr>
          <w:t>39</w:t>
        </w:r>
        <w:r w:rsidR="00477FBC">
          <w:rPr>
            <w:rFonts w:ascii="宋体" w:eastAsia="宋体" w:hAnsi="宋体" w:cs="Times New Roman" w:hint="eastAsia"/>
            <w:noProof/>
            <w:sz w:val="28"/>
            <w:szCs w:val="24"/>
          </w:rPr>
          <w:fldChar w:fldCharType="end"/>
        </w:r>
      </w:hyperlink>
    </w:p>
    <w:p w14:paraId="2328B08F" w14:textId="1CDBC4C8" w:rsidR="00F012EE" w:rsidRDefault="004A03DE">
      <w:pPr>
        <w:tabs>
          <w:tab w:val="right" w:leader="dot" w:pos="8494"/>
        </w:tabs>
        <w:spacing w:line="360" w:lineRule="auto"/>
        <w:ind w:leftChars="200" w:left="420"/>
        <w:rPr>
          <w:rFonts w:ascii="宋体" w:eastAsia="宋体" w:hAnsi="宋体" w:cs="Times New Roman"/>
          <w:noProof/>
          <w:sz w:val="28"/>
          <w:szCs w:val="24"/>
        </w:rPr>
      </w:pPr>
      <w:hyperlink w:anchor="_Toc124325904" w:history="1">
        <w:r w:rsidR="00477FBC">
          <w:rPr>
            <w:rFonts w:ascii="宋体" w:eastAsia="宋体" w:hAnsi="宋体" w:cs="微软雅黑" w:hint="eastAsia"/>
            <w:noProof/>
            <w:color w:val="0000FF"/>
            <w:sz w:val="28"/>
            <w:szCs w:val="32"/>
            <w:u w:val="single"/>
          </w:rPr>
          <w:t>二十</w:t>
        </w:r>
        <w:r w:rsidR="00477FBC">
          <w:rPr>
            <w:rFonts w:ascii="宋体" w:eastAsia="宋体" w:hAnsi="宋体" w:cs="Malgun Gothic Semilight" w:hint="eastAsia"/>
            <w:noProof/>
            <w:color w:val="0000FF"/>
            <w:sz w:val="28"/>
            <w:szCs w:val="32"/>
            <w:u w:val="single"/>
          </w:rPr>
          <w:t>、</w:t>
        </w:r>
        <w:r w:rsidR="00477FBC">
          <w:rPr>
            <w:rFonts w:ascii="宋体" w:eastAsia="宋体" w:hAnsi="宋体" w:cs="微软雅黑" w:hint="eastAsia"/>
            <w:noProof/>
            <w:color w:val="0000FF"/>
            <w:sz w:val="28"/>
            <w:szCs w:val="32"/>
            <w:u w:val="single"/>
          </w:rPr>
          <w:t>其他事项</w:t>
        </w:r>
        <w:r w:rsidR="00477FBC">
          <w:rPr>
            <w:rFonts w:ascii="宋体" w:eastAsia="宋体" w:hAnsi="宋体" w:cs="Times New Roman" w:hint="eastAsia"/>
            <w:noProof/>
            <w:sz w:val="28"/>
            <w:szCs w:val="24"/>
          </w:rPr>
          <w:tab/>
        </w:r>
        <w:r w:rsidR="00477FBC">
          <w:rPr>
            <w:rFonts w:ascii="宋体" w:eastAsia="宋体" w:hAnsi="宋体" w:cs="Times New Roman" w:hint="eastAsia"/>
            <w:noProof/>
            <w:sz w:val="28"/>
            <w:szCs w:val="24"/>
          </w:rPr>
          <w:fldChar w:fldCharType="begin"/>
        </w:r>
        <w:r w:rsidR="00477FBC">
          <w:rPr>
            <w:rFonts w:ascii="宋体" w:eastAsia="宋体" w:hAnsi="宋体" w:cs="Times New Roman" w:hint="eastAsia"/>
            <w:noProof/>
            <w:sz w:val="28"/>
            <w:szCs w:val="24"/>
          </w:rPr>
          <w:instrText xml:space="preserve"> PAGEREF _Toc124325904 \h </w:instrText>
        </w:r>
        <w:r w:rsidR="00477FBC">
          <w:rPr>
            <w:rFonts w:ascii="宋体" w:eastAsia="宋体" w:hAnsi="宋体" w:cs="Times New Roman" w:hint="eastAsia"/>
            <w:noProof/>
            <w:sz w:val="28"/>
            <w:szCs w:val="24"/>
          </w:rPr>
        </w:r>
        <w:r w:rsidR="00477FBC">
          <w:rPr>
            <w:rFonts w:ascii="宋体" w:eastAsia="宋体" w:hAnsi="宋体" w:cs="Times New Roman" w:hint="eastAsia"/>
            <w:noProof/>
            <w:sz w:val="28"/>
            <w:szCs w:val="24"/>
          </w:rPr>
          <w:fldChar w:fldCharType="separate"/>
        </w:r>
        <w:r w:rsidR="00482A33">
          <w:rPr>
            <w:rFonts w:ascii="宋体" w:eastAsia="宋体" w:hAnsi="宋体" w:cs="Times New Roman"/>
            <w:noProof/>
            <w:sz w:val="28"/>
            <w:szCs w:val="24"/>
          </w:rPr>
          <w:t>40</w:t>
        </w:r>
        <w:r w:rsidR="00477FBC">
          <w:rPr>
            <w:rFonts w:ascii="宋体" w:eastAsia="宋体" w:hAnsi="宋体" w:cs="Times New Roman" w:hint="eastAsia"/>
            <w:noProof/>
            <w:sz w:val="28"/>
            <w:szCs w:val="24"/>
          </w:rPr>
          <w:fldChar w:fldCharType="end"/>
        </w:r>
      </w:hyperlink>
    </w:p>
    <w:p w14:paraId="6B0A26ED" w14:textId="0393261F" w:rsidR="00F012EE" w:rsidRDefault="004A03DE">
      <w:pPr>
        <w:tabs>
          <w:tab w:val="right" w:leader="dot" w:pos="8494"/>
        </w:tabs>
        <w:spacing w:line="360" w:lineRule="auto"/>
        <w:ind w:leftChars="200" w:left="420"/>
        <w:rPr>
          <w:rFonts w:ascii="宋体" w:eastAsia="宋体" w:hAnsi="宋体" w:cs="Times New Roman"/>
          <w:noProof/>
          <w:sz w:val="28"/>
          <w:szCs w:val="24"/>
        </w:rPr>
      </w:pPr>
      <w:hyperlink w:anchor="_Toc124325905" w:history="1">
        <w:r w:rsidR="00477FBC">
          <w:rPr>
            <w:rFonts w:ascii="宋体" w:eastAsia="宋体" w:hAnsi="宋体" w:cs="微软雅黑" w:hint="eastAsia"/>
            <w:noProof/>
            <w:color w:val="0000FF"/>
            <w:sz w:val="28"/>
            <w:szCs w:val="32"/>
            <w:u w:val="single"/>
          </w:rPr>
          <w:t>二十一</w:t>
        </w:r>
        <w:r w:rsidR="00477FBC">
          <w:rPr>
            <w:rFonts w:ascii="宋体" w:eastAsia="宋体" w:hAnsi="宋体" w:cs="Malgun Gothic Semilight" w:hint="eastAsia"/>
            <w:noProof/>
            <w:color w:val="0000FF"/>
            <w:sz w:val="28"/>
            <w:szCs w:val="32"/>
            <w:u w:val="single"/>
          </w:rPr>
          <w:t>、</w:t>
        </w:r>
        <w:r w:rsidR="00477FBC">
          <w:rPr>
            <w:rFonts w:ascii="宋体" w:eastAsia="宋体" w:hAnsi="宋体" w:cs="微软雅黑" w:hint="eastAsia"/>
            <w:noProof/>
            <w:color w:val="0000FF"/>
            <w:sz w:val="28"/>
            <w:szCs w:val="32"/>
            <w:u w:val="single"/>
          </w:rPr>
          <w:t>托管协议的签订</w:t>
        </w:r>
        <w:r w:rsidR="00477FBC">
          <w:rPr>
            <w:rFonts w:ascii="宋体" w:eastAsia="宋体" w:hAnsi="宋体" w:cs="Times New Roman" w:hint="eastAsia"/>
            <w:noProof/>
            <w:sz w:val="28"/>
            <w:szCs w:val="24"/>
          </w:rPr>
          <w:tab/>
        </w:r>
        <w:r w:rsidR="00477FBC">
          <w:rPr>
            <w:rFonts w:ascii="宋体" w:eastAsia="宋体" w:hAnsi="宋体" w:cs="Times New Roman" w:hint="eastAsia"/>
            <w:noProof/>
            <w:sz w:val="28"/>
            <w:szCs w:val="24"/>
          </w:rPr>
          <w:fldChar w:fldCharType="begin"/>
        </w:r>
        <w:r w:rsidR="00477FBC">
          <w:rPr>
            <w:rFonts w:ascii="宋体" w:eastAsia="宋体" w:hAnsi="宋体" w:cs="Times New Roman" w:hint="eastAsia"/>
            <w:noProof/>
            <w:sz w:val="28"/>
            <w:szCs w:val="24"/>
          </w:rPr>
          <w:instrText xml:space="preserve"> PAGEREF _Toc124325905 \h </w:instrText>
        </w:r>
        <w:r w:rsidR="00477FBC">
          <w:rPr>
            <w:rFonts w:ascii="宋体" w:eastAsia="宋体" w:hAnsi="宋体" w:cs="Times New Roman" w:hint="eastAsia"/>
            <w:noProof/>
            <w:sz w:val="28"/>
            <w:szCs w:val="24"/>
          </w:rPr>
        </w:r>
        <w:r w:rsidR="00477FBC">
          <w:rPr>
            <w:rFonts w:ascii="宋体" w:eastAsia="宋体" w:hAnsi="宋体" w:cs="Times New Roman" w:hint="eastAsia"/>
            <w:noProof/>
            <w:sz w:val="28"/>
            <w:szCs w:val="24"/>
          </w:rPr>
          <w:fldChar w:fldCharType="separate"/>
        </w:r>
        <w:r w:rsidR="00482A33">
          <w:rPr>
            <w:rFonts w:ascii="宋体" w:eastAsia="宋体" w:hAnsi="宋体" w:cs="Times New Roman"/>
            <w:noProof/>
            <w:sz w:val="28"/>
            <w:szCs w:val="24"/>
          </w:rPr>
          <w:t>40</w:t>
        </w:r>
        <w:r w:rsidR="00477FBC">
          <w:rPr>
            <w:rFonts w:ascii="宋体" w:eastAsia="宋体" w:hAnsi="宋体" w:cs="Times New Roman" w:hint="eastAsia"/>
            <w:noProof/>
            <w:sz w:val="28"/>
            <w:szCs w:val="24"/>
          </w:rPr>
          <w:fldChar w:fldCharType="end"/>
        </w:r>
      </w:hyperlink>
    </w:p>
    <w:p w14:paraId="7F844F26" w14:textId="77777777" w:rsidR="00F012EE" w:rsidRDefault="00477FBC">
      <w:pPr>
        <w:spacing w:line="360" w:lineRule="auto"/>
        <w:rPr>
          <w:rFonts w:ascii="宋体" w:eastAsia="宋体" w:hAnsi="宋体" w:cs="Times New Roman"/>
          <w:sz w:val="24"/>
          <w:szCs w:val="24"/>
        </w:rPr>
      </w:pPr>
      <w:r>
        <w:rPr>
          <w:rFonts w:ascii="宋体" w:eastAsia="宋体" w:hAnsi="宋体" w:cs="Times New Roman" w:hint="eastAsia"/>
          <w:sz w:val="28"/>
          <w:szCs w:val="24"/>
        </w:rPr>
        <w:lastRenderedPageBreak/>
        <w:fldChar w:fldCharType="end"/>
      </w:r>
    </w:p>
    <w:p w14:paraId="11DD6B27" w14:textId="77777777" w:rsidR="00F012EE" w:rsidRDefault="00477FBC">
      <w:pPr>
        <w:widowControl/>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鉴于嘉</w:t>
      </w:r>
      <w:proofErr w:type="gramStart"/>
      <w:r>
        <w:rPr>
          <w:rFonts w:ascii="宋体" w:eastAsia="宋体" w:hAnsi="宋体" w:cs="微软雅黑" w:hint="eastAsia"/>
          <w:sz w:val="24"/>
          <w:szCs w:val="24"/>
        </w:rPr>
        <w:t>实基金</w:t>
      </w:r>
      <w:proofErr w:type="gramEnd"/>
      <w:r>
        <w:rPr>
          <w:rFonts w:ascii="宋体" w:eastAsia="宋体" w:hAnsi="宋体" w:cs="微软雅黑" w:hint="eastAsia"/>
          <w:sz w:val="24"/>
          <w:szCs w:val="24"/>
        </w:rPr>
        <w:t>管理有限公司系一家依照中国法律合法成立并有效存续的有限责任公司</w:t>
      </w:r>
      <w:r>
        <w:rPr>
          <w:rFonts w:ascii="宋体" w:eastAsia="宋体" w:hAnsi="宋体" w:cs="Malgun Gothic Semilight" w:hint="eastAsia"/>
          <w:sz w:val="24"/>
          <w:szCs w:val="24"/>
        </w:rPr>
        <w:t>，</w:t>
      </w:r>
      <w:r>
        <w:rPr>
          <w:rFonts w:ascii="宋体" w:eastAsia="宋体" w:hAnsi="宋体" w:cs="微软雅黑" w:hint="eastAsia"/>
          <w:sz w:val="24"/>
          <w:szCs w:val="24"/>
        </w:rPr>
        <w:t>按照相关法律法规的规定具备担任基金管理人的资格和能力</w:t>
      </w:r>
      <w:r>
        <w:rPr>
          <w:rFonts w:ascii="宋体" w:eastAsia="宋体" w:hAnsi="宋体" w:cs="Malgun Gothic Semilight" w:hint="eastAsia"/>
          <w:sz w:val="24"/>
          <w:szCs w:val="24"/>
        </w:rPr>
        <w:t>，</w:t>
      </w:r>
      <w:r>
        <w:rPr>
          <w:rFonts w:ascii="宋体" w:eastAsia="宋体" w:hAnsi="宋体" w:cs="微软雅黑" w:hint="eastAsia"/>
          <w:sz w:val="24"/>
          <w:szCs w:val="24"/>
        </w:rPr>
        <w:t>拟募集发行嘉实中证红利</w:t>
      </w:r>
      <w:r>
        <w:rPr>
          <w:rFonts w:ascii="宋体" w:eastAsia="宋体" w:hAnsi="宋体" w:cs="微软雅黑"/>
          <w:sz w:val="24"/>
          <w:szCs w:val="24"/>
        </w:rPr>
        <w:t>低</w:t>
      </w:r>
      <w:r>
        <w:rPr>
          <w:rFonts w:ascii="宋体" w:eastAsia="宋体" w:hAnsi="宋体" w:cs="微软雅黑" w:hint="eastAsia"/>
          <w:sz w:val="24"/>
          <w:szCs w:val="24"/>
        </w:rPr>
        <w:t>波动100交易型开放式指数证券投资基金</w:t>
      </w:r>
      <w:r>
        <w:rPr>
          <w:rFonts w:ascii="宋体" w:eastAsia="宋体" w:hAnsi="宋体" w:cs="Malgun Gothic Semilight" w:hint="eastAsia"/>
          <w:sz w:val="24"/>
          <w:szCs w:val="24"/>
        </w:rPr>
        <w:t>；</w:t>
      </w:r>
    </w:p>
    <w:p w14:paraId="766484DE" w14:textId="77777777" w:rsidR="00F012EE" w:rsidRDefault="00477FBC">
      <w:pPr>
        <w:widowControl/>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鉴于中国建设银行股份有限公司系一家依照中国法律合法成立并有效存续的银行</w:t>
      </w:r>
      <w:r>
        <w:rPr>
          <w:rFonts w:ascii="宋体" w:eastAsia="宋体" w:hAnsi="宋体" w:cs="Malgun Gothic Semilight" w:hint="eastAsia"/>
          <w:sz w:val="24"/>
          <w:szCs w:val="24"/>
        </w:rPr>
        <w:t>，</w:t>
      </w:r>
      <w:r>
        <w:rPr>
          <w:rFonts w:ascii="宋体" w:eastAsia="宋体" w:hAnsi="宋体" w:cs="微软雅黑" w:hint="eastAsia"/>
          <w:sz w:val="24"/>
          <w:szCs w:val="24"/>
        </w:rPr>
        <w:t>按照相关法律法规的规定具备担任基金托管人的资格和能力</w:t>
      </w:r>
      <w:r>
        <w:rPr>
          <w:rFonts w:ascii="宋体" w:eastAsia="宋体" w:hAnsi="宋体" w:cs="Malgun Gothic Semilight" w:hint="eastAsia"/>
          <w:sz w:val="24"/>
          <w:szCs w:val="24"/>
        </w:rPr>
        <w:t>；</w:t>
      </w:r>
    </w:p>
    <w:p w14:paraId="094A205A" w14:textId="77777777" w:rsidR="00F012EE" w:rsidRDefault="00477FBC">
      <w:pPr>
        <w:widowControl/>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鉴于嘉</w:t>
      </w:r>
      <w:proofErr w:type="gramStart"/>
      <w:r>
        <w:rPr>
          <w:rFonts w:ascii="宋体" w:eastAsia="宋体" w:hAnsi="宋体" w:cs="微软雅黑" w:hint="eastAsia"/>
          <w:sz w:val="24"/>
          <w:szCs w:val="24"/>
        </w:rPr>
        <w:t>实基金</w:t>
      </w:r>
      <w:proofErr w:type="gramEnd"/>
      <w:r>
        <w:rPr>
          <w:rFonts w:ascii="宋体" w:eastAsia="宋体" w:hAnsi="宋体" w:cs="微软雅黑" w:hint="eastAsia"/>
          <w:sz w:val="24"/>
          <w:szCs w:val="24"/>
        </w:rPr>
        <w:t>管理有限公司拟担任嘉实中证红利</w:t>
      </w:r>
      <w:r>
        <w:rPr>
          <w:rFonts w:ascii="宋体" w:eastAsia="宋体" w:hAnsi="宋体" w:cs="微软雅黑"/>
          <w:sz w:val="24"/>
          <w:szCs w:val="24"/>
        </w:rPr>
        <w:t>低</w:t>
      </w:r>
      <w:r>
        <w:rPr>
          <w:rFonts w:ascii="宋体" w:eastAsia="宋体" w:hAnsi="宋体" w:cs="微软雅黑" w:hint="eastAsia"/>
          <w:sz w:val="24"/>
          <w:szCs w:val="24"/>
        </w:rPr>
        <w:t>波动100交易型开放式指数证券投资基金的基金管理人</w:t>
      </w:r>
      <w:r>
        <w:rPr>
          <w:rFonts w:ascii="宋体" w:eastAsia="宋体" w:hAnsi="宋体" w:cs="Malgun Gothic Semilight" w:hint="eastAsia"/>
          <w:sz w:val="24"/>
          <w:szCs w:val="24"/>
        </w:rPr>
        <w:t>，</w:t>
      </w:r>
      <w:r>
        <w:rPr>
          <w:rFonts w:ascii="宋体" w:eastAsia="宋体" w:hAnsi="宋体" w:cs="微软雅黑" w:hint="eastAsia"/>
          <w:sz w:val="24"/>
          <w:szCs w:val="24"/>
        </w:rPr>
        <w:t>中国建设银行股份有限公司拟担任嘉实中证红利</w:t>
      </w:r>
      <w:r>
        <w:rPr>
          <w:rFonts w:ascii="宋体" w:eastAsia="宋体" w:hAnsi="宋体" w:cs="微软雅黑"/>
          <w:sz w:val="24"/>
          <w:szCs w:val="24"/>
        </w:rPr>
        <w:t>低</w:t>
      </w:r>
      <w:r>
        <w:rPr>
          <w:rFonts w:ascii="宋体" w:eastAsia="宋体" w:hAnsi="宋体" w:cs="微软雅黑" w:hint="eastAsia"/>
          <w:sz w:val="24"/>
          <w:szCs w:val="24"/>
        </w:rPr>
        <w:t>波动100交易型开放式指数证券投资基金的基金托管人</w:t>
      </w:r>
      <w:r>
        <w:rPr>
          <w:rFonts w:ascii="宋体" w:eastAsia="宋体" w:hAnsi="宋体" w:cs="Malgun Gothic Semilight" w:hint="eastAsia"/>
          <w:sz w:val="24"/>
          <w:szCs w:val="24"/>
        </w:rPr>
        <w:t>；</w:t>
      </w:r>
    </w:p>
    <w:p w14:paraId="7BC7DF27" w14:textId="77777777" w:rsidR="00F012EE" w:rsidRDefault="00477FBC">
      <w:pPr>
        <w:widowControl/>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为</w:t>
      </w:r>
      <w:proofErr w:type="gramStart"/>
      <w:r>
        <w:rPr>
          <w:rFonts w:ascii="宋体" w:eastAsia="宋体" w:hAnsi="宋体" w:cs="微软雅黑" w:hint="eastAsia"/>
          <w:sz w:val="24"/>
          <w:szCs w:val="24"/>
        </w:rPr>
        <w:t>明确嘉</w:t>
      </w:r>
      <w:proofErr w:type="gramEnd"/>
      <w:r>
        <w:rPr>
          <w:rFonts w:ascii="宋体" w:eastAsia="宋体" w:hAnsi="宋体" w:cs="微软雅黑" w:hint="eastAsia"/>
          <w:sz w:val="24"/>
          <w:szCs w:val="24"/>
        </w:rPr>
        <w:t>实中证红利</w:t>
      </w:r>
      <w:r>
        <w:rPr>
          <w:rFonts w:ascii="宋体" w:eastAsia="宋体" w:hAnsi="宋体" w:cs="微软雅黑"/>
          <w:sz w:val="24"/>
          <w:szCs w:val="24"/>
        </w:rPr>
        <w:t>低</w:t>
      </w:r>
      <w:r>
        <w:rPr>
          <w:rFonts w:ascii="宋体" w:eastAsia="宋体" w:hAnsi="宋体" w:cs="微软雅黑" w:hint="eastAsia"/>
          <w:sz w:val="24"/>
          <w:szCs w:val="24"/>
        </w:rPr>
        <w:t>波动100交易型开放式指数证券投资基金（以下简称“本基金”）的基金管理人和基金托管人之间的权利义务关系</w:t>
      </w:r>
      <w:r>
        <w:rPr>
          <w:rFonts w:ascii="宋体" w:eastAsia="宋体" w:hAnsi="宋体" w:cs="Malgun Gothic Semilight" w:hint="eastAsia"/>
          <w:sz w:val="24"/>
          <w:szCs w:val="24"/>
        </w:rPr>
        <w:t>，</w:t>
      </w:r>
      <w:r>
        <w:rPr>
          <w:rFonts w:ascii="宋体" w:eastAsia="宋体" w:hAnsi="宋体" w:cs="微软雅黑" w:hint="eastAsia"/>
          <w:sz w:val="24"/>
          <w:szCs w:val="24"/>
        </w:rPr>
        <w:t>特制订本托管协议</w:t>
      </w:r>
      <w:r>
        <w:rPr>
          <w:rFonts w:ascii="宋体" w:eastAsia="宋体" w:hAnsi="宋体" w:cs="Malgun Gothic Semilight" w:hint="eastAsia"/>
          <w:sz w:val="24"/>
          <w:szCs w:val="24"/>
        </w:rPr>
        <w:t>；</w:t>
      </w:r>
    </w:p>
    <w:p w14:paraId="3DC8DFCB" w14:textId="77777777" w:rsidR="00F012EE" w:rsidRDefault="00477FBC">
      <w:pPr>
        <w:widowControl/>
        <w:adjustRightInd w:val="0"/>
        <w:snapToGrid w:val="0"/>
        <w:spacing w:line="360" w:lineRule="auto"/>
        <w:ind w:firstLineChars="200" w:firstLine="480"/>
        <w:rPr>
          <w:rFonts w:ascii="宋体" w:eastAsia="宋体" w:hAnsi="宋体" w:cs="Arial"/>
          <w:sz w:val="24"/>
          <w:szCs w:val="24"/>
          <w:lang w:val="en-GB"/>
        </w:rPr>
      </w:pPr>
      <w:r>
        <w:rPr>
          <w:rFonts w:ascii="宋体" w:eastAsia="宋体" w:hAnsi="宋体" w:cs="微软雅黑" w:hint="eastAsia"/>
          <w:sz w:val="24"/>
          <w:szCs w:val="24"/>
          <w:lang w:val="en-GB"/>
        </w:rPr>
        <w:t>除非另有约定</w:t>
      </w:r>
      <w:r>
        <w:rPr>
          <w:rFonts w:ascii="宋体" w:eastAsia="宋体" w:hAnsi="宋体" w:cs="Malgun Gothic Semilight" w:hint="eastAsia"/>
          <w:sz w:val="24"/>
          <w:szCs w:val="24"/>
          <w:lang w:val="en-GB"/>
        </w:rPr>
        <w:t>，《</w:t>
      </w:r>
      <w:r>
        <w:rPr>
          <w:rFonts w:ascii="宋体" w:eastAsia="宋体" w:hAnsi="宋体" w:cs="微软雅黑" w:hint="eastAsia"/>
          <w:sz w:val="24"/>
          <w:szCs w:val="24"/>
        </w:rPr>
        <w:t>嘉实中证红利</w:t>
      </w:r>
      <w:r>
        <w:rPr>
          <w:rFonts w:ascii="宋体" w:eastAsia="宋体" w:hAnsi="宋体" w:cs="微软雅黑"/>
          <w:sz w:val="24"/>
          <w:szCs w:val="24"/>
        </w:rPr>
        <w:t>低</w:t>
      </w:r>
      <w:r>
        <w:rPr>
          <w:rFonts w:ascii="宋体" w:eastAsia="宋体" w:hAnsi="宋体" w:cs="微软雅黑" w:hint="eastAsia"/>
          <w:sz w:val="24"/>
          <w:szCs w:val="24"/>
        </w:rPr>
        <w:t>波动</w:t>
      </w:r>
      <w:bookmarkStart w:id="2" w:name="_GoBack"/>
      <w:bookmarkEnd w:id="2"/>
      <w:r>
        <w:rPr>
          <w:rFonts w:ascii="宋体" w:eastAsia="宋体" w:hAnsi="宋体" w:cs="微软雅黑" w:hint="eastAsia"/>
          <w:sz w:val="24"/>
          <w:szCs w:val="24"/>
        </w:rPr>
        <w:t>100交易型开放式指数</w:t>
      </w:r>
      <w:r>
        <w:rPr>
          <w:rFonts w:ascii="宋体" w:eastAsia="宋体" w:hAnsi="宋体" w:cs="微软雅黑" w:hint="eastAsia"/>
          <w:sz w:val="24"/>
          <w:szCs w:val="24"/>
          <w:lang w:val="en-GB"/>
        </w:rPr>
        <w:t>证券投资基金基金合同</w:t>
      </w:r>
      <w:r>
        <w:rPr>
          <w:rFonts w:ascii="宋体" w:eastAsia="宋体" w:hAnsi="宋体" w:cs="Malgun Gothic Semilight" w:hint="eastAsia"/>
          <w:sz w:val="24"/>
          <w:szCs w:val="24"/>
          <w:lang w:val="en-GB"/>
        </w:rPr>
        <w:t>》</w:t>
      </w:r>
      <w:r>
        <w:rPr>
          <w:rFonts w:ascii="宋体" w:eastAsia="宋体" w:hAnsi="宋体" w:cs="Arial" w:hint="eastAsia"/>
          <w:sz w:val="24"/>
          <w:szCs w:val="24"/>
          <w:lang w:val="en-GB"/>
        </w:rPr>
        <w:t>（</w:t>
      </w:r>
      <w:r>
        <w:rPr>
          <w:rFonts w:ascii="宋体" w:eastAsia="宋体" w:hAnsi="宋体" w:cs="微软雅黑" w:hint="eastAsia"/>
          <w:sz w:val="24"/>
          <w:szCs w:val="24"/>
          <w:lang w:val="en-GB"/>
        </w:rPr>
        <w:t>以下简称</w:t>
      </w:r>
      <w:r>
        <w:rPr>
          <w:rFonts w:ascii="宋体" w:eastAsia="宋体" w:hAnsi="宋体" w:cs="Malgun Gothic Semilight" w:hint="eastAsia"/>
          <w:sz w:val="24"/>
          <w:szCs w:val="24"/>
          <w:lang w:val="en-GB"/>
        </w:rPr>
        <w:t>“《</w:t>
      </w:r>
      <w:r>
        <w:rPr>
          <w:rFonts w:ascii="宋体" w:eastAsia="宋体" w:hAnsi="宋体" w:cs="微软雅黑" w:hint="eastAsia"/>
          <w:sz w:val="24"/>
          <w:szCs w:val="24"/>
          <w:lang w:val="en-GB"/>
        </w:rPr>
        <w:t>基金合同》</w:t>
      </w:r>
      <w:r>
        <w:rPr>
          <w:rFonts w:ascii="宋体" w:eastAsia="宋体" w:hAnsi="宋体" w:cs="Malgun Gothic Semilight" w:hint="eastAsia"/>
          <w:sz w:val="24"/>
          <w:szCs w:val="24"/>
          <w:lang w:val="en-GB"/>
        </w:rPr>
        <w:t>”</w:t>
      </w:r>
      <w:r>
        <w:rPr>
          <w:rFonts w:ascii="宋体" w:eastAsia="宋体" w:hAnsi="宋体" w:cs="Arial" w:hint="eastAsia"/>
          <w:sz w:val="24"/>
          <w:szCs w:val="24"/>
          <w:lang w:val="en-GB"/>
        </w:rPr>
        <w:t>）</w:t>
      </w:r>
      <w:r>
        <w:rPr>
          <w:rFonts w:ascii="宋体" w:eastAsia="宋体" w:hAnsi="宋体" w:cs="微软雅黑" w:hint="eastAsia"/>
          <w:sz w:val="24"/>
          <w:szCs w:val="24"/>
          <w:lang w:val="en-GB"/>
        </w:rPr>
        <w:t>中定义的术语在用于本托管协议时应具有相同的含义</w:t>
      </w:r>
      <w:r>
        <w:rPr>
          <w:rFonts w:ascii="宋体" w:eastAsia="宋体" w:hAnsi="宋体" w:cs="Malgun Gothic Semilight" w:hint="eastAsia"/>
          <w:sz w:val="24"/>
          <w:szCs w:val="24"/>
          <w:lang w:val="en-GB"/>
        </w:rPr>
        <w:t>；</w:t>
      </w:r>
      <w:r>
        <w:rPr>
          <w:rFonts w:ascii="宋体" w:eastAsia="宋体" w:hAnsi="宋体" w:cs="微软雅黑" w:hint="eastAsia"/>
          <w:sz w:val="24"/>
          <w:szCs w:val="24"/>
          <w:lang w:val="en-GB"/>
        </w:rPr>
        <w:t>若有抵触应以</w:t>
      </w:r>
      <w:r>
        <w:rPr>
          <w:rFonts w:ascii="宋体" w:eastAsia="宋体" w:hAnsi="宋体" w:cs="Malgun Gothic Semilight" w:hint="eastAsia"/>
          <w:sz w:val="24"/>
          <w:szCs w:val="24"/>
          <w:lang w:val="en-GB"/>
        </w:rPr>
        <w:t>《</w:t>
      </w:r>
      <w:r>
        <w:rPr>
          <w:rFonts w:ascii="宋体" w:eastAsia="宋体" w:hAnsi="宋体" w:cs="微软雅黑" w:hint="eastAsia"/>
          <w:sz w:val="24"/>
          <w:szCs w:val="24"/>
          <w:lang w:val="en-GB"/>
        </w:rPr>
        <w:t>基金合同</w:t>
      </w:r>
      <w:r>
        <w:rPr>
          <w:rFonts w:ascii="宋体" w:eastAsia="宋体" w:hAnsi="宋体" w:cs="Malgun Gothic Semilight" w:hint="eastAsia"/>
          <w:sz w:val="24"/>
          <w:szCs w:val="24"/>
          <w:lang w:val="en-GB"/>
        </w:rPr>
        <w:t>》</w:t>
      </w:r>
      <w:r>
        <w:rPr>
          <w:rFonts w:ascii="宋体" w:eastAsia="宋体" w:hAnsi="宋体" w:cs="微软雅黑" w:hint="eastAsia"/>
          <w:sz w:val="24"/>
          <w:szCs w:val="24"/>
          <w:lang w:val="en-GB"/>
        </w:rPr>
        <w:t>为准</w:t>
      </w:r>
      <w:r>
        <w:rPr>
          <w:rFonts w:ascii="宋体" w:eastAsia="宋体" w:hAnsi="宋体" w:cs="Malgun Gothic Semilight" w:hint="eastAsia"/>
          <w:sz w:val="24"/>
          <w:szCs w:val="24"/>
          <w:lang w:val="en-GB"/>
        </w:rPr>
        <w:t>，</w:t>
      </w:r>
      <w:r>
        <w:rPr>
          <w:rFonts w:ascii="宋体" w:eastAsia="宋体" w:hAnsi="宋体" w:cs="微软雅黑" w:hint="eastAsia"/>
          <w:sz w:val="24"/>
          <w:szCs w:val="24"/>
          <w:lang w:val="en-GB"/>
        </w:rPr>
        <w:t>并依其</w:t>
      </w:r>
      <w:r>
        <w:rPr>
          <w:rFonts w:ascii="宋体" w:eastAsia="宋体" w:hAnsi="宋体" w:cs="微软雅黑" w:hint="eastAsia"/>
          <w:sz w:val="24"/>
          <w:szCs w:val="24"/>
        </w:rPr>
        <w:t>条款</w:t>
      </w:r>
      <w:r>
        <w:rPr>
          <w:rFonts w:ascii="宋体" w:eastAsia="宋体" w:hAnsi="宋体" w:cs="微软雅黑" w:hint="eastAsia"/>
          <w:sz w:val="24"/>
          <w:szCs w:val="24"/>
          <w:lang w:val="en-GB"/>
        </w:rPr>
        <w:t>解释</w:t>
      </w:r>
      <w:r>
        <w:rPr>
          <w:rFonts w:ascii="宋体" w:eastAsia="宋体" w:hAnsi="宋体" w:cs="Malgun Gothic Semilight" w:hint="eastAsia"/>
          <w:sz w:val="24"/>
          <w:szCs w:val="24"/>
          <w:lang w:val="en-GB"/>
        </w:rPr>
        <w:t>。</w:t>
      </w:r>
    </w:p>
    <w:p w14:paraId="5E3E35B4" w14:textId="77777777" w:rsidR="00F012EE" w:rsidRDefault="00477FBC">
      <w:pPr>
        <w:widowControl/>
        <w:spacing w:line="360" w:lineRule="auto"/>
        <w:jc w:val="left"/>
        <w:rPr>
          <w:rFonts w:ascii="宋体" w:eastAsia="宋体" w:hAnsi="宋体" w:cs="Times New Roman"/>
          <w:sz w:val="24"/>
          <w:szCs w:val="24"/>
          <w:lang w:val="en-GB"/>
        </w:rPr>
      </w:pPr>
      <w:r>
        <w:rPr>
          <w:rFonts w:ascii="宋体" w:eastAsia="宋体" w:hAnsi="宋体" w:cs="Times New Roman"/>
          <w:sz w:val="24"/>
          <w:szCs w:val="24"/>
          <w:lang w:val="en-GB"/>
        </w:rPr>
        <w:br w:type="page"/>
      </w:r>
    </w:p>
    <w:p w14:paraId="139F14C2" w14:textId="77777777" w:rsidR="00F012EE" w:rsidRDefault="00477FBC">
      <w:pPr>
        <w:keepNext/>
        <w:keepLines/>
        <w:spacing w:before="260" w:after="260" w:line="360" w:lineRule="auto"/>
        <w:jc w:val="center"/>
        <w:outlineLvl w:val="1"/>
        <w:rPr>
          <w:rFonts w:ascii="宋体" w:eastAsia="宋体" w:hAnsi="宋体" w:cs="Times New Roman"/>
          <w:b/>
          <w:sz w:val="32"/>
          <w:szCs w:val="20"/>
        </w:rPr>
      </w:pPr>
      <w:bookmarkStart w:id="3" w:name="_Toc124325885"/>
      <w:r>
        <w:rPr>
          <w:rFonts w:ascii="宋体" w:eastAsia="宋体" w:hAnsi="宋体" w:cs="微软雅黑" w:hint="eastAsia"/>
          <w:b/>
          <w:sz w:val="32"/>
          <w:szCs w:val="20"/>
        </w:rPr>
        <w:lastRenderedPageBreak/>
        <w:t>一</w:t>
      </w:r>
      <w:r>
        <w:rPr>
          <w:rFonts w:ascii="宋体" w:eastAsia="宋体" w:hAnsi="宋体" w:cs="Malgun Gothic Semilight" w:hint="eastAsia"/>
          <w:b/>
          <w:sz w:val="32"/>
          <w:szCs w:val="20"/>
        </w:rPr>
        <w:t>、</w:t>
      </w:r>
      <w:r>
        <w:rPr>
          <w:rFonts w:ascii="宋体" w:eastAsia="宋体" w:hAnsi="宋体" w:cs="微软雅黑" w:hint="eastAsia"/>
          <w:b/>
          <w:sz w:val="32"/>
          <w:szCs w:val="20"/>
        </w:rPr>
        <w:t>基金托管协议当事人</w:t>
      </w:r>
      <w:bookmarkEnd w:id="3"/>
    </w:p>
    <w:p w14:paraId="58EC0C33"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一</w:t>
      </w:r>
      <w:r>
        <w:rPr>
          <w:rFonts w:ascii="宋体" w:eastAsia="宋体" w:hAnsi="宋体" w:cs="Arial" w:hint="eastAsia"/>
          <w:sz w:val="24"/>
          <w:szCs w:val="24"/>
        </w:rPr>
        <w:t>）</w:t>
      </w:r>
      <w:r>
        <w:rPr>
          <w:rFonts w:ascii="宋体" w:eastAsia="宋体" w:hAnsi="宋体" w:cs="微软雅黑" w:hint="eastAsia"/>
          <w:sz w:val="24"/>
          <w:szCs w:val="24"/>
        </w:rPr>
        <w:t>基金管理人</w:t>
      </w:r>
    </w:p>
    <w:p w14:paraId="729CE36E"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名称</w:t>
      </w:r>
      <w:r>
        <w:rPr>
          <w:rFonts w:ascii="宋体" w:eastAsia="宋体" w:hAnsi="宋体" w:cs="Malgun Gothic Semilight" w:hint="eastAsia"/>
          <w:sz w:val="24"/>
          <w:szCs w:val="24"/>
        </w:rPr>
        <w:t>：</w:t>
      </w:r>
      <w:r>
        <w:rPr>
          <w:rFonts w:ascii="宋体" w:eastAsia="宋体" w:hAnsi="宋体" w:cs="微软雅黑" w:hint="eastAsia"/>
          <w:sz w:val="24"/>
          <w:szCs w:val="24"/>
        </w:rPr>
        <w:t>嘉</w:t>
      </w:r>
      <w:proofErr w:type="gramStart"/>
      <w:r>
        <w:rPr>
          <w:rFonts w:ascii="宋体" w:eastAsia="宋体" w:hAnsi="宋体" w:cs="微软雅黑" w:hint="eastAsia"/>
          <w:sz w:val="24"/>
          <w:szCs w:val="24"/>
        </w:rPr>
        <w:t>实基金</w:t>
      </w:r>
      <w:proofErr w:type="gramEnd"/>
      <w:r>
        <w:rPr>
          <w:rFonts w:ascii="宋体" w:eastAsia="宋体" w:hAnsi="宋体" w:cs="微软雅黑" w:hint="eastAsia"/>
          <w:sz w:val="24"/>
          <w:szCs w:val="24"/>
        </w:rPr>
        <w:t>管理有限公司</w:t>
      </w:r>
    </w:p>
    <w:p w14:paraId="07CDEA2D"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注册地址</w:t>
      </w:r>
      <w:r>
        <w:rPr>
          <w:rFonts w:ascii="宋体" w:eastAsia="宋体" w:hAnsi="宋体" w:cs="Malgun Gothic Semilight" w:hint="eastAsia"/>
          <w:sz w:val="24"/>
          <w:szCs w:val="24"/>
        </w:rPr>
        <w:t>：</w:t>
      </w:r>
      <w:r>
        <w:rPr>
          <w:rFonts w:ascii="宋体" w:eastAsia="宋体" w:hAnsi="宋体" w:cs="微软雅黑" w:hint="eastAsia"/>
          <w:sz w:val="24"/>
          <w:szCs w:val="24"/>
        </w:rPr>
        <w:t>中国</w:t>
      </w:r>
      <w:r>
        <w:rPr>
          <w:rFonts w:ascii="宋体" w:eastAsia="宋体" w:hAnsi="宋体" w:cs="Malgun Gothic Semilight" w:hint="eastAsia"/>
          <w:sz w:val="24"/>
          <w:szCs w:val="24"/>
        </w:rPr>
        <w:t>（</w:t>
      </w:r>
      <w:r>
        <w:rPr>
          <w:rFonts w:ascii="宋体" w:eastAsia="宋体" w:hAnsi="宋体" w:cs="微软雅黑" w:hint="eastAsia"/>
          <w:sz w:val="24"/>
          <w:szCs w:val="24"/>
        </w:rPr>
        <w:t>上海</w:t>
      </w:r>
      <w:r>
        <w:rPr>
          <w:rFonts w:ascii="宋体" w:eastAsia="宋体" w:hAnsi="宋体" w:cs="Malgun Gothic Semilight" w:hint="eastAsia"/>
          <w:sz w:val="24"/>
          <w:szCs w:val="24"/>
        </w:rPr>
        <w:t>）</w:t>
      </w:r>
      <w:r>
        <w:rPr>
          <w:rFonts w:ascii="宋体" w:eastAsia="宋体" w:hAnsi="宋体" w:cs="微软雅黑" w:hint="eastAsia"/>
          <w:sz w:val="24"/>
          <w:szCs w:val="24"/>
        </w:rPr>
        <w:t>自由贸易试验区陆家嘴环路</w:t>
      </w:r>
      <w:r>
        <w:rPr>
          <w:rFonts w:ascii="宋体" w:eastAsia="宋体" w:hAnsi="宋体" w:cs="Malgun Gothic Semilight"/>
          <w:sz w:val="24"/>
          <w:szCs w:val="24"/>
        </w:rPr>
        <w:t>1318</w:t>
      </w:r>
      <w:r>
        <w:rPr>
          <w:rFonts w:ascii="宋体" w:eastAsia="宋体" w:hAnsi="宋体" w:cs="微软雅黑" w:hint="eastAsia"/>
          <w:sz w:val="24"/>
          <w:szCs w:val="24"/>
        </w:rPr>
        <w:t>号</w:t>
      </w:r>
      <w:r>
        <w:rPr>
          <w:rFonts w:ascii="宋体" w:eastAsia="宋体" w:hAnsi="宋体" w:cs="Malgun Gothic Semilight"/>
          <w:sz w:val="24"/>
          <w:szCs w:val="24"/>
        </w:rPr>
        <w:t>1806A</w:t>
      </w:r>
      <w:r>
        <w:rPr>
          <w:rFonts w:ascii="宋体" w:eastAsia="宋体" w:hAnsi="宋体" w:cs="微软雅黑" w:hint="eastAsia"/>
          <w:sz w:val="24"/>
          <w:szCs w:val="24"/>
        </w:rPr>
        <w:t>单元</w:t>
      </w:r>
    </w:p>
    <w:p w14:paraId="019D7387"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办公地址</w:t>
      </w:r>
      <w:r>
        <w:rPr>
          <w:rFonts w:ascii="宋体" w:eastAsia="宋体" w:hAnsi="宋体" w:cs="Malgun Gothic Semilight" w:hint="eastAsia"/>
          <w:sz w:val="24"/>
          <w:szCs w:val="24"/>
        </w:rPr>
        <w:t>：</w:t>
      </w:r>
      <w:r>
        <w:rPr>
          <w:rFonts w:ascii="宋体" w:eastAsia="宋体" w:hAnsi="宋体" w:cs="微软雅黑" w:hint="eastAsia"/>
          <w:sz w:val="24"/>
          <w:szCs w:val="24"/>
        </w:rPr>
        <w:t>北京市朝阳区建国门外大街</w:t>
      </w:r>
      <w:r>
        <w:rPr>
          <w:rFonts w:ascii="宋体" w:eastAsia="宋体" w:hAnsi="宋体" w:cs="Malgun Gothic Semilight"/>
          <w:sz w:val="24"/>
          <w:szCs w:val="24"/>
        </w:rPr>
        <w:t>21</w:t>
      </w:r>
      <w:r>
        <w:rPr>
          <w:rFonts w:ascii="宋体" w:eastAsia="宋体" w:hAnsi="宋体" w:cs="微软雅黑" w:hint="eastAsia"/>
          <w:sz w:val="24"/>
          <w:szCs w:val="24"/>
        </w:rPr>
        <w:t>号北京国际俱乐部</w:t>
      </w:r>
      <w:r>
        <w:rPr>
          <w:rFonts w:ascii="宋体" w:eastAsia="宋体" w:hAnsi="宋体" w:cs="Malgun Gothic Semilight"/>
          <w:sz w:val="24"/>
          <w:szCs w:val="24"/>
        </w:rPr>
        <w:t>C</w:t>
      </w:r>
      <w:r>
        <w:rPr>
          <w:rFonts w:ascii="宋体" w:eastAsia="宋体" w:hAnsi="宋体" w:cs="微软雅黑" w:hint="eastAsia"/>
          <w:sz w:val="24"/>
          <w:szCs w:val="24"/>
        </w:rPr>
        <w:t>座写字楼</w:t>
      </w:r>
      <w:r>
        <w:rPr>
          <w:rFonts w:ascii="宋体" w:eastAsia="宋体" w:hAnsi="宋体" w:cs="Malgun Gothic Semilight"/>
          <w:sz w:val="24"/>
          <w:szCs w:val="24"/>
        </w:rPr>
        <w:t>12A</w:t>
      </w:r>
      <w:r>
        <w:rPr>
          <w:rFonts w:ascii="宋体" w:eastAsia="宋体" w:hAnsi="宋体" w:cs="微软雅黑" w:hint="eastAsia"/>
          <w:sz w:val="24"/>
          <w:szCs w:val="24"/>
        </w:rPr>
        <w:t>层</w:t>
      </w:r>
    </w:p>
    <w:p w14:paraId="1065B7D8"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邮政编码</w:t>
      </w:r>
      <w:r>
        <w:rPr>
          <w:rFonts w:ascii="宋体" w:eastAsia="宋体" w:hAnsi="宋体" w:cs="Malgun Gothic Semilight" w:hint="eastAsia"/>
          <w:sz w:val="24"/>
          <w:szCs w:val="24"/>
        </w:rPr>
        <w:t>：1</w:t>
      </w:r>
      <w:r>
        <w:rPr>
          <w:rFonts w:ascii="宋体" w:eastAsia="宋体" w:hAnsi="宋体" w:cs="Malgun Gothic Semilight"/>
          <w:sz w:val="24"/>
          <w:szCs w:val="24"/>
        </w:rPr>
        <w:t>00020</w:t>
      </w:r>
    </w:p>
    <w:p w14:paraId="294A9CFB"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法定代表人</w:t>
      </w:r>
      <w:r>
        <w:rPr>
          <w:rFonts w:ascii="宋体" w:eastAsia="宋体" w:hAnsi="宋体" w:cs="Malgun Gothic Semilight" w:hint="eastAsia"/>
          <w:sz w:val="24"/>
          <w:szCs w:val="24"/>
        </w:rPr>
        <w:t>：</w:t>
      </w:r>
      <w:r>
        <w:rPr>
          <w:rFonts w:ascii="宋体" w:eastAsia="宋体" w:hAnsi="宋体" w:cs="微软雅黑" w:hint="eastAsia"/>
          <w:sz w:val="24"/>
          <w:szCs w:val="24"/>
        </w:rPr>
        <w:t>经雷</w:t>
      </w:r>
    </w:p>
    <w:p w14:paraId="2E75216A"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成立日期</w:t>
      </w:r>
      <w:r>
        <w:rPr>
          <w:rFonts w:ascii="宋体" w:eastAsia="宋体" w:hAnsi="宋体" w:cs="Malgun Gothic Semilight" w:hint="eastAsia"/>
          <w:sz w:val="24"/>
          <w:szCs w:val="24"/>
        </w:rPr>
        <w:t>：1</w:t>
      </w:r>
      <w:r>
        <w:rPr>
          <w:rFonts w:ascii="宋体" w:eastAsia="宋体" w:hAnsi="宋体" w:cs="Malgun Gothic Semilight"/>
          <w:sz w:val="24"/>
          <w:szCs w:val="24"/>
        </w:rPr>
        <w:t>999</w:t>
      </w:r>
      <w:r>
        <w:rPr>
          <w:rFonts w:ascii="宋体" w:eastAsia="宋体" w:hAnsi="宋体" w:cs="微软雅黑" w:hint="eastAsia"/>
          <w:sz w:val="24"/>
          <w:szCs w:val="24"/>
        </w:rPr>
        <w:t>年3月2</w:t>
      </w:r>
      <w:r>
        <w:rPr>
          <w:rFonts w:ascii="宋体" w:eastAsia="宋体" w:hAnsi="宋体" w:cs="微软雅黑"/>
          <w:sz w:val="24"/>
          <w:szCs w:val="24"/>
        </w:rPr>
        <w:t>5</w:t>
      </w:r>
      <w:r>
        <w:rPr>
          <w:rFonts w:ascii="宋体" w:eastAsia="宋体" w:hAnsi="宋体" w:cs="微软雅黑" w:hint="eastAsia"/>
          <w:sz w:val="24"/>
          <w:szCs w:val="24"/>
        </w:rPr>
        <w:t>日</w:t>
      </w:r>
    </w:p>
    <w:p w14:paraId="5E8FA1A1" w14:textId="01BB5783"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批准设立机关及批准设立文号</w:t>
      </w:r>
      <w:r>
        <w:rPr>
          <w:rFonts w:ascii="宋体" w:eastAsia="宋体" w:hAnsi="宋体" w:cs="Malgun Gothic Semilight" w:hint="eastAsia"/>
          <w:sz w:val="24"/>
          <w:szCs w:val="24"/>
        </w:rPr>
        <w:t>：</w:t>
      </w:r>
      <w:r>
        <w:rPr>
          <w:rFonts w:ascii="宋体" w:eastAsia="宋体" w:hAnsi="宋体" w:cs="微软雅黑" w:hint="eastAsia"/>
          <w:sz w:val="24"/>
          <w:szCs w:val="24"/>
        </w:rPr>
        <w:t>中国证监会证</w:t>
      </w:r>
      <w:proofErr w:type="gramStart"/>
      <w:r>
        <w:rPr>
          <w:rFonts w:ascii="宋体" w:eastAsia="宋体" w:hAnsi="宋体" w:cs="微软雅黑" w:hint="eastAsia"/>
          <w:sz w:val="24"/>
          <w:szCs w:val="24"/>
        </w:rPr>
        <w:t>监基</w:t>
      </w:r>
      <w:r w:rsidR="00155457">
        <w:rPr>
          <w:rFonts w:ascii="宋体" w:eastAsia="宋体" w:hAnsi="宋体" w:cs="微软雅黑" w:hint="eastAsia"/>
          <w:sz w:val="24"/>
          <w:szCs w:val="24"/>
        </w:rPr>
        <w:t>金</w:t>
      </w:r>
      <w:r>
        <w:rPr>
          <w:rFonts w:ascii="宋体" w:eastAsia="宋体" w:hAnsi="宋体" w:cs="微软雅黑" w:hint="eastAsia"/>
          <w:sz w:val="24"/>
          <w:szCs w:val="24"/>
        </w:rPr>
        <w:t>字</w:t>
      </w:r>
      <w:proofErr w:type="gramEnd"/>
      <w:r w:rsidR="00155457">
        <w:rPr>
          <w:rFonts w:ascii="宋体" w:eastAsia="宋体" w:hAnsi="宋体" w:cs="微软雅黑" w:hint="eastAsia"/>
          <w:sz w:val="24"/>
          <w:szCs w:val="24"/>
        </w:rPr>
        <w:t>[</w:t>
      </w:r>
      <w:r>
        <w:rPr>
          <w:rFonts w:ascii="宋体" w:eastAsia="宋体" w:hAnsi="宋体" w:cs="Arial" w:hint="eastAsia"/>
          <w:sz w:val="24"/>
          <w:szCs w:val="24"/>
        </w:rPr>
        <w:t>1</w:t>
      </w:r>
      <w:r>
        <w:rPr>
          <w:rFonts w:ascii="宋体" w:eastAsia="宋体" w:hAnsi="宋体" w:cs="Arial"/>
          <w:sz w:val="24"/>
          <w:szCs w:val="24"/>
        </w:rPr>
        <w:t>999</w:t>
      </w:r>
      <w:r w:rsidR="00155457">
        <w:rPr>
          <w:rFonts w:ascii="宋体" w:eastAsia="宋体" w:hAnsi="宋体" w:cs="Arial" w:hint="eastAsia"/>
          <w:sz w:val="24"/>
          <w:szCs w:val="24"/>
        </w:rPr>
        <w:t>]</w:t>
      </w:r>
      <w:r>
        <w:rPr>
          <w:rFonts w:ascii="宋体" w:eastAsia="宋体" w:hAnsi="宋体" w:cs="Arial"/>
          <w:sz w:val="24"/>
          <w:szCs w:val="24"/>
        </w:rPr>
        <w:t>5</w:t>
      </w:r>
      <w:r>
        <w:rPr>
          <w:rFonts w:ascii="宋体" w:eastAsia="宋体" w:hAnsi="宋体" w:cs="微软雅黑" w:hint="eastAsia"/>
          <w:sz w:val="24"/>
          <w:szCs w:val="24"/>
        </w:rPr>
        <w:t>号</w:t>
      </w:r>
    </w:p>
    <w:p w14:paraId="473895EF"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组织形式</w:t>
      </w:r>
      <w:r>
        <w:rPr>
          <w:rFonts w:ascii="宋体" w:eastAsia="宋体" w:hAnsi="宋体" w:cs="Malgun Gothic Semilight" w:hint="eastAsia"/>
          <w:sz w:val="24"/>
          <w:szCs w:val="24"/>
        </w:rPr>
        <w:t>：</w:t>
      </w:r>
      <w:r>
        <w:rPr>
          <w:rFonts w:ascii="宋体" w:eastAsia="宋体" w:hAnsi="宋体" w:cs="微软雅黑" w:hint="eastAsia"/>
          <w:sz w:val="24"/>
          <w:szCs w:val="24"/>
        </w:rPr>
        <w:t>有限责任公司</w:t>
      </w:r>
      <w:r>
        <w:rPr>
          <w:rFonts w:ascii="宋体" w:eastAsia="宋体" w:hAnsi="宋体" w:cs="Malgun Gothic Semilight" w:hint="eastAsia"/>
          <w:sz w:val="24"/>
          <w:szCs w:val="24"/>
        </w:rPr>
        <w:t>（</w:t>
      </w:r>
      <w:r>
        <w:rPr>
          <w:rFonts w:ascii="宋体" w:eastAsia="宋体" w:hAnsi="宋体" w:cs="微软雅黑" w:hint="eastAsia"/>
          <w:sz w:val="24"/>
          <w:szCs w:val="24"/>
        </w:rPr>
        <w:t>外商投资</w:t>
      </w:r>
      <w:r>
        <w:rPr>
          <w:rFonts w:ascii="宋体" w:eastAsia="宋体" w:hAnsi="宋体" w:cs="Malgun Gothic Semilight" w:hint="eastAsia"/>
          <w:sz w:val="24"/>
          <w:szCs w:val="24"/>
        </w:rPr>
        <w:t>、</w:t>
      </w:r>
      <w:r>
        <w:rPr>
          <w:rFonts w:ascii="宋体" w:eastAsia="宋体" w:hAnsi="宋体" w:cs="微软雅黑" w:hint="eastAsia"/>
          <w:sz w:val="24"/>
          <w:szCs w:val="24"/>
        </w:rPr>
        <w:t>非独资</w:t>
      </w:r>
      <w:r>
        <w:rPr>
          <w:rFonts w:ascii="宋体" w:eastAsia="宋体" w:hAnsi="宋体" w:cs="Malgun Gothic Semilight" w:hint="eastAsia"/>
          <w:sz w:val="24"/>
          <w:szCs w:val="24"/>
        </w:rPr>
        <w:t>）</w:t>
      </w:r>
    </w:p>
    <w:p w14:paraId="60DCDE52"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注册资本</w:t>
      </w:r>
      <w:r>
        <w:rPr>
          <w:rFonts w:ascii="宋体" w:eastAsia="宋体" w:hAnsi="宋体" w:cs="Malgun Gothic Semilight" w:hint="eastAsia"/>
          <w:sz w:val="24"/>
          <w:szCs w:val="24"/>
        </w:rPr>
        <w:t>：</w:t>
      </w:r>
      <w:r>
        <w:rPr>
          <w:rFonts w:ascii="宋体" w:eastAsia="宋体" w:hAnsi="宋体" w:cs="微软雅黑" w:hint="eastAsia"/>
          <w:sz w:val="24"/>
          <w:szCs w:val="24"/>
        </w:rPr>
        <w:t>1</w:t>
      </w:r>
      <w:r>
        <w:rPr>
          <w:rFonts w:ascii="宋体" w:eastAsia="宋体" w:hAnsi="宋体" w:cs="微软雅黑"/>
          <w:sz w:val="24"/>
          <w:szCs w:val="24"/>
        </w:rPr>
        <w:t>.5</w:t>
      </w:r>
      <w:r>
        <w:rPr>
          <w:rFonts w:ascii="宋体" w:eastAsia="宋体" w:hAnsi="宋体" w:cs="微软雅黑" w:hint="eastAsia"/>
          <w:sz w:val="24"/>
          <w:szCs w:val="24"/>
        </w:rPr>
        <w:t>亿元人民币</w:t>
      </w:r>
    </w:p>
    <w:p w14:paraId="1449CA3B"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存续期间</w:t>
      </w:r>
      <w:r>
        <w:rPr>
          <w:rFonts w:ascii="宋体" w:eastAsia="宋体" w:hAnsi="宋体" w:cs="Malgun Gothic Semilight" w:hint="eastAsia"/>
          <w:sz w:val="24"/>
          <w:szCs w:val="24"/>
        </w:rPr>
        <w:t>：</w:t>
      </w:r>
      <w:r>
        <w:rPr>
          <w:rFonts w:ascii="宋体" w:eastAsia="宋体" w:hAnsi="宋体" w:cs="微软雅黑" w:hint="eastAsia"/>
          <w:sz w:val="24"/>
          <w:szCs w:val="24"/>
        </w:rPr>
        <w:t>持续经营</w:t>
      </w:r>
    </w:p>
    <w:p w14:paraId="6DDFF61F"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经营范围</w:t>
      </w:r>
      <w:r>
        <w:rPr>
          <w:rFonts w:ascii="宋体" w:eastAsia="宋体" w:hAnsi="宋体" w:cs="Malgun Gothic Semilight" w:hint="eastAsia"/>
          <w:sz w:val="24"/>
          <w:szCs w:val="24"/>
        </w:rPr>
        <w:t>：</w:t>
      </w:r>
      <w:r>
        <w:rPr>
          <w:rFonts w:ascii="宋体" w:eastAsia="宋体" w:hAnsi="宋体" w:cs="微软雅黑" w:hint="eastAsia"/>
          <w:sz w:val="24"/>
          <w:szCs w:val="24"/>
        </w:rPr>
        <w:t>基金募集</w:t>
      </w:r>
      <w:r>
        <w:rPr>
          <w:rFonts w:ascii="宋体" w:eastAsia="宋体" w:hAnsi="宋体" w:cs="Malgun Gothic Semilight" w:hint="eastAsia"/>
          <w:sz w:val="24"/>
          <w:szCs w:val="24"/>
        </w:rPr>
        <w:t>、</w:t>
      </w:r>
      <w:r>
        <w:rPr>
          <w:rFonts w:ascii="宋体" w:eastAsia="宋体" w:hAnsi="宋体" w:cs="微软雅黑" w:hint="eastAsia"/>
          <w:sz w:val="24"/>
          <w:szCs w:val="24"/>
        </w:rPr>
        <w:t>基金销售</w:t>
      </w:r>
      <w:r>
        <w:rPr>
          <w:rFonts w:ascii="宋体" w:eastAsia="宋体" w:hAnsi="宋体" w:cs="Malgun Gothic Semilight" w:hint="eastAsia"/>
          <w:sz w:val="24"/>
          <w:szCs w:val="24"/>
        </w:rPr>
        <w:t>、</w:t>
      </w:r>
      <w:r>
        <w:rPr>
          <w:rFonts w:ascii="宋体" w:eastAsia="宋体" w:hAnsi="宋体" w:cs="微软雅黑" w:hint="eastAsia"/>
          <w:sz w:val="24"/>
          <w:szCs w:val="24"/>
        </w:rPr>
        <w:t>资产管理以及中国证监会许可的其它业务</w:t>
      </w:r>
    </w:p>
    <w:p w14:paraId="43F20869"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二</w:t>
      </w:r>
      <w:r>
        <w:rPr>
          <w:rFonts w:ascii="宋体" w:eastAsia="宋体" w:hAnsi="宋体" w:cs="Arial" w:hint="eastAsia"/>
          <w:sz w:val="24"/>
          <w:szCs w:val="24"/>
        </w:rPr>
        <w:t>）</w:t>
      </w:r>
      <w:r>
        <w:rPr>
          <w:rFonts w:ascii="宋体" w:eastAsia="宋体" w:hAnsi="宋体" w:cs="微软雅黑" w:hint="eastAsia"/>
          <w:sz w:val="24"/>
          <w:szCs w:val="24"/>
        </w:rPr>
        <w:t>基金托管人</w:t>
      </w:r>
    </w:p>
    <w:p w14:paraId="37397571"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名称</w:t>
      </w:r>
      <w:r>
        <w:rPr>
          <w:rFonts w:ascii="宋体" w:eastAsia="宋体" w:hAnsi="宋体" w:cs="Malgun Gothic Semilight" w:hint="eastAsia"/>
          <w:sz w:val="24"/>
          <w:szCs w:val="24"/>
        </w:rPr>
        <w:t>：</w:t>
      </w:r>
      <w:r>
        <w:rPr>
          <w:rFonts w:ascii="宋体" w:eastAsia="宋体" w:hAnsi="宋体" w:cs="微软雅黑" w:hint="eastAsia"/>
          <w:sz w:val="24"/>
          <w:szCs w:val="24"/>
        </w:rPr>
        <w:t>中国建设银行股份有限公司</w:t>
      </w:r>
      <w:r>
        <w:rPr>
          <w:rFonts w:ascii="宋体" w:eastAsia="宋体" w:hAnsi="宋体" w:cs="Arial" w:hint="eastAsia"/>
          <w:sz w:val="24"/>
          <w:szCs w:val="24"/>
        </w:rPr>
        <w:t>（</w:t>
      </w:r>
      <w:r>
        <w:rPr>
          <w:rFonts w:ascii="宋体" w:eastAsia="宋体" w:hAnsi="宋体" w:cs="微软雅黑" w:hint="eastAsia"/>
          <w:sz w:val="24"/>
          <w:szCs w:val="24"/>
        </w:rPr>
        <w:t>简称</w:t>
      </w:r>
      <w:r>
        <w:rPr>
          <w:rFonts w:ascii="宋体" w:eastAsia="宋体" w:hAnsi="宋体" w:cs="Malgun Gothic Semilight" w:hint="eastAsia"/>
          <w:sz w:val="24"/>
          <w:szCs w:val="24"/>
        </w:rPr>
        <w:t>：</w:t>
      </w:r>
      <w:r>
        <w:rPr>
          <w:rFonts w:ascii="宋体" w:eastAsia="宋体" w:hAnsi="宋体" w:cs="微软雅黑" w:hint="eastAsia"/>
          <w:sz w:val="24"/>
          <w:szCs w:val="24"/>
        </w:rPr>
        <w:t>中国建设银行</w:t>
      </w:r>
      <w:r>
        <w:rPr>
          <w:rFonts w:ascii="宋体" w:eastAsia="宋体" w:hAnsi="宋体" w:cs="Arial" w:hint="eastAsia"/>
          <w:sz w:val="24"/>
          <w:szCs w:val="24"/>
        </w:rPr>
        <w:t>）</w:t>
      </w:r>
    </w:p>
    <w:p w14:paraId="325B4CF7"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住所</w:t>
      </w:r>
      <w:r>
        <w:rPr>
          <w:rFonts w:ascii="宋体" w:eastAsia="宋体" w:hAnsi="宋体" w:cs="Malgun Gothic Semilight" w:hint="eastAsia"/>
          <w:sz w:val="24"/>
          <w:szCs w:val="24"/>
        </w:rPr>
        <w:t>：</w:t>
      </w:r>
      <w:r>
        <w:rPr>
          <w:rFonts w:ascii="宋体" w:eastAsia="宋体" w:hAnsi="宋体" w:cs="微软雅黑" w:hint="eastAsia"/>
          <w:sz w:val="24"/>
          <w:szCs w:val="24"/>
        </w:rPr>
        <w:t>北京市西城区金融大街</w:t>
      </w:r>
      <w:r>
        <w:rPr>
          <w:rFonts w:ascii="宋体" w:eastAsia="宋体" w:hAnsi="宋体" w:cs="Arial" w:hint="eastAsia"/>
          <w:sz w:val="24"/>
          <w:szCs w:val="24"/>
        </w:rPr>
        <w:t>25</w:t>
      </w:r>
      <w:r>
        <w:rPr>
          <w:rFonts w:ascii="宋体" w:eastAsia="宋体" w:hAnsi="宋体" w:cs="微软雅黑" w:hint="eastAsia"/>
          <w:sz w:val="24"/>
          <w:szCs w:val="24"/>
        </w:rPr>
        <w:t>号</w:t>
      </w:r>
    </w:p>
    <w:p w14:paraId="73A45C32"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办公地址</w:t>
      </w:r>
      <w:r>
        <w:rPr>
          <w:rFonts w:ascii="宋体" w:eastAsia="宋体" w:hAnsi="宋体" w:cs="Malgun Gothic Semilight" w:hint="eastAsia"/>
          <w:sz w:val="24"/>
          <w:szCs w:val="24"/>
        </w:rPr>
        <w:t>：</w:t>
      </w:r>
      <w:r>
        <w:rPr>
          <w:rFonts w:ascii="宋体" w:eastAsia="宋体" w:hAnsi="宋体" w:cs="微软雅黑" w:hint="eastAsia"/>
          <w:sz w:val="24"/>
          <w:szCs w:val="24"/>
        </w:rPr>
        <w:t>北京市西城区闹市口大街</w:t>
      </w:r>
      <w:r>
        <w:rPr>
          <w:rFonts w:ascii="宋体" w:eastAsia="宋体" w:hAnsi="宋体" w:cs="Arial" w:hint="eastAsia"/>
          <w:sz w:val="24"/>
          <w:szCs w:val="24"/>
        </w:rPr>
        <w:t>1</w:t>
      </w:r>
      <w:r>
        <w:rPr>
          <w:rFonts w:ascii="宋体" w:eastAsia="宋体" w:hAnsi="宋体" w:cs="微软雅黑" w:hint="eastAsia"/>
          <w:sz w:val="24"/>
          <w:szCs w:val="24"/>
        </w:rPr>
        <w:t>号院</w:t>
      </w:r>
      <w:r>
        <w:rPr>
          <w:rFonts w:ascii="宋体" w:eastAsia="宋体" w:hAnsi="宋体" w:cs="Arial" w:hint="eastAsia"/>
          <w:sz w:val="24"/>
          <w:szCs w:val="24"/>
        </w:rPr>
        <w:t>1</w:t>
      </w:r>
      <w:r>
        <w:rPr>
          <w:rFonts w:ascii="宋体" w:eastAsia="宋体" w:hAnsi="宋体" w:cs="微软雅黑" w:hint="eastAsia"/>
          <w:sz w:val="24"/>
          <w:szCs w:val="24"/>
        </w:rPr>
        <w:t>号楼</w:t>
      </w:r>
    </w:p>
    <w:p w14:paraId="0371DA69"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邮政编码</w:t>
      </w:r>
      <w:r>
        <w:rPr>
          <w:rFonts w:ascii="宋体" w:eastAsia="宋体" w:hAnsi="宋体" w:cs="Malgun Gothic Semilight" w:hint="eastAsia"/>
          <w:sz w:val="24"/>
          <w:szCs w:val="24"/>
        </w:rPr>
        <w:t>：</w:t>
      </w:r>
      <w:r>
        <w:rPr>
          <w:rFonts w:ascii="宋体" w:eastAsia="宋体" w:hAnsi="宋体" w:cs="Arial" w:hint="eastAsia"/>
          <w:sz w:val="24"/>
          <w:szCs w:val="24"/>
        </w:rPr>
        <w:t>100033</w:t>
      </w:r>
    </w:p>
    <w:p w14:paraId="41D4A584"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法定代表人</w:t>
      </w:r>
      <w:r>
        <w:rPr>
          <w:rFonts w:ascii="宋体" w:eastAsia="宋体" w:hAnsi="宋体" w:cs="Malgun Gothic Semilight" w:hint="eastAsia"/>
          <w:sz w:val="24"/>
          <w:szCs w:val="24"/>
        </w:rPr>
        <w:t>：</w:t>
      </w:r>
      <w:r>
        <w:rPr>
          <w:rFonts w:ascii="宋体" w:eastAsia="宋体" w:hAnsi="宋体" w:cs="微软雅黑" w:hint="eastAsia"/>
          <w:sz w:val="24"/>
          <w:szCs w:val="24"/>
        </w:rPr>
        <w:t>张金良</w:t>
      </w:r>
    </w:p>
    <w:p w14:paraId="15DE9BB6"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成立日期</w:t>
      </w:r>
      <w:r>
        <w:rPr>
          <w:rFonts w:ascii="宋体" w:eastAsia="宋体" w:hAnsi="宋体" w:cs="Malgun Gothic Semilight" w:hint="eastAsia"/>
          <w:sz w:val="24"/>
          <w:szCs w:val="24"/>
        </w:rPr>
        <w:t>：</w:t>
      </w:r>
      <w:r>
        <w:rPr>
          <w:rFonts w:ascii="宋体" w:eastAsia="宋体" w:hAnsi="宋体" w:cs="Arial" w:hint="eastAsia"/>
          <w:sz w:val="24"/>
          <w:szCs w:val="24"/>
        </w:rPr>
        <w:t>2004</w:t>
      </w:r>
      <w:r>
        <w:rPr>
          <w:rFonts w:ascii="宋体" w:eastAsia="宋体" w:hAnsi="宋体" w:cs="微软雅黑" w:hint="eastAsia"/>
          <w:sz w:val="24"/>
          <w:szCs w:val="24"/>
        </w:rPr>
        <w:t>年</w:t>
      </w:r>
      <w:r>
        <w:rPr>
          <w:rFonts w:ascii="宋体" w:eastAsia="宋体" w:hAnsi="宋体" w:cs="Arial" w:hint="eastAsia"/>
          <w:sz w:val="24"/>
          <w:szCs w:val="24"/>
        </w:rPr>
        <w:t>09</w:t>
      </w:r>
      <w:r>
        <w:rPr>
          <w:rFonts w:ascii="宋体" w:eastAsia="宋体" w:hAnsi="宋体" w:cs="微软雅黑" w:hint="eastAsia"/>
          <w:sz w:val="24"/>
          <w:szCs w:val="24"/>
        </w:rPr>
        <w:t>月</w:t>
      </w:r>
      <w:r>
        <w:rPr>
          <w:rFonts w:ascii="宋体" w:eastAsia="宋体" w:hAnsi="宋体" w:cs="Arial" w:hint="eastAsia"/>
          <w:sz w:val="24"/>
          <w:szCs w:val="24"/>
        </w:rPr>
        <w:t>17</w:t>
      </w:r>
      <w:r>
        <w:rPr>
          <w:rFonts w:ascii="宋体" w:eastAsia="宋体" w:hAnsi="宋体" w:cs="微软雅黑" w:hint="eastAsia"/>
          <w:sz w:val="24"/>
          <w:szCs w:val="24"/>
        </w:rPr>
        <w:t>日</w:t>
      </w:r>
    </w:p>
    <w:p w14:paraId="18085808"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基金托管业务批准文号</w:t>
      </w:r>
      <w:r>
        <w:rPr>
          <w:rFonts w:ascii="宋体" w:eastAsia="宋体" w:hAnsi="宋体" w:cs="Malgun Gothic Semilight" w:hint="eastAsia"/>
          <w:sz w:val="24"/>
          <w:szCs w:val="24"/>
        </w:rPr>
        <w:t>：</w:t>
      </w:r>
      <w:r>
        <w:rPr>
          <w:rFonts w:ascii="宋体" w:eastAsia="宋体" w:hAnsi="宋体" w:cs="微软雅黑" w:hint="eastAsia"/>
          <w:sz w:val="24"/>
          <w:szCs w:val="24"/>
        </w:rPr>
        <w:t>中国证监会</w:t>
      </w:r>
      <w:proofErr w:type="gramStart"/>
      <w:r>
        <w:rPr>
          <w:rFonts w:ascii="宋体" w:eastAsia="宋体" w:hAnsi="宋体" w:cs="微软雅黑" w:hint="eastAsia"/>
          <w:sz w:val="24"/>
          <w:szCs w:val="24"/>
        </w:rPr>
        <w:t>证监基字</w:t>
      </w:r>
      <w:proofErr w:type="gramEnd"/>
      <w:r>
        <w:rPr>
          <w:rFonts w:ascii="宋体" w:eastAsia="宋体" w:hAnsi="宋体" w:cs="Arial" w:hint="eastAsia"/>
          <w:sz w:val="24"/>
          <w:szCs w:val="24"/>
        </w:rPr>
        <w:t>[1998</w:t>
      </w:r>
      <w:bookmarkStart w:id="4" w:name="OLE_LINK3"/>
      <w:r>
        <w:rPr>
          <w:rFonts w:ascii="宋体" w:eastAsia="宋体" w:hAnsi="宋体" w:cs="Arial" w:hint="eastAsia"/>
          <w:sz w:val="24"/>
          <w:szCs w:val="24"/>
        </w:rPr>
        <w:t>]</w:t>
      </w:r>
      <w:bookmarkEnd w:id="4"/>
      <w:r>
        <w:rPr>
          <w:rFonts w:ascii="宋体" w:eastAsia="宋体" w:hAnsi="宋体" w:cs="Arial" w:hint="eastAsia"/>
          <w:sz w:val="24"/>
          <w:szCs w:val="24"/>
        </w:rPr>
        <w:t>12</w:t>
      </w:r>
      <w:r>
        <w:rPr>
          <w:rFonts w:ascii="宋体" w:eastAsia="宋体" w:hAnsi="宋体" w:cs="微软雅黑" w:hint="eastAsia"/>
          <w:sz w:val="24"/>
          <w:szCs w:val="24"/>
        </w:rPr>
        <w:t>号</w:t>
      </w:r>
    </w:p>
    <w:p w14:paraId="1325E641"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组织形式</w:t>
      </w:r>
      <w:r>
        <w:rPr>
          <w:rFonts w:ascii="宋体" w:eastAsia="宋体" w:hAnsi="宋体" w:cs="Malgun Gothic Semilight" w:hint="eastAsia"/>
          <w:sz w:val="24"/>
          <w:szCs w:val="24"/>
        </w:rPr>
        <w:t>：</w:t>
      </w:r>
      <w:r>
        <w:rPr>
          <w:rFonts w:ascii="宋体" w:eastAsia="宋体" w:hAnsi="宋体" w:cs="微软雅黑" w:hint="eastAsia"/>
          <w:sz w:val="24"/>
          <w:szCs w:val="24"/>
        </w:rPr>
        <w:t>股份有限公司</w:t>
      </w:r>
    </w:p>
    <w:p w14:paraId="2FFEF9B2"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注册资本</w:t>
      </w:r>
      <w:r>
        <w:rPr>
          <w:rFonts w:ascii="宋体" w:eastAsia="宋体" w:hAnsi="宋体" w:cs="Malgun Gothic Semilight" w:hint="eastAsia"/>
          <w:sz w:val="24"/>
          <w:szCs w:val="24"/>
        </w:rPr>
        <w:t>：</w:t>
      </w:r>
      <w:proofErr w:type="gramStart"/>
      <w:r>
        <w:rPr>
          <w:rFonts w:ascii="宋体" w:eastAsia="宋体" w:hAnsi="宋体" w:cs="Malgun Gothic Semilight" w:hint="eastAsia"/>
          <w:sz w:val="24"/>
          <w:szCs w:val="24"/>
        </w:rPr>
        <w:t>贰仟陆佰壹拾陆亿零叁拾捌万壹仟肆佰伍拾玖</w:t>
      </w:r>
      <w:proofErr w:type="gramEnd"/>
      <w:r>
        <w:rPr>
          <w:rFonts w:ascii="宋体" w:eastAsia="宋体" w:hAnsi="宋体" w:cs="Malgun Gothic Semilight" w:hint="eastAsia"/>
          <w:sz w:val="24"/>
          <w:szCs w:val="24"/>
        </w:rPr>
        <w:t>元整</w:t>
      </w:r>
    </w:p>
    <w:p w14:paraId="63BDF056"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存续期间</w:t>
      </w:r>
      <w:r>
        <w:rPr>
          <w:rFonts w:ascii="宋体" w:eastAsia="宋体" w:hAnsi="宋体" w:cs="Malgun Gothic Semilight" w:hint="eastAsia"/>
          <w:sz w:val="24"/>
          <w:szCs w:val="24"/>
        </w:rPr>
        <w:t>：</w:t>
      </w:r>
      <w:r>
        <w:rPr>
          <w:rFonts w:ascii="宋体" w:eastAsia="宋体" w:hAnsi="宋体" w:cs="微软雅黑" w:hint="eastAsia"/>
          <w:sz w:val="24"/>
          <w:szCs w:val="24"/>
        </w:rPr>
        <w:t>持续经营</w:t>
      </w:r>
    </w:p>
    <w:p w14:paraId="08BA08CF" w14:textId="77777777" w:rsidR="00F012EE" w:rsidRDefault="00477FBC">
      <w:pPr>
        <w:tabs>
          <w:tab w:val="left" w:pos="540"/>
        </w:tabs>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经营范围</w:t>
      </w:r>
      <w:r>
        <w:rPr>
          <w:rFonts w:ascii="宋体" w:eastAsia="宋体" w:hAnsi="宋体" w:cs="Malgun Gothic Semilight" w:hint="eastAsia"/>
          <w:sz w:val="24"/>
          <w:szCs w:val="24"/>
        </w:rPr>
        <w:t>：</w:t>
      </w:r>
      <w:r>
        <w:rPr>
          <w:rFonts w:ascii="宋体" w:eastAsia="宋体" w:hAnsi="宋体" w:cs="微软雅黑" w:hint="eastAsia"/>
          <w:sz w:val="24"/>
          <w:szCs w:val="24"/>
        </w:rPr>
        <w:t>吸收公众存款</w:t>
      </w:r>
      <w:r>
        <w:rPr>
          <w:rFonts w:ascii="宋体" w:eastAsia="宋体" w:hAnsi="宋体" w:cs="Malgun Gothic Semilight" w:hint="eastAsia"/>
          <w:sz w:val="24"/>
          <w:szCs w:val="24"/>
        </w:rPr>
        <w:t>；</w:t>
      </w:r>
      <w:r>
        <w:rPr>
          <w:rFonts w:ascii="宋体" w:eastAsia="宋体" w:hAnsi="宋体" w:cs="微软雅黑" w:hint="eastAsia"/>
          <w:sz w:val="24"/>
          <w:szCs w:val="24"/>
        </w:rPr>
        <w:t>发放短期</w:t>
      </w:r>
      <w:r>
        <w:rPr>
          <w:rFonts w:ascii="宋体" w:eastAsia="宋体" w:hAnsi="宋体" w:cs="Malgun Gothic Semilight" w:hint="eastAsia"/>
          <w:sz w:val="24"/>
          <w:szCs w:val="24"/>
        </w:rPr>
        <w:t>、</w:t>
      </w:r>
      <w:r>
        <w:rPr>
          <w:rFonts w:ascii="宋体" w:eastAsia="宋体" w:hAnsi="宋体" w:cs="微软雅黑" w:hint="eastAsia"/>
          <w:sz w:val="24"/>
          <w:szCs w:val="24"/>
        </w:rPr>
        <w:t>中期</w:t>
      </w:r>
      <w:r>
        <w:rPr>
          <w:rFonts w:ascii="宋体" w:eastAsia="宋体" w:hAnsi="宋体" w:cs="Malgun Gothic Semilight" w:hint="eastAsia"/>
          <w:sz w:val="24"/>
          <w:szCs w:val="24"/>
        </w:rPr>
        <w:t>、</w:t>
      </w:r>
      <w:r>
        <w:rPr>
          <w:rFonts w:ascii="宋体" w:eastAsia="宋体" w:hAnsi="宋体" w:cs="微软雅黑" w:hint="eastAsia"/>
          <w:sz w:val="24"/>
          <w:szCs w:val="24"/>
        </w:rPr>
        <w:t>长期贷款</w:t>
      </w:r>
      <w:r>
        <w:rPr>
          <w:rFonts w:ascii="宋体" w:eastAsia="宋体" w:hAnsi="宋体" w:cs="Malgun Gothic Semilight" w:hint="eastAsia"/>
          <w:sz w:val="24"/>
          <w:szCs w:val="24"/>
        </w:rPr>
        <w:t>；</w:t>
      </w:r>
      <w:r>
        <w:rPr>
          <w:rFonts w:ascii="宋体" w:eastAsia="宋体" w:hAnsi="宋体" w:cs="微软雅黑" w:hint="eastAsia"/>
          <w:sz w:val="24"/>
          <w:szCs w:val="24"/>
        </w:rPr>
        <w:t>办理国内外结算</w:t>
      </w:r>
      <w:r>
        <w:rPr>
          <w:rFonts w:ascii="宋体" w:eastAsia="宋体" w:hAnsi="宋体" w:cs="Malgun Gothic Semilight" w:hint="eastAsia"/>
          <w:sz w:val="24"/>
          <w:szCs w:val="24"/>
        </w:rPr>
        <w:t>；</w:t>
      </w:r>
      <w:r>
        <w:rPr>
          <w:rFonts w:ascii="宋体" w:eastAsia="宋体" w:hAnsi="宋体" w:cs="微软雅黑" w:hint="eastAsia"/>
          <w:sz w:val="24"/>
          <w:szCs w:val="24"/>
        </w:rPr>
        <w:t>办理票据承兑与贴现</w:t>
      </w:r>
      <w:r>
        <w:rPr>
          <w:rFonts w:ascii="宋体" w:eastAsia="宋体" w:hAnsi="宋体" w:cs="Malgun Gothic Semilight" w:hint="eastAsia"/>
          <w:sz w:val="24"/>
          <w:szCs w:val="24"/>
        </w:rPr>
        <w:t>；</w:t>
      </w:r>
      <w:r>
        <w:rPr>
          <w:rFonts w:ascii="宋体" w:eastAsia="宋体" w:hAnsi="宋体" w:cs="微软雅黑" w:hint="eastAsia"/>
          <w:sz w:val="24"/>
          <w:szCs w:val="24"/>
        </w:rPr>
        <w:t>发行金融债券</w:t>
      </w:r>
      <w:r>
        <w:rPr>
          <w:rFonts w:ascii="宋体" w:eastAsia="宋体" w:hAnsi="宋体" w:cs="Malgun Gothic Semilight" w:hint="eastAsia"/>
          <w:sz w:val="24"/>
          <w:szCs w:val="24"/>
        </w:rPr>
        <w:t>；</w:t>
      </w:r>
      <w:r>
        <w:rPr>
          <w:rFonts w:ascii="宋体" w:eastAsia="宋体" w:hAnsi="宋体" w:cs="微软雅黑" w:hint="eastAsia"/>
          <w:sz w:val="24"/>
          <w:szCs w:val="24"/>
        </w:rPr>
        <w:t>代理发行</w:t>
      </w:r>
      <w:r>
        <w:rPr>
          <w:rFonts w:ascii="宋体" w:eastAsia="宋体" w:hAnsi="宋体" w:cs="Malgun Gothic Semilight" w:hint="eastAsia"/>
          <w:sz w:val="24"/>
          <w:szCs w:val="24"/>
        </w:rPr>
        <w:t>、</w:t>
      </w:r>
      <w:r>
        <w:rPr>
          <w:rFonts w:ascii="宋体" w:eastAsia="宋体" w:hAnsi="宋体" w:cs="微软雅黑" w:hint="eastAsia"/>
          <w:sz w:val="24"/>
          <w:szCs w:val="24"/>
        </w:rPr>
        <w:t>代理兑付</w:t>
      </w:r>
      <w:r>
        <w:rPr>
          <w:rFonts w:ascii="宋体" w:eastAsia="宋体" w:hAnsi="宋体" w:cs="Malgun Gothic Semilight" w:hint="eastAsia"/>
          <w:sz w:val="24"/>
          <w:szCs w:val="24"/>
        </w:rPr>
        <w:t>、</w:t>
      </w:r>
      <w:r>
        <w:rPr>
          <w:rFonts w:ascii="宋体" w:eastAsia="宋体" w:hAnsi="宋体" w:cs="微软雅黑" w:hint="eastAsia"/>
          <w:sz w:val="24"/>
          <w:szCs w:val="24"/>
        </w:rPr>
        <w:t>承销政府债券</w:t>
      </w:r>
      <w:r>
        <w:rPr>
          <w:rFonts w:ascii="宋体" w:eastAsia="宋体" w:hAnsi="宋体" w:cs="Malgun Gothic Semilight" w:hint="eastAsia"/>
          <w:sz w:val="24"/>
          <w:szCs w:val="24"/>
        </w:rPr>
        <w:t>；</w:t>
      </w:r>
      <w:r>
        <w:rPr>
          <w:rFonts w:ascii="宋体" w:eastAsia="宋体" w:hAnsi="宋体" w:cs="微软雅黑" w:hint="eastAsia"/>
          <w:sz w:val="24"/>
          <w:szCs w:val="24"/>
        </w:rPr>
        <w:t>买卖政府债券</w:t>
      </w:r>
      <w:r>
        <w:rPr>
          <w:rFonts w:ascii="宋体" w:eastAsia="宋体" w:hAnsi="宋体" w:cs="Malgun Gothic Semilight" w:hint="eastAsia"/>
          <w:sz w:val="24"/>
          <w:szCs w:val="24"/>
        </w:rPr>
        <w:t>、</w:t>
      </w:r>
      <w:r>
        <w:rPr>
          <w:rFonts w:ascii="宋体" w:eastAsia="宋体" w:hAnsi="宋体" w:cs="微软雅黑" w:hint="eastAsia"/>
          <w:sz w:val="24"/>
          <w:szCs w:val="24"/>
        </w:rPr>
        <w:t>金融债券</w:t>
      </w:r>
      <w:r>
        <w:rPr>
          <w:rFonts w:ascii="宋体" w:eastAsia="宋体" w:hAnsi="宋体" w:cs="Malgun Gothic Semilight" w:hint="eastAsia"/>
          <w:sz w:val="24"/>
          <w:szCs w:val="24"/>
        </w:rPr>
        <w:t>；</w:t>
      </w:r>
      <w:r>
        <w:rPr>
          <w:rFonts w:ascii="宋体" w:eastAsia="宋体" w:hAnsi="宋体" w:cs="微软雅黑" w:hint="eastAsia"/>
          <w:sz w:val="24"/>
          <w:szCs w:val="24"/>
        </w:rPr>
        <w:t>从事同业拆借</w:t>
      </w:r>
      <w:r>
        <w:rPr>
          <w:rFonts w:ascii="宋体" w:eastAsia="宋体" w:hAnsi="宋体" w:cs="Malgun Gothic Semilight" w:hint="eastAsia"/>
          <w:sz w:val="24"/>
          <w:szCs w:val="24"/>
        </w:rPr>
        <w:t>；</w:t>
      </w:r>
      <w:r>
        <w:rPr>
          <w:rFonts w:ascii="宋体" w:eastAsia="宋体" w:hAnsi="宋体" w:cs="微软雅黑" w:hint="eastAsia"/>
          <w:sz w:val="24"/>
          <w:szCs w:val="24"/>
        </w:rPr>
        <w:t>买卖</w:t>
      </w:r>
      <w:r>
        <w:rPr>
          <w:rFonts w:ascii="宋体" w:eastAsia="宋体" w:hAnsi="宋体" w:cs="Malgun Gothic Semilight" w:hint="eastAsia"/>
          <w:sz w:val="24"/>
          <w:szCs w:val="24"/>
        </w:rPr>
        <w:t>、</w:t>
      </w:r>
      <w:r>
        <w:rPr>
          <w:rFonts w:ascii="宋体" w:eastAsia="宋体" w:hAnsi="宋体" w:cs="微软雅黑" w:hint="eastAsia"/>
          <w:sz w:val="24"/>
          <w:szCs w:val="24"/>
        </w:rPr>
        <w:t>代理买卖外汇</w:t>
      </w:r>
      <w:r>
        <w:rPr>
          <w:rFonts w:ascii="宋体" w:eastAsia="宋体" w:hAnsi="宋体" w:cs="Malgun Gothic Semilight" w:hint="eastAsia"/>
          <w:sz w:val="24"/>
          <w:szCs w:val="24"/>
        </w:rPr>
        <w:t>；</w:t>
      </w:r>
      <w:r>
        <w:rPr>
          <w:rFonts w:ascii="宋体" w:eastAsia="宋体" w:hAnsi="宋体" w:cs="微软雅黑" w:hint="eastAsia"/>
          <w:sz w:val="24"/>
          <w:szCs w:val="24"/>
        </w:rPr>
        <w:t>从事银行卡业务</w:t>
      </w:r>
      <w:r>
        <w:rPr>
          <w:rFonts w:ascii="宋体" w:eastAsia="宋体" w:hAnsi="宋体" w:cs="Malgun Gothic Semilight" w:hint="eastAsia"/>
          <w:sz w:val="24"/>
          <w:szCs w:val="24"/>
        </w:rPr>
        <w:t>；</w:t>
      </w:r>
      <w:r>
        <w:rPr>
          <w:rFonts w:ascii="宋体" w:eastAsia="宋体" w:hAnsi="宋体" w:cs="微软雅黑" w:hint="eastAsia"/>
          <w:sz w:val="24"/>
          <w:szCs w:val="24"/>
        </w:rPr>
        <w:t>提供信用证服务及担保</w:t>
      </w:r>
      <w:r>
        <w:rPr>
          <w:rFonts w:ascii="宋体" w:eastAsia="宋体" w:hAnsi="宋体" w:cs="Malgun Gothic Semilight" w:hint="eastAsia"/>
          <w:sz w:val="24"/>
          <w:szCs w:val="24"/>
        </w:rPr>
        <w:t>；</w:t>
      </w:r>
      <w:r>
        <w:rPr>
          <w:rFonts w:ascii="宋体" w:eastAsia="宋体" w:hAnsi="宋体" w:cs="微软雅黑" w:hint="eastAsia"/>
          <w:sz w:val="24"/>
          <w:szCs w:val="24"/>
        </w:rPr>
        <w:t>代理收付款项及代理保险业务</w:t>
      </w:r>
      <w:r>
        <w:rPr>
          <w:rFonts w:ascii="宋体" w:eastAsia="宋体" w:hAnsi="宋体" w:cs="Malgun Gothic Semilight" w:hint="eastAsia"/>
          <w:sz w:val="24"/>
          <w:szCs w:val="24"/>
        </w:rPr>
        <w:t>；</w:t>
      </w:r>
      <w:r>
        <w:rPr>
          <w:rFonts w:ascii="宋体" w:eastAsia="宋体" w:hAnsi="宋体" w:cs="微软雅黑" w:hint="eastAsia"/>
          <w:sz w:val="24"/>
          <w:szCs w:val="24"/>
        </w:rPr>
        <w:t>提供保管箱服务</w:t>
      </w:r>
      <w:r>
        <w:rPr>
          <w:rFonts w:ascii="宋体" w:eastAsia="宋体" w:hAnsi="宋体" w:cs="Malgun Gothic Semilight" w:hint="eastAsia"/>
          <w:sz w:val="24"/>
          <w:szCs w:val="24"/>
        </w:rPr>
        <w:t>；</w:t>
      </w:r>
      <w:r>
        <w:rPr>
          <w:rFonts w:ascii="宋体" w:eastAsia="宋体" w:hAnsi="宋体" w:cs="微软雅黑" w:hint="eastAsia"/>
          <w:sz w:val="24"/>
          <w:szCs w:val="24"/>
        </w:rPr>
        <w:t>经中国银行</w:t>
      </w:r>
      <w:r>
        <w:rPr>
          <w:rFonts w:ascii="宋体" w:eastAsia="宋体" w:hAnsi="宋体" w:cs="微软雅黑" w:hint="eastAsia"/>
          <w:sz w:val="24"/>
          <w:szCs w:val="24"/>
        </w:rPr>
        <w:lastRenderedPageBreak/>
        <w:t>业监督管理机构等监管部门批准的其他业务</w:t>
      </w:r>
      <w:r>
        <w:rPr>
          <w:rFonts w:ascii="宋体" w:eastAsia="宋体" w:hAnsi="宋体" w:cs="Malgun Gothic Semilight" w:hint="eastAsia"/>
          <w:sz w:val="24"/>
          <w:szCs w:val="24"/>
        </w:rPr>
        <w:t>。</w:t>
      </w:r>
    </w:p>
    <w:p w14:paraId="63F0A073" w14:textId="77777777" w:rsidR="00F012EE" w:rsidRDefault="00F012EE">
      <w:pPr>
        <w:spacing w:line="360" w:lineRule="auto"/>
        <w:rPr>
          <w:rFonts w:ascii="宋体" w:eastAsia="宋体" w:hAnsi="宋体" w:cs="Times New Roman"/>
          <w:sz w:val="24"/>
          <w:szCs w:val="24"/>
        </w:rPr>
      </w:pPr>
    </w:p>
    <w:p w14:paraId="21483EE9" w14:textId="77777777" w:rsidR="00F012EE" w:rsidRDefault="00477FBC">
      <w:pPr>
        <w:keepNext/>
        <w:keepLines/>
        <w:spacing w:before="260" w:after="260" w:line="360" w:lineRule="auto"/>
        <w:jc w:val="center"/>
        <w:outlineLvl w:val="1"/>
        <w:rPr>
          <w:rFonts w:ascii="宋体" w:eastAsia="宋体" w:hAnsi="宋体" w:cs="Times New Roman"/>
          <w:b/>
          <w:sz w:val="30"/>
          <w:szCs w:val="20"/>
        </w:rPr>
      </w:pPr>
      <w:bookmarkStart w:id="5" w:name="_Toc124325886"/>
      <w:r>
        <w:rPr>
          <w:rFonts w:ascii="宋体" w:eastAsia="宋体" w:hAnsi="宋体" w:cs="微软雅黑" w:hint="eastAsia"/>
          <w:b/>
          <w:sz w:val="30"/>
          <w:szCs w:val="20"/>
        </w:rPr>
        <w:t>二</w:t>
      </w:r>
      <w:r>
        <w:rPr>
          <w:rFonts w:ascii="宋体" w:eastAsia="宋体" w:hAnsi="宋体" w:cs="Malgun Gothic Semilight" w:hint="eastAsia"/>
          <w:b/>
          <w:sz w:val="30"/>
          <w:szCs w:val="20"/>
        </w:rPr>
        <w:t>、</w:t>
      </w:r>
      <w:r>
        <w:rPr>
          <w:rFonts w:ascii="宋体" w:eastAsia="宋体" w:hAnsi="宋体" w:cs="微软雅黑" w:hint="eastAsia"/>
          <w:b/>
          <w:sz w:val="30"/>
          <w:szCs w:val="20"/>
        </w:rPr>
        <w:t>基金托管协议的依据</w:t>
      </w:r>
      <w:r>
        <w:rPr>
          <w:rFonts w:ascii="宋体" w:eastAsia="宋体" w:hAnsi="宋体" w:cs="Malgun Gothic Semilight" w:hint="eastAsia"/>
          <w:b/>
          <w:sz w:val="30"/>
          <w:szCs w:val="20"/>
        </w:rPr>
        <w:t>、</w:t>
      </w:r>
      <w:r>
        <w:rPr>
          <w:rFonts w:ascii="宋体" w:eastAsia="宋体" w:hAnsi="宋体" w:cs="微软雅黑" w:hint="eastAsia"/>
          <w:b/>
          <w:sz w:val="30"/>
          <w:szCs w:val="20"/>
        </w:rPr>
        <w:t>目的和原则</w:t>
      </w:r>
      <w:bookmarkEnd w:id="5"/>
    </w:p>
    <w:p w14:paraId="6BA23008"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一</w:t>
      </w:r>
      <w:r>
        <w:rPr>
          <w:rFonts w:ascii="宋体" w:eastAsia="宋体" w:hAnsi="宋体" w:cs="Arial" w:hint="eastAsia"/>
          <w:sz w:val="24"/>
          <w:szCs w:val="24"/>
        </w:rPr>
        <w:t>）</w:t>
      </w:r>
      <w:r>
        <w:rPr>
          <w:rFonts w:ascii="宋体" w:eastAsia="宋体" w:hAnsi="宋体" w:cs="微软雅黑" w:hint="eastAsia"/>
          <w:sz w:val="24"/>
          <w:szCs w:val="24"/>
        </w:rPr>
        <w:t>订立托管协议的依据</w:t>
      </w:r>
    </w:p>
    <w:p w14:paraId="4819965F"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本协议依据</w:t>
      </w:r>
      <w:r>
        <w:rPr>
          <w:rFonts w:ascii="宋体" w:eastAsia="宋体" w:hAnsi="宋体" w:cs="Malgun Gothic Semilight" w:hint="eastAsia"/>
          <w:sz w:val="24"/>
          <w:szCs w:val="24"/>
        </w:rPr>
        <w:t>《</w:t>
      </w:r>
      <w:r>
        <w:rPr>
          <w:rFonts w:ascii="宋体" w:eastAsia="宋体" w:hAnsi="宋体" w:cs="微软雅黑" w:hint="eastAsia"/>
          <w:sz w:val="24"/>
          <w:szCs w:val="24"/>
        </w:rPr>
        <w:t>中华人民共和国证券投资基金法</w:t>
      </w:r>
      <w:r>
        <w:rPr>
          <w:rFonts w:ascii="宋体" w:eastAsia="宋体" w:hAnsi="宋体" w:cs="Malgun Gothic Semilight" w:hint="eastAsia"/>
          <w:sz w:val="24"/>
          <w:szCs w:val="24"/>
        </w:rPr>
        <w:t>》</w:t>
      </w:r>
      <w:r>
        <w:rPr>
          <w:rFonts w:ascii="宋体" w:eastAsia="宋体" w:hAnsi="宋体" w:cs="Arial" w:hint="eastAsia"/>
          <w:sz w:val="24"/>
          <w:szCs w:val="24"/>
        </w:rPr>
        <w:t>（</w:t>
      </w:r>
      <w:r>
        <w:rPr>
          <w:rFonts w:ascii="宋体" w:eastAsia="宋体" w:hAnsi="宋体" w:cs="微软雅黑" w:hint="eastAsia"/>
          <w:sz w:val="24"/>
          <w:szCs w:val="24"/>
        </w:rPr>
        <w:t>以下简称</w:t>
      </w:r>
      <w:r>
        <w:rPr>
          <w:rFonts w:ascii="宋体" w:eastAsia="宋体" w:hAnsi="宋体" w:cs="Malgun Gothic Semilight" w:hint="eastAsia"/>
          <w:sz w:val="24"/>
          <w:szCs w:val="24"/>
        </w:rPr>
        <w:t>“《</w:t>
      </w:r>
      <w:r>
        <w:rPr>
          <w:rFonts w:ascii="宋体" w:eastAsia="宋体" w:hAnsi="宋体" w:cs="微软雅黑" w:hint="eastAsia"/>
          <w:sz w:val="24"/>
          <w:szCs w:val="24"/>
        </w:rPr>
        <w:t>基金法</w:t>
      </w:r>
      <w:r>
        <w:rPr>
          <w:rFonts w:ascii="宋体" w:eastAsia="宋体" w:hAnsi="宋体" w:cs="Malgun Gothic Semilight" w:hint="eastAsia"/>
          <w:sz w:val="24"/>
          <w:szCs w:val="24"/>
        </w:rPr>
        <w:t>》”</w:t>
      </w:r>
      <w:r>
        <w:rPr>
          <w:rFonts w:ascii="宋体" w:eastAsia="宋体" w:hAnsi="宋体" w:cs="Arial" w:hint="eastAsia"/>
          <w:sz w:val="24"/>
          <w:szCs w:val="24"/>
        </w:rPr>
        <w:t>）、</w:t>
      </w:r>
      <w:r>
        <w:rPr>
          <w:rFonts w:ascii="宋体" w:eastAsia="宋体" w:hAnsi="宋体" w:cs="Malgun Gothic Semilight" w:hint="eastAsia"/>
          <w:sz w:val="24"/>
          <w:szCs w:val="24"/>
        </w:rPr>
        <w:t>《公开募集证券投资基金</w:t>
      </w:r>
      <w:r>
        <w:rPr>
          <w:rFonts w:ascii="宋体" w:eastAsia="宋体" w:hAnsi="宋体" w:cs="微软雅黑" w:hint="eastAsia"/>
          <w:sz w:val="24"/>
          <w:szCs w:val="24"/>
        </w:rPr>
        <w:t>信息披露管理办法</w:t>
      </w:r>
      <w:r>
        <w:rPr>
          <w:rFonts w:ascii="宋体" w:eastAsia="宋体" w:hAnsi="宋体" w:cs="Malgun Gothic Semilight" w:hint="eastAsia"/>
          <w:sz w:val="24"/>
          <w:szCs w:val="24"/>
        </w:rPr>
        <w:t>》（以下简称“《信息披露办法》”）、</w:t>
      </w:r>
      <w:r>
        <w:rPr>
          <w:rFonts w:ascii="宋体" w:eastAsia="宋体" w:hAnsi="宋体" w:cs="微软雅黑" w:hint="eastAsia"/>
          <w:sz w:val="24"/>
          <w:szCs w:val="24"/>
        </w:rPr>
        <w:t>《</w:t>
      </w:r>
      <w:r>
        <w:rPr>
          <w:rFonts w:ascii="宋体" w:eastAsia="宋体" w:hAnsi="宋体" w:cs="微软雅黑"/>
          <w:sz w:val="24"/>
          <w:szCs w:val="24"/>
        </w:rPr>
        <w:t>公开募集开放式证券投资基金</w:t>
      </w:r>
      <w:r>
        <w:rPr>
          <w:rFonts w:ascii="宋体" w:eastAsia="宋体" w:hAnsi="宋体" w:cs="微软雅黑" w:hint="eastAsia"/>
          <w:sz w:val="24"/>
          <w:szCs w:val="24"/>
        </w:rPr>
        <w:t>流动性风险管理规定》（以下简称“《流动性风险管理规定》”）等有关法律法规</w:t>
      </w:r>
      <w:r>
        <w:rPr>
          <w:rFonts w:ascii="宋体" w:eastAsia="宋体" w:hAnsi="宋体" w:cs="Malgun Gothic Semilight"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及其他有关规定制订</w:t>
      </w:r>
      <w:r>
        <w:rPr>
          <w:rFonts w:ascii="宋体" w:eastAsia="宋体" w:hAnsi="宋体" w:cs="Malgun Gothic Semilight" w:hint="eastAsia"/>
          <w:sz w:val="24"/>
          <w:szCs w:val="24"/>
        </w:rPr>
        <w:t>。</w:t>
      </w:r>
    </w:p>
    <w:p w14:paraId="18AA90E8"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二</w:t>
      </w:r>
      <w:r>
        <w:rPr>
          <w:rFonts w:ascii="宋体" w:eastAsia="宋体" w:hAnsi="宋体" w:cs="Malgun Gothic Semilight" w:hint="eastAsia"/>
          <w:sz w:val="24"/>
          <w:szCs w:val="24"/>
        </w:rPr>
        <w:t>）</w:t>
      </w:r>
      <w:r>
        <w:rPr>
          <w:rFonts w:ascii="宋体" w:eastAsia="宋体" w:hAnsi="宋体" w:cs="微软雅黑" w:hint="eastAsia"/>
          <w:sz w:val="24"/>
          <w:szCs w:val="24"/>
        </w:rPr>
        <w:t>订立托管协议的目的</w:t>
      </w:r>
    </w:p>
    <w:p w14:paraId="6285D850" w14:textId="77777777" w:rsidR="00F012EE" w:rsidRDefault="00477FBC">
      <w:pPr>
        <w:adjustRightInd w:val="0"/>
        <w:snapToGrid w:val="0"/>
        <w:spacing w:line="360" w:lineRule="auto"/>
        <w:ind w:firstLineChars="200" w:firstLine="480"/>
        <w:rPr>
          <w:rFonts w:ascii="宋体" w:eastAsia="宋体" w:hAnsi="宋体" w:cs="Times New Roman"/>
          <w:sz w:val="24"/>
          <w:szCs w:val="30"/>
        </w:rPr>
      </w:pPr>
      <w:r>
        <w:rPr>
          <w:rFonts w:ascii="宋体" w:eastAsia="宋体" w:hAnsi="宋体" w:cs="微软雅黑" w:hint="eastAsia"/>
          <w:sz w:val="24"/>
          <w:szCs w:val="24"/>
        </w:rPr>
        <w:t>订立本协议的目的是明确基金管理人与基金托管人之间在基金财产的保管</w:t>
      </w:r>
      <w:r>
        <w:rPr>
          <w:rFonts w:ascii="宋体" w:eastAsia="宋体" w:hAnsi="宋体" w:cs="Malgun Gothic Semilight" w:hint="eastAsia"/>
          <w:sz w:val="24"/>
          <w:szCs w:val="24"/>
        </w:rPr>
        <w:t>、</w:t>
      </w:r>
      <w:r>
        <w:rPr>
          <w:rFonts w:ascii="宋体" w:eastAsia="宋体" w:hAnsi="宋体" w:cs="微软雅黑" w:hint="eastAsia"/>
          <w:sz w:val="24"/>
          <w:szCs w:val="24"/>
        </w:rPr>
        <w:t>投资运作</w:t>
      </w:r>
      <w:r>
        <w:rPr>
          <w:rFonts w:ascii="宋体" w:eastAsia="宋体" w:hAnsi="宋体" w:cs="Malgun Gothic Semilight" w:hint="eastAsia"/>
          <w:sz w:val="24"/>
          <w:szCs w:val="24"/>
        </w:rPr>
        <w:t>、</w:t>
      </w:r>
      <w:r>
        <w:rPr>
          <w:rFonts w:ascii="宋体" w:eastAsia="宋体" w:hAnsi="宋体" w:cs="微软雅黑" w:hint="eastAsia"/>
          <w:sz w:val="24"/>
          <w:szCs w:val="24"/>
        </w:rPr>
        <w:t>净值计算</w:t>
      </w:r>
      <w:r>
        <w:rPr>
          <w:rFonts w:ascii="宋体" w:eastAsia="宋体" w:hAnsi="宋体" w:cs="Malgun Gothic Semilight" w:hint="eastAsia"/>
          <w:sz w:val="24"/>
          <w:szCs w:val="24"/>
        </w:rPr>
        <w:t>、</w:t>
      </w:r>
      <w:r>
        <w:rPr>
          <w:rFonts w:ascii="宋体" w:eastAsia="宋体" w:hAnsi="宋体" w:cs="微软雅黑" w:hint="eastAsia"/>
          <w:sz w:val="24"/>
          <w:szCs w:val="24"/>
        </w:rPr>
        <w:t>收益分配</w:t>
      </w:r>
      <w:r>
        <w:rPr>
          <w:rFonts w:ascii="宋体" w:eastAsia="宋体" w:hAnsi="宋体" w:cs="Malgun Gothic Semilight" w:hint="eastAsia"/>
          <w:sz w:val="24"/>
          <w:szCs w:val="24"/>
        </w:rPr>
        <w:t>、</w:t>
      </w:r>
      <w:r>
        <w:rPr>
          <w:rFonts w:ascii="宋体" w:eastAsia="宋体" w:hAnsi="宋体" w:cs="微软雅黑" w:hint="eastAsia"/>
          <w:sz w:val="24"/>
          <w:szCs w:val="24"/>
        </w:rPr>
        <w:t>信息披露及相互监督等相关事宜中的权利义务及职责</w:t>
      </w:r>
      <w:r>
        <w:rPr>
          <w:rFonts w:ascii="宋体" w:eastAsia="宋体" w:hAnsi="宋体" w:cs="Malgun Gothic Semilight" w:hint="eastAsia"/>
          <w:sz w:val="24"/>
          <w:szCs w:val="24"/>
        </w:rPr>
        <w:t>，</w:t>
      </w:r>
      <w:r>
        <w:rPr>
          <w:rFonts w:ascii="宋体" w:eastAsia="宋体" w:hAnsi="宋体" w:cs="微软雅黑" w:hint="eastAsia"/>
          <w:sz w:val="24"/>
          <w:szCs w:val="24"/>
        </w:rPr>
        <w:t>确保基金财产的安全</w:t>
      </w:r>
      <w:r>
        <w:rPr>
          <w:rFonts w:ascii="宋体" w:eastAsia="宋体" w:hAnsi="宋体" w:cs="Malgun Gothic Semilight" w:hint="eastAsia"/>
          <w:sz w:val="24"/>
          <w:szCs w:val="24"/>
        </w:rPr>
        <w:t>，</w:t>
      </w:r>
      <w:r>
        <w:rPr>
          <w:rFonts w:ascii="宋体" w:eastAsia="宋体" w:hAnsi="宋体" w:cs="微软雅黑" w:hint="eastAsia"/>
          <w:sz w:val="24"/>
          <w:szCs w:val="24"/>
        </w:rPr>
        <w:t>保护基金份额持有人的合法权益</w:t>
      </w:r>
      <w:r>
        <w:rPr>
          <w:rFonts w:ascii="宋体" w:eastAsia="宋体" w:hAnsi="宋体" w:cs="Malgun Gothic Semilight" w:hint="eastAsia"/>
          <w:sz w:val="24"/>
          <w:szCs w:val="24"/>
        </w:rPr>
        <w:t>。</w:t>
      </w:r>
    </w:p>
    <w:p w14:paraId="43C87291"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三</w:t>
      </w:r>
      <w:r>
        <w:rPr>
          <w:rFonts w:ascii="宋体" w:eastAsia="宋体" w:hAnsi="宋体" w:cs="Malgun Gothic Semilight" w:hint="eastAsia"/>
          <w:sz w:val="24"/>
          <w:szCs w:val="24"/>
        </w:rPr>
        <w:t>）</w:t>
      </w:r>
      <w:r>
        <w:rPr>
          <w:rFonts w:ascii="宋体" w:eastAsia="宋体" w:hAnsi="宋体" w:cs="微软雅黑" w:hint="eastAsia"/>
          <w:sz w:val="24"/>
          <w:szCs w:val="24"/>
        </w:rPr>
        <w:t>订立托管协议的原则</w:t>
      </w:r>
    </w:p>
    <w:p w14:paraId="7BE00807"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基金管理人和基金托管人本着平等自愿</w:t>
      </w:r>
      <w:r>
        <w:rPr>
          <w:rFonts w:ascii="宋体" w:eastAsia="宋体" w:hAnsi="宋体" w:cs="Malgun Gothic Semilight" w:hint="eastAsia"/>
          <w:sz w:val="24"/>
          <w:szCs w:val="24"/>
        </w:rPr>
        <w:t>、</w:t>
      </w:r>
      <w:r>
        <w:rPr>
          <w:rFonts w:ascii="宋体" w:eastAsia="宋体" w:hAnsi="宋体" w:cs="微软雅黑" w:hint="eastAsia"/>
          <w:sz w:val="24"/>
          <w:szCs w:val="24"/>
        </w:rPr>
        <w:t>诚实信用</w:t>
      </w:r>
      <w:r>
        <w:rPr>
          <w:rFonts w:ascii="宋体" w:eastAsia="宋体" w:hAnsi="宋体" w:cs="Malgun Gothic Semilight" w:hint="eastAsia"/>
          <w:sz w:val="24"/>
          <w:szCs w:val="24"/>
        </w:rPr>
        <w:t>、</w:t>
      </w:r>
      <w:r>
        <w:rPr>
          <w:rFonts w:ascii="宋体" w:eastAsia="宋体" w:hAnsi="宋体" w:cs="微软雅黑" w:hint="eastAsia"/>
          <w:sz w:val="24"/>
          <w:szCs w:val="24"/>
        </w:rPr>
        <w:t>充分保护基金份额持有人合法权益的原则</w:t>
      </w:r>
      <w:r>
        <w:rPr>
          <w:rFonts w:ascii="宋体" w:eastAsia="宋体" w:hAnsi="宋体" w:cs="Malgun Gothic Semilight" w:hint="eastAsia"/>
          <w:sz w:val="24"/>
          <w:szCs w:val="24"/>
        </w:rPr>
        <w:t>，</w:t>
      </w:r>
      <w:r>
        <w:rPr>
          <w:rFonts w:ascii="宋体" w:eastAsia="宋体" w:hAnsi="宋体" w:cs="微软雅黑" w:hint="eastAsia"/>
          <w:sz w:val="24"/>
          <w:szCs w:val="24"/>
        </w:rPr>
        <w:t>经协商一致</w:t>
      </w:r>
      <w:r>
        <w:rPr>
          <w:rFonts w:ascii="宋体" w:eastAsia="宋体" w:hAnsi="宋体" w:cs="Malgun Gothic Semilight" w:hint="eastAsia"/>
          <w:sz w:val="24"/>
          <w:szCs w:val="24"/>
        </w:rPr>
        <w:t>，</w:t>
      </w:r>
      <w:r>
        <w:rPr>
          <w:rFonts w:ascii="宋体" w:eastAsia="宋体" w:hAnsi="宋体" w:cs="微软雅黑" w:hint="eastAsia"/>
          <w:sz w:val="24"/>
          <w:szCs w:val="24"/>
        </w:rPr>
        <w:t>签订本协议</w:t>
      </w:r>
      <w:r>
        <w:rPr>
          <w:rFonts w:ascii="宋体" w:eastAsia="宋体" w:hAnsi="宋体" w:cs="Malgun Gothic Semilight" w:hint="eastAsia"/>
          <w:sz w:val="24"/>
          <w:szCs w:val="24"/>
        </w:rPr>
        <w:t>。</w:t>
      </w:r>
    </w:p>
    <w:p w14:paraId="5CA0EF33" w14:textId="77777777" w:rsidR="00F012EE" w:rsidRPr="00807A46" w:rsidRDefault="00477FBC" w:rsidP="00410E76">
      <w:pPr>
        <w:adjustRightInd w:val="0"/>
        <w:snapToGrid w:val="0"/>
        <w:spacing w:line="360" w:lineRule="auto"/>
        <w:ind w:firstLineChars="200" w:firstLine="480"/>
        <w:rPr>
          <w:rFonts w:ascii="宋体" w:eastAsia="宋体" w:hAnsi="宋体" w:cs="Arial"/>
          <w:sz w:val="24"/>
          <w:szCs w:val="24"/>
        </w:rPr>
      </w:pPr>
      <w:r w:rsidRPr="00807A46">
        <w:rPr>
          <w:rFonts w:ascii="宋体" w:eastAsia="宋体" w:hAnsi="宋体" w:cs="Arial" w:hint="eastAsia"/>
          <w:sz w:val="24"/>
          <w:szCs w:val="24"/>
        </w:rPr>
        <w:t>（四）</w:t>
      </w:r>
      <w:r w:rsidRPr="00807A46">
        <w:rPr>
          <w:rFonts w:ascii="宋体" w:eastAsia="宋体" w:hAnsi="宋体" w:cs="Arial"/>
          <w:sz w:val="24"/>
          <w:szCs w:val="24"/>
        </w:rPr>
        <w:t xml:space="preserve"> 托管人免责声明</w:t>
      </w:r>
    </w:p>
    <w:p w14:paraId="25055EB5" w14:textId="77777777" w:rsidR="00F012EE" w:rsidRPr="00807A46" w:rsidRDefault="00477FBC" w:rsidP="00410E76">
      <w:pPr>
        <w:adjustRightInd w:val="0"/>
        <w:snapToGrid w:val="0"/>
        <w:spacing w:line="360" w:lineRule="auto"/>
        <w:ind w:firstLineChars="200" w:firstLine="480"/>
        <w:rPr>
          <w:rFonts w:ascii="宋体" w:eastAsia="宋体" w:hAnsi="宋体" w:cs="微软雅黑"/>
          <w:sz w:val="24"/>
          <w:szCs w:val="24"/>
        </w:rPr>
      </w:pPr>
      <w:r w:rsidRPr="00807A46">
        <w:rPr>
          <w:rFonts w:ascii="宋体" w:eastAsia="宋体" w:hAnsi="宋体" w:cs="微软雅黑" w:hint="eastAsia"/>
          <w:sz w:val="24"/>
          <w:szCs w:val="24"/>
        </w:rPr>
        <w:t>基金托管人开展托管业务，不得承担以下职责：</w:t>
      </w:r>
    </w:p>
    <w:p w14:paraId="5A0EFDCD" w14:textId="77777777" w:rsidR="00F012EE" w:rsidRPr="00807A46" w:rsidRDefault="00477FBC" w:rsidP="00410E76">
      <w:pPr>
        <w:adjustRightInd w:val="0"/>
        <w:snapToGrid w:val="0"/>
        <w:spacing w:line="360" w:lineRule="auto"/>
        <w:ind w:firstLineChars="200" w:firstLine="480"/>
        <w:rPr>
          <w:rFonts w:ascii="宋体" w:eastAsia="宋体" w:hAnsi="宋体" w:cs="微软雅黑"/>
          <w:sz w:val="24"/>
          <w:szCs w:val="24"/>
        </w:rPr>
      </w:pPr>
      <w:r w:rsidRPr="00807A46">
        <w:rPr>
          <w:rFonts w:ascii="宋体" w:eastAsia="宋体" w:hAnsi="宋体" w:cs="微软雅黑"/>
          <w:sz w:val="24"/>
          <w:szCs w:val="24"/>
        </w:rPr>
        <w:t>1.承担基金财产的信用风险、市场风险等；</w:t>
      </w:r>
    </w:p>
    <w:p w14:paraId="0C2B7638" w14:textId="77777777" w:rsidR="00F012EE" w:rsidRPr="00807A46" w:rsidRDefault="00477FBC" w:rsidP="00410E76">
      <w:pPr>
        <w:adjustRightInd w:val="0"/>
        <w:snapToGrid w:val="0"/>
        <w:spacing w:line="360" w:lineRule="auto"/>
        <w:ind w:firstLineChars="200" w:firstLine="480"/>
        <w:rPr>
          <w:rFonts w:ascii="宋体" w:eastAsia="宋体" w:hAnsi="宋体" w:cs="微软雅黑"/>
          <w:sz w:val="24"/>
          <w:szCs w:val="24"/>
        </w:rPr>
      </w:pPr>
      <w:r w:rsidRPr="00807A46">
        <w:rPr>
          <w:rFonts w:ascii="宋体" w:eastAsia="宋体" w:hAnsi="宋体" w:cs="微软雅黑"/>
          <w:sz w:val="24"/>
          <w:szCs w:val="24"/>
        </w:rPr>
        <w:t>2.为基金提供直接或间接、显性或隐性担保，包括承诺本金或保证收益；</w:t>
      </w:r>
    </w:p>
    <w:p w14:paraId="7A630686" w14:textId="77777777" w:rsidR="00F012EE" w:rsidRPr="00807A46" w:rsidRDefault="00477FBC" w:rsidP="00410E76">
      <w:pPr>
        <w:adjustRightInd w:val="0"/>
        <w:snapToGrid w:val="0"/>
        <w:spacing w:line="360" w:lineRule="auto"/>
        <w:ind w:firstLineChars="200" w:firstLine="480"/>
        <w:rPr>
          <w:rFonts w:ascii="宋体" w:eastAsia="宋体" w:hAnsi="宋体" w:cs="微软雅黑"/>
          <w:sz w:val="24"/>
          <w:szCs w:val="24"/>
        </w:rPr>
      </w:pPr>
      <w:r w:rsidRPr="00807A46">
        <w:rPr>
          <w:rFonts w:ascii="宋体" w:eastAsia="宋体" w:hAnsi="宋体" w:cs="微软雅黑"/>
          <w:sz w:val="24"/>
          <w:szCs w:val="24"/>
        </w:rPr>
        <w:t>3.为基金垫付资金、提供流动性支持或融资承诺等；</w:t>
      </w:r>
    </w:p>
    <w:p w14:paraId="43FE4E1F" w14:textId="77777777" w:rsidR="00F012EE" w:rsidRPr="00807A46" w:rsidRDefault="00477FBC" w:rsidP="00410E76">
      <w:pPr>
        <w:adjustRightInd w:val="0"/>
        <w:snapToGrid w:val="0"/>
        <w:spacing w:line="360" w:lineRule="auto"/>
        <w:ind w:firstLineChars="200" w:firstLine="480"/>
        <w:rPr>
          <w:rFonts w:ascii="宋体" w:eastAsia="宋体" w:hAnsi="宋体" w:cs="微软雅黑"/>
          <w:sz w:val="24"/>
          <w:szCs w:val="24"/>
        </w:rPr>
      </w:pPr>
      <w:r w:rsidRPr="00807A46">
        <w:rPr>
          <w:rFonts w:ascii="宋体" w:eastAsia="宋体" w:hAnsi="宋体" w:cs="微软雅黑"/>
          <w:sz w:val="24"/>
          <w:szCs w:val="24"/>
        </w:rPr>
        <w:t>4.参与投资者适当性管理；</w:t>
      </w:r>
    </w:p>
    <w:p w14:paraId="0E07D674" w14:textId="77777777" w:rsidR="00F012EE" w:rsidRPr="00807A46" w:rsidRDefault="00477FBC" w:rsidP="00410E76">
      <w:pPr>
        <w:adjustRightInd w:val="0"/>
        <w:snapToGrid w:val="0"/>
        <w:spacing w:line="360" w:lineRule="auto"/>
        <w:ind w:firstLineChars="200" w:firstLine="480"/>
        <w:rPr>
          <w:rFonts w:ascii="宋体" w:eastAsia="宋体" w:hAnsi="宋体" w:cs="微软雅黑"/>
          <w:sz w:val="24"/>
          <w:szCs w:val="24"/>
        </w:rPr>
      </w:pPr>
      <w:r w:rsidRPr="00807A46">
        <w:rPr>
          <w:rFonts w:ascii="宋体" w:eastAsia="宋体" w:hAnsi="宋体" w:cs="微软雅黑"/>
          <w:sz w:val="24"/>
          <w:szCs w:val="24"/>
        </w:rPr>
        <w:t>5.保证投资项目及交易信息真实性；</w:t>
      </w:r>
    </w:p>
    <w:p w14:paraId="5DBAD5CA" w14:textId="77777777" w:rsidR="00F012EE" w:rsidRPr="00807A46" w:rsidRDefault="00477FBC" w:rsidP="00410E76">
      <w:pPr>
        <w:adjustRightInd w:val="0"/>
        <w:snapToGrid w:val="0"/>
        <w:spacing w:line="360" w:lineRule="auto"/>
        <w:ind w:firstLineChars="200" w:firstLine="480"/>
        <w:rPr>
          <w:rFonts w:ascii="宋体" w:eastAsia="宋体" w:hAnsi="宋体" w:cs="微软雅黑"/>
          <w:sz w:val="24"/>
          <w:szCs w:val="24"/>
        </w:rPr>
      </w:pPr>
      <w:r w:rsidRPr="00807A46">
        <w:rPr>
          <w:rFonts w:ascii="宋体" w:eastAsia="宋体" w:hAnsi="宋体" w:cs="微软雅黑"/>
          <w:sz w:val="24"/>
          <w:szCs w:val="24"/>
        </w:rPr>
        <w:t>6.保证基金资金来源的合法合</w:t>
      </w:r>
      <w:proofErr w:type="gramStart"/>
      <w:r w:rsidRPr="00807A46">
        <w:rPr>
          <w:rFonts w:ascii="宋体" w:eastAsia="宋体" w:hAnsi="宋体" w:cs="微软雅黑"/>
          <w:sz w:val="24"/>
          <w:szCs w:val="24"/>
        </w:rPr>
        <w:t>规</w:t>
      </w:r>
      <w:proofErr w:type="gramEnd"/>
      <w:r w:rsidRPr="00807A46">
        <w:rPr>
          <w:rFonts w:ascii="宋体" w:eastAsia="宋体" w:hAnsi="宋体" w:cs="微软雅黑"/>
          <w:sz w:val="24"/>
          <w:szCs w:val="24"/>
        </w:rPr>
        <w:t>性；</w:t>
      </w:r>
    </w:p>
    <w:p w14:paraId="63A88251" w14:textId="77777777" w:rsidR="00F012EE" w:rsidRPr="00807A46" w:rsidRDefault="00477FBC" w:rsidP="00410E76">
      <w:pPr>
        <w:adjustRightInd w:val="0"/>
        <w:snapToGrid w:val="0"/>
        <w:spacing w:line="360" w:lineRule="auto"/>
        <w:ind w:firstLineChars="200" w:firstLine="480"/>
        <w:rPr>
          <w:rFonts w:ascii="宋体" w:eastAsia="宋体" w:hAnsi="宋体" w:cs="微软雅黑"/>
          <w:sz w:val="24"/>
          <w:szCs w:val="24"/>
        </w:rPr>
      </w:pPr>
      <w:r w:rsidRPr="00807A46">
        <w:rPr>
          <w:rFonts w:ascii="宋体" w:eastAsia="宋体" w:hAnsi="宋体" w:cs="微软雅黑"/>
          <w:sz w:val="24"/>
          <w:szCs w:val="24"/>
        </w:rPr>
        <w:t>7.对已划出托管账户以及处于基金托管人实际控制之外的资产承担保管责任；</w:t>
      </w:r>
    </w:p>
    <w:p w14:paraId="529C58C2" w14:textId="77777777" w:rsidR="00F012EE" w:rsidRPr="00807A46" w:rsidRDefault="00477FBC" w:rsidP="00410E76">
      <w:pPr>
        <w:adjustRightInd w:val="0"/>
        <w:snapToGrid w:val="0"/>
        <w:spacing w:line="360" w:lineRule="auto"/>
        <w:ind w:firstLineChars="200" w:firstLine="480"/>
        <w:rPr>
          <w:rFonts w:ascii="宋体" w:eastAsia="宋体" w:hAnsi="宋体" w:cs="微软雅黑"/>
          <w:sz w:val="24"/>
          <w:szCs w:val="24"/>
        </w:rPr>
      </w:pPr>
      <w:r w:rsidRPr="00807A46">
        <w:rPr>
          <w:rFonts w:ascii="宋体" w:eastAsia="宋体" w:hAnsi="宋体" w:cs="微软雅黑"/>
          <w:sz w:val="24"/>
          <w:szCs w:val="24"/>
        </w:rPr>
        <w:t>8.参与基金管理人对基金的投资决策；</w:t>
      </w:r>
    </w:p>
    <w:p w14:paraId="5305E391" w14:textId="77777777" w:rsidR="00F012EE" w:rsidRPr="00807A46" w:rsidRDefault="00477FBC" w:rsidP="00410E76">
      <w:pPr>
        <w:adjustRightInd w:val="0"/>
        <w:snapToGrid w:val="0"/>
        <w:spacing w:line="360" w:lineRule="auto"/>
        <w:ind w:firstLineChars="200" w:firstLine="480"/>
        <w:rPr>
          <w:rFonts w:ascii="宋体" w:eastAsia="宋体" w:hAnsi="宋体" w:cs="微软雅黑"/>
          <w:sz w:val="24"/>
          <w:szCs w:val="24"/>
        </w:rPr>
      </w:pPr>
      <w:r w:rsidRPr="00807A46">
        <w:rPr>
          <w:rFonts w:ascii="宋体" w:eastAsia="宋体" w:hAnsi="宋体" w:cs="微软雅黑"/>
          <w:sz w:val="24"/>
          <w:szCs w:val="24"/>
        </w:rPr>
        <w:t>9.违规代替基金管理人向其他机构或者个人进行基金信息披露或提供相关数据信息；</w:t>
      </w:r>
    </w:p>
    <w:p w14:paraId="23F80A65" w14:textId="77777777" w:rsidR="00F012EE" w:rsidRPr="00807A46" w:rsidRDefault="00477FBC" w:rsidP="00410E76">
      <w:pPr>
        <w:adjustRightInd w:val="0"/>
        <w:snapToGrid w:val="0"/>
        <w:spacing w:line="360" w:lineRule="auto"/>
        <w:ind w:firstLineChars="200" w:firstLine="480"/>
        <w:rPr>
          <w:rFonts w:ascii="宋体" w:eastAsia="宋体" w:hAnsi="宋体" w:cs="微软雅黑"/>
          <w:sz w:val="24"/>
          <w:szCs w:val="24"/>
        </w:rPr>
      </w:pPr>
      <w:r w:rsidRPr="00807A46">
        <w:rPr>
          <w:rFonts w:ascii="宋体" w:eastAsia="宋体" w:hAnsi="宋体" w:cs="微软雅黑"/>
          <w:sz w:val="24"/>
          <w:szCs w:val="24"/>
        </w:rPr>
        <w:t>10.基金管理人未接受基金托管人的复核意见进行信息披露产生的相应责任；</w:t>
      </w:r>
    </w:p>
    <w:p w14:paraId="7DB37A90" w14:textId="77777777" w:rsidR="00F012EE" w:rsidRPr="00807A46" w:rsidRDefault="00477FBC" w:rsidP="00410E76">
      <w:pPr>
        <w:adjustRightInd w:val="0"/>
        <w:snapToGrid w:val="0"/>
        <w:spacing w:line="360" w:lineRule="auto"/>
        <w:ind w:firstLineChars="200" w:firstLine="480"/>
        <w:rPr>
          <w:rFonts w:ascii="宋体" w:eastAsia="宋体" w:hAnsi="宋体" w:cs="微软雅黑"/>
          <w:sz w:val="24"/>
          <w:szCs w:val="24"/>
        </w:rPr>
      </w:pPr>
      <w:r w:rsidRPr="00807A46">
        <w:rPr>
          <w:rFonts w:ascii="宋体" w:eastAsia="宋体" w:hAnsi="宋体" w:cs="微软雅黑"/>
          <w:sz w:val="24"/>
          <w:szCs w:val="24"/>
        </w:rPr>
        <w:lastRenderedPageBreak/>
        <w:t>11.负责未兑付产品的资金追偿、财产保全、诉讼仲裁、债务重组和破产程序等，法律另有规定的除外；</w:t>
      </w:r>
    </w:p>
    <w:p w14:paraId="6971D727" w14:textId="77777777" w:rsidR="00F012EE" w:rsidRPr="00807A46" w:rsidRDefault="00477FBC" w:rsidP="00410E76">
      <w:pPr>
        <w:adjustRightInd w:val="0"/>
        <w:snapToGrid w:val="0"/>
        <w:spacing w:line="360" w:lineRule="auto"/>
        <w:ind w:firstLineChars="200" w:firstLine="480"/>
        <w:rPr>
          <w:rFonts w:ascii="宋体" w:eastAsia="宋体" w:hAnsi="宋体" w:cs="微软雅黑"/>
          <w:sz w:val="24"/>
          <w:szCs w:val="24"/>
        </w:rPr>
      </w:pPr>
      <w:r w:rsidRPr="00807A46">
        <w:rPr>
          <w:rFonts w:ascii="宋体" w:eastAsia="宋体" w:hAnsi="宋体" w:cs="微软雅黑"/>
          <w:sz w:val="24"/>
          <w:szCs w:val="24"/>
        </w:rPr>
        <w:t>12.因不可抗力，以及非本机构履职错误或过失造成的托管资产损失；</w:t>
      </w:r>
    </w:p>
    <w:p w14:paraId="4F57E249" w14:textId="77777777" w:rsidR="00F012EE" w:rsidRPr="00807A46" w:rsidRDefault="00477FBC" w:rsidP="00410E76">
      <w:pPr>
        <w:adjustRightInd w:val="0"/>
        <w:snapToGrid w:val="0"/>
        <w:spacing w:line="360" w:lineRule="auto"/>
        <w:ind w:firstLineChars="200" w:firstLine="480"/>
        <w:rPr>
          <w:rFonts w:ascii="宋体" w:eastAsia="宋体" w:hAnsi="宋体" w:cs="微软雅黑"/>
          <w:sz w:val="24"/>
          <w:szCs w:val="24"/>
        </w:rPr>
      </w:pPr>
      <w:r w:rsidRPr="00807A46">
        <w:rPr>
          <w:rFonts w:ascii="宋体" w:eastAsia="宋体" w:hAnsi="宋体" w:cs="微软雅黑"/>
          <w:sz w:val="24"/>
          <w:szCs w:val="24"/>
        </w:rPr>
        <w:t>13.国务院金融监管部门规定的不属于基金托管人托管业务范围的其他职责。</w:t>
      </w:r>
    </w:p>
    <w:p w14:paraId="345CC64D" w14:textId="77777777" w:rsidR="00F012EE" w:rsidRDefault="00477FBC">
      <w:pPr>
        <w:keepNext/>
        <w:keepLines/>
        <w:spacing w:before="260" w:after="260" w:line="360" w:lineRule="auto"/>
        <w:jc w:val="center"/>
        <w:outlineLvl w:val="1"/>
        <w:rPr>
          <w:rFonts w:ascii="宋体" w:eastAsia="宋体" w:hAnsi="宋体" w:cs="Times New Roman"/>
          <w:b/>
          <w:sz w:val="30"/>
          <w:szCs w:val="24"/>
        </w:rPr>
      </w:pPr>
      <w:bookmarkStart w:id="6" w:name="_Toc124325887"/>
      <w:r>
        <w:rPr>
          <w:rFonts w:ascii="宋体" w:eastAsia="宋体" w:hAnsi="宋体" w:cs="微软雅黑" w:hint="eastAsia"/>
          <w:b/>
          <w:sz w:val="30"/>
          <w:szCs w:val="20"/>
        </w:rPr>
        <w:t>三</w:t>
      </w:r>
      <w:r>
        <w:rPr>
          <w:rFonts w:ascii="宋体" w:eastAsia="宋体" w:hAnsi="宋体" w:cs="Malgun Gothic Semilight" w:hint="eastAsia"/>
          <w:b/>
          <w:sz w:val="30"/>
          <w:szCs w:val="20"/>
        </w:rPr>
        <w:t>、</w:t>
      </w:r>
      <w:r>
        <w:rPr>
          <w:rFonts w:ascii="宋体" w:eastAsia="宋体" w:hAnsi="宋体" w:cs="微软雅黑" w:hint="eastAsia"/>
          <w:b/>
          <w:sz w:val="30"/>
          <w:szCs w:val="20"/>
        </w:rPr>
        <w:t>基金托管人对基金管理人的业务监督和核查</w:t>
      </w:r>
      <w:bookmarkEnd w:id="6"/>
    </w:p>
    <w:p w14:paraId="663047FE" w14:textId="77777777" w:rsidR="00F012EE" w:rsidRDefault="00477FBC">
      <w:pPr>
        <w:adjustRightInd w:val="0"/>
        <w:snapToGrid w:val="0"/>
        <w:spacing w:line="360" w:lineRule="auto"/>
        <w:ind w:firstLineChars="200" w:firstLine="480"/>
        <w:rPr>
          <w:rFonts w:ascii="宋体" w:eastAsia="宋体" w:hAnsi="宋体" w:cs="Malgun Gothic Semilight"/>
          <w:sz w:val="24"/>
          <w:szCs w:val="24"/>
        </w:rPr>
      </w:pPr>
      <w:r>
        <w:rPr>
          <w:rFonts w:ascii="宋体" w:eastAsia="宋体" w:hAnsi="宋体" w:cs="Arial" w:hint="eastAsia"/>
          <w:sz w:val="24"/>
          <w:szCs w:val="24"/>
        </w:rPr>
        <w:t>（</w:t>
      </w:r>
      <w:r>
        <w:rPr>
          <w:rFonts w:ascii="宋体" w:eastAsia="宋体" w:hAnsi="宋体" w:cs="微软雅黑" w:hint="eastAsia"/>
          <w:sz w:val="24"/>
          <w:szCs w:val="24"/>
        </w:rPr>
        <w:t>一</w:t>
      </w:r>
      <w:r>
        <w:rPr>
          <w:rFonts w:ascii="宋体" w:eastAsia="宋体" w:hAnsi="宋体" w:cs="Malgun Gothic Semilight" w:hint="eastAsia"/>
          <w:sz w:val="24"/>
          <w:szCs w:val="24"/>
        </w:rPr>
        <w:t>）</w:t>
      </w:r>
      <w:r>
        <w:rPr>
          <w:rFonts w:ascii="宋体" w:eastAsia="宋体" w:hAnsi="宋体" w:cs="微软雅黑" w:hint="eastAsia"/>
          <w:sz w:val="24"/>
          <w:szCs w:val="24"/>
        </w:rPr>
        <w:t>基金托管人根据有关法律法规的规定及</w:t>
      </w:r>
      <w:r>
        <w:rPr>
          <w:rFonts w:ascii="宋体" w:eastAsia="宋体" w:hAnsi="宋体" w:cs="Malgun Gothic Semilight"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的约定</w:t>
      </w:r>
      <w:r>
        <w:rPr>
          <w:rFonts w:ascii="宋体" w:eastAsia="宋体" w:hAnsi="宋体" w:cs="Malgun Gothic Semilight" w:hint="eastAsia"/>
          <w:sz w:val="24"/>
          <w:szCs w:val="24"/>
        </w:rPr>
        <w:t>，</w:t>
      </w:r>
      <w:r>
        <w:rPr>
          <w:rFonts w:ascii="宋体" w:eastAsia="宋体" w:hAnsi="宋体" w:cs="微软雅黑" w:hint="eastAsia"/>
          <w:sz w:val="24"/>
          <w:szCs w:val="24"/>
        </w:rPr>
        <w:t>对基金投资范围</w:t>
      </w:r>
      <w:r>
        <w:rPr>
          <w:rFonts w:ascii="宋体" w:eastAsia="宋体" w:hAnsi="宋体" w:cs="Malgun Gothic Semilight" w:hint="eastAsia"/>
          <w:sz w:val="24"/>
          <w:szCs w:val="24"/>
        </w:rPr>
        <w:t>、</w:t>
      </w:r>
      <w:r>
        <w:rPr>
          <w:rFonts w:ascii="宋体" w:eastAsia="宋体" w:hAnsi="宋体" w:cs="微软雅黑" w:hint="eastAsia"/>
          <w:sz w:val="24"/>
          <w:szCs w:val="24"/>
        </w:rPr>
        <w:t>投资对象进行监督</w:t>
      </w:r>
      <w:r>
        <w:rPr>
          <w:rFonts w:ascii="宋体" w:eastAsia="宋体" w:hAnsi="宋体" w:cs="Malgun Gothic Semilight"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明确约定基金投资风格或证券选择标准的</w:t>
      </w:r>
      <w:r>
        <w:rPr>
          <w:rFonts w:ascii="宋体" w:eastAsia="宋体" w:hAnsi="宋体" w:cs="Malgun Gothic Semilight" w:hint="eastAsia"/>
          <w:sz w:val="24"/>
          <w:szCs w:val="24"/>
        </w:rPr>
        <w:t>，</w:t>
      </w:r>
      <w:r>
        <w:rPr>
          <w:rFonts w:ascii="宋体" w:eastAsia="宋体" w:hAnsi="宋体" w:cs="微软雅黑" w:hint="eastAsia"/>
          <w:sz w:val="24"/>
          <w:szCs w:val="24"/>
        </w:rPr>
        <w:t>基金管理人应按照基金托管人要求的格式</w:t>
      </w:r>
      <w:r>
        <w:rPr>
          <w:rFonts w:ascii="宋体" w:eastAsia="宋体" w:hAnsi="宋体" w:cs="Malgun Gothic Semilight" w:hint="eastAsia"/>
          <w:sz w:val="24"/>
          <w:szCs w:val="24"/>
        </w:rPr>
        <w:t>，</w:t>
      </w:r>
      <w:r>
        <w:rPr>
          <w:rFonts w:ascii="宋体" w:eastAsia="宋体" w:hAnsi="宋体" w:cs="微软雅黑" w:hint="eastAsia"/>
          <w:sz w:val="24"/>
          <w:szCs w:val="24"/>
        </w:rPr>
        <w:t>将拟投资的标的证券</w:t>
      </w:r>
      <w:proofErr w:type="gramStart"/>
      <w:r>
        <w:rPr>
          <w:rFonts w:ascii="宋体" w:eastAsia="宋体" w:hAnsi="宋体" w:cs="微软雅黑" w:hint="eastAsia"/>
          <w:sz w:val="24"/>
          <w:szCs w:val="24"/>
        </w:rPr>
        <w:t>库提供</w:t>
      </w:r>
      <w:proofErr w:type="gramEnd"/>
      <w:r>
        <w:rPr>
          <w:rFonts w:ascii="宋体" w:eastAsia="宋体" w:hAnsi="宋体" w:cs="微软雅黑" w:hint="eastAsia"/>
          <w:sz w:val="24"/>
          <w:szCs w:val="24"/>
        </w:rPr>
        <w:t>给基金托管人</w:t>
      </w:r>
      <w:r>
        <w:rPr>
          <w:rFonts w:ascii="宋体" w:eastAsia="宋体" w:hAnsi="宋体" w:cs="Malgun Gothic Semilight" w:hint="eastAsia"/>
          <w:sz w:val="24"/>
          <w:szCs w:val="24"/>
        </w:rPr>
        <w:t>，</w:t>
      </w:r>
      <w:r>
        <w:rPr>
          <w:rFonts w:ascii="宋体" w:eastAsia="宋体" w:hAnsi="宋体" w:cs="微软雅黑" w:hint="eastAsia"/>
          <w:sz w:val="24"/>
          <w:szCs w:val="24"/>
        </w:rPr>
        <w:t>基金管理人可以根据实际情况的变化</w:t>
      </w:r>
      <w:r>
        <w:rPr>
          <w:rFonts w:ascii="宋体" w:eastAsia="宋体" w:hAnsi="宋体" w:cs="Malgun Gothic Semilight" w:hint="eastAsia"/>
          <w:sz w:val="24"/>
          <w:szCs w:val="24"/>
        </w:rPr>
        <w:t>，</w:t>
      </w:r>
      <w:r>
        <w:rPr>
          <w:rFonts w:ascii="宋体" w:eastAsia="宋体" w:hAnsi="宋体" w:cs="微软雅黑" w:hint="eastAsia"/>
          <w:sz w:val="24"/>
          <w:szCs w:val="24"/>
        </w:rPr>
        <w:t>对标的证券</w:t>
      </w:r>
      <w:proofErr w:type="gramStart"/>
      <w:r>
        <w:rPr>
          <w:rFonts w:ascii="宋体" w:eastAsia="宋体" w:hAnsi="宋体" w:cs="微软雅黑" w:hint="eastAsia"/>
          <w:sz w:val="24"/>
          <w:szCs w:val="24"/>
        </w:rPr>
        <w:t>库予以</w:t>
      </w:r>
      <w:proofErr w:type="gramEnd"/>
      <w:r>
        <w:rPr>
          <w:rFonts w:ascii="宋体" w:eastAsia="宋体" w:hAnsi="宋体" w:cs="微软雅黑" w:hint="eastAsia"/>
          <w:sz w:val="24"/>
          <w:szCs w:val="24"/>
        </w:rPr>
        <w:t>更新和调整并及时书面通知基金托管人</w:t>
      </w:r>
      <w:r>
        <w:rPr>
          <w:rFonts w:ascii="宋体" w:eastAsia="宋体" w:hAnsi="宋体" w:cs="Malgun Gothic Semilight" w:hint="eastAsia"/>
          <w:sz w:val="24"/>
          <w:szCs w:val="24"/>
        </w:rPr>
        <w:t>。</w:t>
      </w:r>
      <w:r>
        <w:rPr>
          <w:rFonts w:ascii="宋体" w:eastAsia="宋体" w:hAnsi="宋体" w:cs="微软雅黑" w:hint="eastAsia"/>
          <w:sz w:val="24"/>
          <w:szCs w:val="24"/>
        </w:rPr>
        <w:t>基金托管人根据上述投资范围对基金实际投资是否符合</w:t>
      </w:r>
      <w:r>
        <w:rPr>
          <w:rFonts w:ascii="宋体" w:eastAsia="宋体" w:hAnsi="宋体" w:cs="Malgun Gothic Semilight"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关于证券选择标准的约定进行监督</w:t>
      </w:r>
      <w:r>
        <w:rPr>
          <w:rFonts w:ascii="宋体" w:eastAsia="宋体" w:hAnsi="宋体" w:cs="Malgun Gothic Semilight" w:hint="eastAsia"/>
          <w:sz w:val="24"/>
          <w:szCs w:val="24"/>
        </w:rPr>
        <w:t>。</w:t>
      </w:r>
    </w:p>
    <w:p w14:paraId="6546DB2D" w14:textId="77777777" w:rsidR="00F012EE" w:rsidRDefault="00477FBC">
      <w:pPr>
        <w:adjustRightInd w:val="0"/>
        <w:snapToGrid w:val="0"/>
        <w:spacing w:line="360" w:lineRule="auto"/>
        <w:ind w:firstLineChars="200" w:firstLine="480"/>
        <w:rPr>
          <w:rFonts w:ascii="宋体" w:eastAsia="宋体" w:hAnsi="宋体" w:cs="微软雅黑"/>
          <w:sz w:val="24"/>
          <w:szCs w:val="30"/>
        </w:rPr>
      </w:pPr>
      <w:r>
        <w:rPr>
          <w:rFonts w:ascii="宋体" w:eastAsia="宋体" w:hAnsi="宋体" w:cs="微软雅黑" w:hint="eastAsia"/>
          <w:sz w:val="24"/>
          <w:szCs w:val="30"/>
        </w:rPr>
        <w:t>本基金的投资范围主要为标的指数成份股和备选成份股（</w:t>
      </w:r>
      <w:proofErr w:type="gramStart"/>
      <w:r>
        <w:rPr>
          <w:rFonts w:ascii="宋体" w:eastAsia="宋体" w:hAnsi="宋体" w:cs="微软雅黑" w:hint="eastAsia"/>
          <w:sz w:val="24"/>
          <w:szCs w:val="30"/>
        </w:rPr>
        <w:t>含存托</w:t>
      </w:r>
      <w:proofErr w:type="gramEnd"/>
      <w:r>
        <w:rPr>
          <w:rFonts w:ascii="宋体" w:eastAsia="宋体" w:hAnsi="宋体" w:cs="微软雅黑" w:hint="eastAsia"/>
          <w:sz w:val="24"/>
          <w:szCs w:val="30"/>
        </w:rPr>
        <w:t>凭证，下同）。此外，为更好地实现投资目标，本基金可少量投资于部分非成份股（包含主板、创业板、</w:t>
      </w:r>
      <w:proofErr w:type="gramStart"/>
      <w:r>
        <w:rPr>
          <w:rFonts w:ascii="宋体" w:eastAsia="宋体" w:hAnsi="宋体" w:cs="微软雅黑" w:hint="eastAsia"/>
          <w:sz w:val="24"/>
          <w:szCs w:val="30"/>
        </w:rPr>
        <w:t>科创板</w:t>
      </w:r>
      <w:proofErr w:type="gramEnd"/>
      <w:r>
        <w:rPr>
          <w:rFonts w:ascii="宋体" w:eastAsia="宋体" w:hAnsi="宋体" w:cs="微软雅黑" w:hint="eastAsia"/>
          <w:sz w:val="24"/>
          <w:szCs w:val="30"/>
        </w:rPr>
        <w:t>、存托凭证及其他依法发行上市的股票）、债券资产（国债、地方政府债、金融债、企业债、公司债、次级债、可转换债券（含分离交易可转债）、可交换债券、央行票据、中期票据、短期融资</w:t>
      </w:r>
      <w:proofErr w:type="gramStart"/>
      <w:r>
        <w:rPr>
          <w:rFonts w:ascii="宋体" w:eastAsia="宋体" w:hAnsi="宋体" w:cs="微软雅黑" w:hint="eastAsia"/>
          <w:sz w:val="24"/>
          <w:szCs w:val="30"/>
        </w:rPr>
        <w:t>券</w:t>
      </w:r>
      <w:proofErr w:type="gramEnd"/>
      <w:r>
        <w:rPr>
          <w:rFonts w:ascii="宋体" w:eastAsia="宋体" w:hAnsi="宋体" w:cs="微软雅黑" w:hint="eastAsia"/>
          <w:sz w:val="24"/>
          <w:szCs w:val="30"/>
        </w:rPr>
        <w:t>、超短期融资</w:t>
      </w:r>
      <w:proofErr w:type="gramStart"/>
      <w:r>
        <w:rPr>
          <w:rFonts w:ascii="宋体" w:eastAsia="宋体" w:hAnsi="宋体" w:cs="微软雅黑" w:hint="eastAsia"/>
          <w:sz w:val="24"/>
          <w:szCs w:val="30"/>
        </w:rPr>
        <w:t>券</w:t>
      </w:r>
      <w:proofErr w:type="gramEnd"/>
      <w:r>
        <w:rPr>
          <w:rFonts w:ascii="宋体" w:eastAsia="宋体" w:hAnsi="宋体" w:cs="微软雅黑" w:hint="eastAsia"/>
          <w:sz w:val="24"/>
          <w:szCs w:val="30"/>
        </w:rPr>
        <w:t>等）、资产支持证券、衍生工具（股指期货、股票期权、国债期货等）、债券回购、银行存款、同业存单、现金资产以及中国证监会允许基金投资的其他金融工具（但须符合中国证监会的相关规定）。</w:t>
      </w:r>
    </w:p>
    <w:p w14:paraId="6A532982" w14:textId="77777777" w:rsidR="00F012EE" w:rsidRDefault="00477FBC">
      <w:pPr>
        <w:adjustRightInd w:val="0"/>
        <w:snapToGrid w:val="0"/>
        <w:spacing w:line="360" w:lineRule="auto"/>
        <w:ind w:firstLineChars="200" w:firstLine="480"/>
        <w:rPr>
          <w:rFonts w:ascii="宋体" w:eastAsia="宋体" w:hAnsi="宋体" w:cs="微软雅黑"/>
          <w:sz w:val="24"/>
          <w:szCs w:val="30"/>
        </w:rPr>
      </w:pPr>
      <w:r>
        <w:rPr>
          <w:rFonts w:ascii="宋体" w:eastAsia="宋体" w:hAnsi="宋体" w:cs="微软雅黑" w:hint="eastAsia"/>
          <w:sz w:val="24"/>
          <w:szCs w:val="30"/>
        </w:rPr>
        <w:t>本基金可根据相关法律法规和基金合同的约定，参与融资业务和转融通证券出借业务。</w:t>
      </w:r>
    </w:p>
    <w:p w14:paraId="136C4A1A" w14:textId="77777777" w:rsidR="00F012EE" w:rsidRDefault="00477FBC">
      <w:pPr>
        <w:adjustRightInd w:val="0"/>
        <w:snapToGrid w:val="0"/>
        <w:spacing w:line="360" w:lineRule="auto"/>
        <w:ind w:firstLineChars="200" w:firstLine="480"/>
        <w:rPr>
          <w:rFonts w:ascii="宋体" w:eastAsia="宋体" w:hAnsi="宋体" w:cs="微软雅黑"/>
          <w:sz w:val="24"/>
          <w:szCs w:val="30"/>
        </w:rPr>
      </w:pPr>
      <w:r>
        <w:rPr>
          <w:rFonts w:ascii="宋体" w:eastAsia="宋体" w:hAnsi="宋体" w:cs="微软雅黑" w:hint="eastAsia"/>
          <w:sz w:val="24"/>
          <w:szCs w:val="30"/>
        </w:rPr>
        <w:t>如法律法规或监管机构以后允许基金投资其他品种，基金管理人在履行适当程序后，可以将其纳入投资范围。</w:t>
      </w:r>
    </w:p>
    <w:p w14:paraId="3C63942C" w14:textId="77777777" w:rsidR="00F012EE" w:rsidRDefault="00477FBC">
      <w:pPr>
        <w:adjustRightInd w:val="0"/>
        <w:snapToGrid w:val="0"/>
        <w:spacing w:line="360" w:lineRule="auto"/>
        <w:ind w:firstLineChars="200" w:firstLine="480"/>
        <w:rPr>
          <w:rFonts w:ascii="宋体" w:eastAsia="宋体" w:hAnsi="宋体" w:cs="Times New Roman"/>
          <w:sz w:val="24"/>
          <w:szCs w:val="30"/>
        </w:rPr>
      </w:pPr>
      <w:r>
        <w:rPr>
          <w:rFonts w:ascii="宋体" w:eastAsia="宋体" w:hAnsi="宋体" w:cs="微软雅黑" w:hint="eastAsia"/>
          <w:sz w:val="24"/>
          <w:szCs w:val="30"/>
        </w:rPr>
        <w:t>本基金投资标的指数成份股及备选成份股的比例不低于基金资产净值的</w:t>
      </w:r>
      <w:r>
        <w:rPr>
          <w:rFonts w:ascii="宋体" w:eastAsia="宋体" w:hAnsi="宋体" w:cs="微软雅黑"/>
          <w:sz w:val="24"/>
          <w:szCs w:val="30"/>
        </w:rPr>
        <w:t>90%，且不低于非现金基金资产的80%，因法律法规的规定而受限制的情形除外。股指期货、股票期权和国债期货及其他金融工具的投资比例符合法律法规和监管机构的规定。</w:t>
      </w:r>
    </w:p>
    <w:p w14:paraId="533835D3"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微软雅黑" w:hint="eastAsia"/>
          <w:sz w:val="24"/>
          <w:szCs w:val="24"/>
        </w:rPr>
        <w:t>二</w:t>
      </w:r>
      <w:r>
        <w:rPr>
          <w:rFonts w:ascii="宋体" w:eastAsia="宋体" w:hAnsi="宋体" w:cs="Malgun Gothic Semilight" w:hint="eastAsia"/>
          <w:sz w:val="24"/>
          <w:szCs w:val="24"/>
        </w:rPr>
        <w:t>）</w:t>
      </w:r>
      <w:r>
        <w:rPr>
          <w:rFonts w:ascii="宋体" w:eastAsia="宋体" w:hAnsi="宋体" w:cs="微软雅黑" w:hint="eastAsia"/>
          <w:sz w:val="24"/>
          <w:szCs w:val="24"/>
        </w:rPr>
        <w:t>基金托管人根据有关法律法规的规定及</w:t>
      </w:r>
      <w:r>
        <w:rPr>
          <w:rFonts w:ascii="宋体" w:eastAsia="宋体" w:hAnsi="宋体" w:cs="Malgun Gothic Semilight"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的约定</w:t>
      </w:r>
      <w:r>
        <w:rPr>
          <w:rFonts w:ascii="宋体" w:eastAsia="宋体" w:hAnsi="宋体" w:cs="Malgun Gothic Semilight" w:hint="eastAsia"/>
          <w:sz w:val="24"/>
          <w:szCs w:val="24"/>
        </w:rPr>
        <w:t>，</w:t>
      </w:r>
      <w:r>
        <w:rPr>
          <w:rFonts w:ascii="宋体" w:eastAsia="宋体" w:hAnsi="宋体" w:cs="微软雅黑" w:hint="eastAsia"/>
          <w:sz w:val="24"/>
          <w:szCs w:val="24"/>
        </w:rPr>
        <w:t>对基金投</w:t>
      </w:r>
      <w:r>
        <w:rPr>
          <w:rFonts w:ascii="宋体" w:eastAsia="宋体" w:hAnsi="宋体" w:cs="微软雅黑" w:hint="eastAsia"/>
          <w:sz w:val="24"/>
          <w:szCs w:val="24"/>
        </w:rPr>
        <w:lastRenderedPageBreak/>
        <w:t>资</w:t>
      </w:r>
      <w:r>
        <w:rPr>
          <w:rFonts w:ascii="宋体" w:eastAsia="宋体" w:hAnsi="宋体" w:cs="Malgun Gothic Semilight" w:hint="eastAsia"/>
          <w:sz w:val="24"/>
          <w:szCs w:val="24"/>
        </w:rPr>
        <w:t>、</w:t>
      </w:r>
      <w:r>
        <w:rPr>
          <w:rFonts w:ascii="宋体" w:eastAsia="宋体" w:hAnsi="宋体" w:cs="微软雅黑" w:hint="eastAsia"/>
          <w:sz w:val="24"/>
          <w:szCs w:val="24"/>
        </w:rPr>
        <w:t>融资比例进行监督</w:t>
      </w:r>
      <w:r>
        <w:rPr>
          <w:rFonts w:ascii="宋体" w:eastAsia="宋体" w:hAnsi="宋体" w:cs="Malgun Gothic Semilight" w:hint="eastAsia"/>
          <w:sz w:val="24"/>
          <w:szCs w:val="24"/>
        </w:rPr>
        <w:t>。</w:t>
      </w:r>
      <w:r>
        <w:rPr>
          <w:rFonts w:ascii="宋体" w:eastAsia="宋体" w:hAnsi="宋体" w:cs="微软雅黑" w:hint="eastAsia"/>
          <w:sz w:val="24"/>
          <w:szCs w:val="24"/>
        </w:rPr>
        <w:t>基金托管人按下述比例和调整期限进行监督</w:t>
      </w:r>
      <w:r>
        <w:rPr>
          <w:rFonts w:ascii="宋体" w:eastAsia="宋体" w:hAnsi="宋体" w:cs="Malgun Gothic Semilight" w:hint="eastAsia"/>
          <w:sz w:val="24"/>
          <w:szCs w:val="24"/>
        </w:rPr>
        <w:t>：</w:t>
      </w:r>
    </w:p>
    <w:p w14:paraId="2E75B153"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1）本基金投资于标的指数成份股、备选成份股的比例不低于基金资产净值的90%，且不低于非现金基金资产的80%；</w:t>
      </w:r>
    </w:p>
    <w:p w14:paraId="7420968A"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2）本基金投资于同一原始权益人的各类资产支持证券的比例，不得超过基金资产净值的10％；</w:t>
      </w:r>
    </w:p>
    <w:p w14:paraId="213C20B9"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3）本基金持有的全部资产支持证券，其市值不得超过基金资产净值的20％；</w:t>
      </w:r>
    </w:p>
    <w:p w14:paraId="1AC024F6"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4）本基金持有的同一(指同一信用级别)资产支持证券的比例，不得超过该资产支持证券规模的10％；</w:t>
      </w:r>
    </w:p>
    <w:p w14:paraId="5856BD58"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5）本基金管理人管理的</w:t>
      </w:r>
      <w:r>
        <w:rPr>
          <w:rFonts w:ascii="宋体" w:eastAsia="宋体" w:hAnsi="宋体" w:cs="Times New Roman" w:hint="eastAsia"/>
          <w:sz w:val="24"/>
          <w:szCs w:val="24"/>
        </w:rPr>
        <w:t>且在本基金托管人处托管的</w:t>
      </w:r>
      <w:r>
        <w:rPr>
          <w:rFonts w:ascii="宋体" w:eastAsia="宋体" w:hAnsi="宋体" w:cs="Times New Roman"/>
          <w:sz w:val="24"/>
          <w:szCs w:val="24"/>
        </w:rPr>
        <w:t>全部基金投资于同一原始权益人的各类资产支持证券，不得超过其各类资产支持证券合计规模的10％；</w:t>
      </w:r>
    </w:p>
    <w:p w14:paraId="12AAB9DB"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6）本基金应投资于信用级别评级为BBB以上(含BBB)的资产支持证券。基金持有资产支持证券期间，如果其信用等级下降、不再符合投资标准，应在评级报告发布之日起3个月内予以全部卖出；</w:t>
      </w:r>
    </w:p>
    <w:p w14:paraId="3AA8B4B7"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7）基金财产参与股票发行申购，本基金所申报的金额不超过本基金的总资产，本基金所申报的股票数量不超过拟发行股票公司本次发行股票的总量；</w:t>
      </w:r>
    </w:p>
    <w:p w14:paraId="7529A61F"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8）基金总资产不得超过基金净资产的140%；</w:t>
      </w:r>
    </w:p>
    <w:p w14:paraId="59D6E4B4"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9）本基金</w:t>
      </w:r>
      <w:proofErr w:type="gramStart"/>
      <w:r>
        <w:rPr>
          <w:rFonts w:ascii="宋体" w:eastAsia="宋体" w:hAnsi="宋体" w:cs="Times New Roman"/>
          <w:sz w:val="24"/>
          <w:szCs w:val="24"/>
        </w:rPr>
        <w:t>若参</w:t>
      </w:r>
      <w:proofErr w:type="gramEnd"/>
      <w:r>
        <w:rPr>
          <w:rFonts w:ascii="宋体" w:eastAsia="宋体" w:hAnsi="宋体" w:cs="Times New Roman"/>
          <w:sz w:val="24"/>
          <w:szCs w:val="24"/>
        </w:rPr>
        <w:t>与股指期货交易，应当符合下列投资限制：</w:t>
      </w:r>
    </w:p>
    <w:p w14:paraId="2410A788"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①本基金在任何交易日日终，持有的买入股指期货合约价值，不得超过基金资产净值的</w:t>
      </w:r>
      <w:r>
        <w:rPr>
          <w:rFonts w:ascii="宋体" w:eastAsia="宋体" w:hAnsi="宋体" w:cs="Times New Roman"/>
          <w:sz w:val="24"/>
          <w:szCs w:val="24"/>
        </w:rPr>
        <w:t>10%；</w:t>
      </w:r>
    </w:p>
    <w:p w14:paraId="2DF7D397"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②本基金在任何交易日日终，持有的买入股指期货、国债期货合约价值与有价证券市值之和，不得超过基金资产净值的</w:t>
      </w:r>
      <w:r>
        <w:rPr>
          <w:rFonts w:ascii="宋体" w:eastAsia="宋体" w:hAnsi="宋体" w:cs="Times New Roman"/>
          <w:sz w:val="24"/>
          <w:szCs w:val="24"/>
        </w:rPr>
        <w:t>100%。</w:t>
      </w:r>
    </w:p>
    <w:p w14:paraId="177D10C3"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其中，有价证券指股票、债券（不含到期日在一年以内的政府债券）、资产支持证券、买入返售金融资产（不含质押式回购）等；</w:t>
      </w:r>
    </w:p>
    <w:p w14:paraId="33F8D891"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③本基金在任何交易日日终，持有的卖出股指期货合约价值不得超过基金持有的股票总市值的</w:t>
      </w:r>
      <w:r>
        <w:rPr>
          <w:rFonts w:ascii="宋体" w:eastAsia="宋体" w:hAnsi="宋体" w:cs="Times New Roman"/>
          <w:sz w:val="24"/>
          <w:szCs w:val="24"/>
        </w:rPr>
        <w:t>20%；</w:t>
      </w:r>
    </w:p>
    <w:p w14:paraId="6C98F057"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④本基金所持有的股票市值和买入、卖出股指期货合约价值，合计（轧差计算）应当符合基金合同关于股票投资比例的有关约定；</w:t>
      </w:r>
    </w:p>
    <w:p w14:paraId="42492640"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⑤本基金在任何交易日内交易（不包括平仓）的股指期货合约的成交金额不得超过上一交易日基金资产净值的</w:t>
      </w:r>
      <w:r>
        <w:rPr>
          <w:rFonts w:ascii="宋体" w:eastAsia="宋体" w:hAnsi="宋体" w:cs="Times New Roman"/>
          <w:sz w:val="24"/>
          <w:szCs w:val="24"/>
        </w:rPr>
        <w:t>20%；</w:t>
      </w:r>
    </w:p>
    <w:p w14:paraId="0B4D4DC7"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⑥每个交易日日终，在扣除股指期货和国债期货合约需缴纳的交易保证金后，</w:t>
      </w:r>
      <w:r>
        <w:rPr>
          <w:rFonts w:ascii="宋体" w:eastAsia="宋体" w:hAnsi="宋体" w:cs="Times New Roman" w:hint="eastAsia"/>
          <w:sz w:val="24"/>
          <w:szCs w:val="24"/>
        </w:rPr>
        <w:lastRenderedPageBreak/>
        <w:t>本基金应当保持不低于交易保证金一倍的现金；</w:t>
      </w:r>
    </w:p>
    <w:p w14:paraId="2FAD8DAE"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10）本基金</w:t>
      </w:r>
      <w:proofErr w:type="gramStart"/>
      <w:r>
        <w:rPr>
          <w:rFonts w:ascii="宋体" w:eastAsia="宋体" w:hAnsi="宋体" w:cs="Times New Roman"/>
          <w:sz w:val="24"/>
          <w:szCs w:val="24"/>
        </w:rPr>
        <w:t>若参</w:t>
      </w:r>
      <w:proofErr w:type="gramEnd"/>
      <w:r>
        <w:rPr>
          <w:rFonts w:ascii="宋体" w:eastAsia="宋体" w:hAnsi="宋体" w:cs="Times New Roman"/>
          <w:sz w:val="24"/>
          <w:szCs w:val="24"/>
        </w:rPr>
        <w:t>与国债期货交易，应当符合下列投资限制：</w:t>
      </w:r>
    </w:p>
    <w:p w14:paraId="30212381"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①本基金在任何交易日日终，持有的买入国债期货合约价值，不得超过基金资产净值的</w:t>
      </w:r>
      <w:r>
        <w:rPr>
          <w:rFonts w:ascii="宋体" w:eastAsia="宋体" w:hAnsi="宋体" w:cs="Times New Roman"/>
          <w:sz w:val="24"/>
          <w:szCs w:val="24"/>
        </w:rPr>
        <w:t>15%；</w:t>
      </w:r>
    </w:p>
    <w:p w14:paraId="025BD6CC"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②本基金在任何交易日日终，在扣除股指期货和国债期货合约需缴纳的交易保证金后，应当保持不低于交易保证金一倍的现金；</w:t>
      </w:r>
      <w:r>
        <w:rPr>
          <w:rFonts w:ascii="宋体" w:eastAsia="宋体" w:hAnsi="宋体" w:cs="Times New Roman"/>
          <w:sz w:val="24"/>
          <w:szCs w:val="24"/>
        </w:rPr>
        <w:t xml:space="preserve"> </w:t>
      </w:r>
    </w:p>
    <w:p w14:paraId="184BF5CD"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③本基金在任何交易日日终，持有的买入股指期货、国债期货合约价值与有价证券市值之和，不得超过基金资产净值的</w:t>
      </w:r>
      <w:r>
        <w:rPr>
          <w:rFonts w:ascii="宋体" w:eastAsia="宋体" w:hAnsi="宋体" w:cs="Times New Roman"/>
          <w:sz w:val="24"/>
          <w:szCs w:val="24"/>
        </w:rPr>
        <w:t>100%。</w:t>
      </w:r>
    </w:p>
    <w:p w14:paraId="35217AF7"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其中，有价证券指股票、债券（不含到期日在一年以内的政府债券）、资产支持证券、买入返售金融资产（不含质押式回购）等；</w:t>
      </w:r>
    </w:p>
    <w:p w14:paraId="607716C4"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④本基金在任何交易日日终，持有的卖出国债期货合约价值不得超过基金持有的债券总市值的</w:t>
      </w:r>
      <w:r>
        <w:rPr>
          <w:rFonts w:ascii="宋体" w:eastAsia="宋体" w:hAnsi="宋体" w:cs="Times New Roman"/>
          <w:sz w:val="24"/>
          <w:szCs w:val="24"/>
        </w:rPr>
        <w:t>30%；</w:t>
      </w:r>
    </w:p>
    <w:p w14:paraId="53B15084"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⑤本基金在任何交易日内交易（不包括平仓）的国债期货合约的成交金额不得超过上一交易日基金资产净值的</w:t>
      </w:r>
      <w:r>
        <w:rPr>
          <w:rFonts w:ascii="宋体" w:eastAsia="宋体" w:hAnsi="宋体" w:cs="Times New Roman"/>
          <w:sz w:val="24"/>
          <w:szCs w:val="24"/>
        </w:rPr>
        <w:t>30%；</w:t>
      </w:r>
    </w:p>
    <w:p w14:paraId="546AC6B2"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11）本基金</w:t>
      </w:r>
      <w:proofErr w:type="gramStart"/>
      <w:r>
        <w:rPr>
          <w:rFonts w:ascii="宋体" w:eastAsia="宋体" w:hAnsi="宋体" w:cs="Times New Roman"/>
          <w:sz w:val="24"/>
          <w:szCs w:val="24"/>
        </w:rPr>
        <w:t>若参</w:t>
      </w:r>
      <w:proofErr w:type="gramEnd"/>
      <w:r>
        <w:rPr>
          <w:rFonts w:ascii="宋体" w:eastAsia="宋体" w:hAnsi="宋体" w:cs="Times New Roman"/>
          <w:sz w:val="24"/>
          <w:szCs w:val="24"/>
        </w:rPr>
        <w:t>与股票期权交易，应当符合下列投资限制：</w:t>
      </w:r>
    </w:p>
    <w:p w14:paraId="1F558657"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①基金因未平仓的期权合约支付和收取的权利金总额不得超过基金资产净值的</w:t>
      </w:r>
      <w:r>
        <w:rPr>
          <w:rFonts w:ascii="宋体" w:eastAsia="宋体" w:hAnsi="宋体" w:cs="Times New Roman"/>
          <w:sz w:val="24"/>
          <w:szCs w:val="24"/>
        </w:rPr>
        <w:t>10%；</w:t>
      </w:r>
    </w:p>
    <w:p w14:paraId="2F0F6BC2"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②未平仓的期权合约面值不得超过基金资产净值的</w:t>
      </w:r>
      <w:r>
        <w:rPr>
          <w:rFonts w:ascii="宋体" w:eastAsia="宋体" w:hAnsi="宋体" w:cs="Times New Roman"/>
          <w:sz w:val="24"/>
          <w:szCs w:val="24"/>
        </w:rPr>
        <w:t>20%。其中，合约面值按照行权价乘以合约乘数计算；</w:t>
      </w:r>
    </w:p>
    <w:p w14:paraId="7DA5B522"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12）本基金参与融资业务后，在任何交易日日终，持有的融资买入股票与其他有价证券市值之和，不得超过基金资产净值的 95%；</w:t>
      </w:r>
    </w:p>
    <w:p w14:paraId="5922DA60"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13）本基金</w:t>
      </w:r>
      <w:proofErr w:type="gramStart"/>
      <w:r>
        <w:rPr>
          <w:rFonts w:ascii="宋体" w:eastAsia="宋体" w:hAnsi="宋体" w:cs="Times New Roman"/>
          <w:sz w:val="24"/>
          <w:szCs w:val="24"/>
        </w:rPr>
        <w:t>若参</w:t>
      </w:r>
      <w:proofErr w:type="gramEnd"/>
      <w:r>
        <w:rPr>
          <w:rFonts w:ascii="宋体" w:eastAsia="宋体" w:hAnsi="宋体" w:cs="Times New Roman"/>
          <w:sz w:val="24"/>
          <w:szCs w:val="24"/>
        </w:rPr>
        <w:t>与转融通证券出借业务，应当符合下列投资限制：</w:t>
      </w:r>
    </w:p>
    <w:p w14:paraId="29208CFD"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①出借证券资产不得超过基金资产净值的</w:t>
      </w:r>
      <w:r>
        <w:rPr>
          <w:rFonts w:ascii="宋体" w:eastAsia="宋体" w:hAnsi="宋体" w:cs="Times New Roman"/>
          <w:sz w:val="24"/>
          <w:szCs w:val="24"/>
        </w:rPr>
        <w:t>30%，出借期限在10个交易日以上的出借证券应纳入《流动性风险管理规定》所述流动性受限证券的范围；</w:t>
      </w:r>
    </w:p>
    <w:p w14:paraId="60CD7FE7"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②本基金参与出借业务的单只证券不得超过基金持有该证券总量的</w:t>
      </w:r>
      <w:r>
        <w:rPr>
          <w:rFonts w:ascii="宋体" w:eastAsia="宋体" w:hAnsi="宋体" w:cs="Times New Roman"/>
          <w:sz w:val="24"/>
          <w:szCs w:val="24"/>
        </w:rPr>
        <w:t>30%；</w:t>
      </w:r>
    </w:p>
    <w:p w14:paraId="46B0B163"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③最近</w:t>
      </w:r>
      <w:r>
        <w:rPr>
          <w:rFonts w:ascii="宋体" w:eastAsia="宋体" w:hAnsi="宋体" w:cs="Times New Roman"/>
          <w:sz w:val="24"/>
          <w:szCs w:val="24"/>
        </w:rPr>
        <w:t>6个月内日均基金资产净值不得低于2亿元；</w:t>
      </w:r>
    </w:p>
    <w:p w14:paraId="0391EF19"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④证券出借的平均剩余期限不得超过</w:t>
      </w:r>
      <w:r>
        <w:rPr>
          <w:rFonts w:ascii="宋体" w:eastAsia="宋体" w:hAnsi="宋体" w:cs="Times New Roman"/>
          <w:sz w:val="24"/>
          <w:szCs w:val="24"/>
        </w:rPr>
        <w:t>30天，平均剩余期限按照市值加权平均计算；</w:t>
      </w:r>
    </w:p>
    <w:p w14:paraId="108E342D"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因证券市场波动、上市公司合并、基金规模变动等基金管理人之外的因素致使基金投资不符合上述规定的，基金管理人不得新增出借业务；</w:t>
      </w:r>
    </w:p>
    <w:p w14:paraId="3A746EA0"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w:t>
      </w:r>
      <w:r>
        <w:rPr>
          <w:rFonts w:ascii="宋体" w:eastAsia="宋体" w:hAnsi="宋体" w:cs="Times New Roman"/>
          <w:sz w:val="24"/>
          <w:szCs w:val="24"/>
        </w:rPr>
        <w:t>14）本基金主动投资于流动性受限资产的市值合计不得超过基金资产净值的15%；因证券市场波动、上市公司股票停牌、基金规模变动等基金管理人之外的因素致使基金不符合本款所规定比例限制的，本基金管理人不得主动新增流动性受限资产的投资；</w:t>
      </w:r>
    </w:p>
    <w:p w14:paraId="1FC4C685"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15）本基金投资存托凭证的比例限制依照国内依法发行上市的股票执行，与国内依法发行上市的股票合并计算；</w:t>
      </w:r>
    </w:p>
    <w:p w14:paraId="5B00A05A"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16）法律法规及中国证监会规定的和《基金合同》约定的其他投资限制。</w:t>
      </w:r>
    </w:p>
    <w:p w14:paraId="421473D6"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除第（</w:t>
      </w:r>
      <w:r>
        <w:rPr>
          <w:rFonts w:ascii="宋体" w:eastAsia="宋体" w:hAnsi="宋体" w:cs="Times New Roman"/>
          <w:sz w:val="24"/>
          <w:szCs w:val="24"/>
        </w:rPr>
        <w:t>6）、（13）、（14）项外，因证券、期货市场波动、证券发行人合并、基金规模变动、标的指数成份股调整、标的指数成份股流动性限制等基金管理人之外的因素致使基金投资比例不符合上述规定投资比例的，基金管理人应当在所涉证券可交易之日起10个交易日内进行调整，但中国证监会规定的特殊情形除外。法律法规另有规定的，从其规定。</w:t>
      </w:r>
    </w:p>
    <w:p w14:paraId="25ACBC19"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基金管理人应当自基金合同生效之日起</w:t>
      </w:r>
      <w:r>
        <w:rPr>
          <w:rFonts w:ascii="宋体" w:eastAsia="宋体" w:hAnsi="宋体" w:cs="Times New Roman"/>
          <w:sz w:val="24"/>
          <w:szCs w:val="24"/>
        </w:rPr>
        <w:t>6个月内使基金的投资组合比例符合基金合同的有关约定。在上述期间内，本基金的投资范围、投资策略应当符合基金合同的约定。基金托管人对基金的投资的监督与检查自基金合同生效之日起开始。</w:t>
      </w:r>
    </w:p>
    <w:p w14:paraId="6EB8DF60"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三</w:t>
      </w:r>
      <w:r>
        <w:rPr>
          <w:rFonts w:ascii="宋体" w:eastAsia="宋体" w:hAnsi="宋体" w:cs="Malgun Gothic Semilight" w:hint="eastAsia"/>
          <w:sz w:val="24"/>
          <w:szCs w:val="24"/>
        </w:rPr>
        <w:t>）</w:t>
      </w:r>
      <w:r>
        <w:rPr>
          <w:rFonts w:ascii="宋体" w:eastAsia="宋体" w:hAnsi="宋体" w:cs="微软雅黑" w:hint="eastAsia"/>
          <w:sz w:val="24"/>
          <w:szCs w:val="24"/>
        </w:rPr>
        <w:t>基金托管人</w:t>
      </w:r>
      <w:bookmarkStart w:id="7" w:name="OLE_LINK1"/>
      <w:r>
        <w:rPr>
          <w:rFonts w:ascii="宋体" w:eastAsia="宋体" w:hAnsi="宋体" w:cs="微软雅黑" w:hint="eastAsia"/>
          <w:sz w:val="24"/>
          <w:szCs w:val="24"/>
        </w:rPr>
        <w:t>根据有关法律法规的规定及</w:t>
      </w:r>
      <w:r>
        <w:rPr>
          <w:rFonts w:ascii="宋体" w:eastAsia="宋体" w:hAnsi="宋体" w:cs="Malgun Gothic Semilight"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的约定</w:t>
      </w:r>
      <w:r>
        <w:rPr>
          <w:rFonts w:ascii="宋体" w:eastAsia="宋体" w:hAnsi="宋体" w:cs="Malgun Gothic Semilight" w:hint="eastAsia"/>
          <w:sz w:val="24"/>
          <w:szCs w:val="24"/>
        </w:rPr>
        <w:t>，</w:t>
      </w:r>
      <w:bookmarkEnd w:id="7"/>
      <w:r>
        <w:rPr>
          <w:rFonts w:ascii="宋体" w:eastAsia="宋体" w:hAnsi="宋体" w:cs="微软雅黑" w:hint="eastAsia"/>
          <w:sz w:val="24"/>
          <w:szCs w:val="24"/>
        </w:rPr>
        <w:t>对本托管协议第十五条第</w:t>
      </w:r>
      <w:r>
        <w:rPr>
          <w:rFonts w:ascii="宋体" w:eastAsia="宋体" w:hAnsi="宋体" w:cs="Arial" w:hint="eastAsia"/>
          <w:sz w:val="24"/>
          <w:szCs w:val="24"/>
        </w:rPr>
        <w:t>（</w:t>
      </w:r>
      <w:r>
        <w:rPr>
          <w:rFonts w:ascii="宋体" w:eastAsia="宋体" w:hAnsi="宋体" w:cs="微软雅黑" w:hint="eastAsia"/>
          <w:sz w:val="24"/>
          <w:szCs w:val="24"/>
        </w:rPr>
        <w:t>九</w:t>
      </w:r>
      <w:r>
        <w:rPr>
          <w:rFonts w:ascii="宋体" w:eastAsia="宋体" w:hAnsi="宋体" w:cs="Arial" w:hint="eastAsia"/>
          <w:sz w:val="24"/>
          <w:szCs w:val="24"/>
        </w:rPr>
        <w:t>）</w:t>
      </w:r>
      <w:proofErr w:type="gramStart"/>
      <w:r>
        <w:rPr>
          <w:rFonts w:ascii="宋体" w:eastAsia="宋体" w:hAnsi="宋体" w:cs="微软雅黑" w:hint="eastAsia"/>
          <w:sz w:val="24"/>
          <w:szCs w:val="24"/>
        </w:rPr>
        <w:t>款基金</w:t>
      </w:r>
      <w:proofErr w:type="gramEnd"/>
      <w:r>
        <w:rPr>
          <w:rFonts w:ascii="宋体" w:eastAsia="宋体" w:hAnsi="宋体" w:cs="微软雅黑" w:hint="eastAsia"/>
          <w:sz w:val="24"/>
          <w:szCs w:val="24"/>
        </w:rPr>
        <w:t>投资禁止行为通过事后监督方式进行监督</w:t>
      </w:r>
      <w:r>
        <w:rPr>
          <w:rFonts w:ascii="宋体" w:eastAsia="宋体" w:hAnsi="宋体" w:cs="Malgun Gothic Semilight" w:hint="eastAsia"/>
          <w:sz w:val="24"/>
          <w:szCs w:val="24"/>
        </w:rPr>
        <w:t>。</w:t>
      </w:r>
    </w:p>
    <w:p w14:paraId="455E4CFA" w14:textId="77777777" w:rsidR="00F012EE" w:rsidRDefault="00477FBC">
      <w:pPr>
        <w:adjustRightInd w:val="0"/>
        <w:snapToGrid w:val="0"/>
        <w:spacing w:line="360" w:lineRule="auto"/>
        <w:ind w:firstLineChars="200" w:firstLine="480"/>
        <w:rPr>
          <w:rFonts w:ascii="宋体" w:eastAsia="宋体" w:hAnsi="宋体" w:cs="Malgun Gothic Semilight"/>
          <w:sz w:val="24"/>
          <w:szCs w:val="24"/>
        </w:rPr>
      </w:pPr>
      <w:r>
        <w:rPr>
          <w:rFonts w:ascii="宋体" w:eastAsia="宋体" w:hAnsi="宋体" w:cs="微软雅黑" w:hint="eastAsia"/>
          <w:sz w:val="24"/>
          <w:szCs w:val="24"/>
        </w:rPr>
        <w:t>除标的指数成份股、备选成份股之外，基金管理人运用基金财产买卖基金管理人</w:t>
      </w:r>
      <w:r>
        <w:rPr>
          <w:rFonts w:ascii="宋体" w:eastAsia="宋体" w:hAnsi="宋体" w:cs="Malgun Gothic Semilight" w:hint="eastAsia"/>
          <w:sz w:val="24"/>
          <w:szCs w:val="24"/>
        </w:rPr>
        <w:t>、</w:t>
      </w:r>
      <w:r>
        <w:rPr>
          <w:rFonts w:ascii="宋体" w:eastAsia="宋体" w:hAnsi="宋体" w:cs="微软雅黑" w:hint="eastAsia"/>
          <w:sz w:val="24"/>
          <w:szCs w:val="24"/>
        </w:rPr>
        <w:t>基金托管人及其控股股东</w:t>
      </w:r>
      <w:r>
        <w:rPr>
          <w:rFonts w:ascii="宋体" w:eastAsia="宋体" w:hAnsi="宋体" w:cs="Malgun Gothic Semilight" w:hint="eastAsia"/>
          <w:sz w:val="24"/>
          <w:szCs w:val="24"/>
        </w:rPr>
        <w:t>、</w:t>
      </w:r>
      <w:r>
        <w:rPr>
          <w:rFonts w:ascii="宋体" w:eastAsia="宋体" w:hAnsi="宋体" w:cs="微软雅黑" w:hint="eastAsia"/>
          <w:sz w:val="24"/>
          <w:szCs w:val="24"/>
        </w:rPr>
        <w:t>实际控制人或者与其有重大利害关系的公司发行的证券或者承销期内承销的证券</w:t>
      </w:r>
      <w:r>
        <w:rPr>
          <w:rFonts w:ascii="宋体" w:eastAsia="宋体" w:hAnsi="宋体" w:cs="Malgun Gothic Semilight" w:hint="eastAsia"/>
          <w:sz w:val="24"/>
          <w:szCs w:val="24"/>
        </w:rPr>
        <w:t>，</w:t>
      </w:r>
      <w:r>
        <w:rPr>
          <w:rFonts w:ascii="宋体" w:eastAsia="宋体" w:hAnsi="宋体" w:cs="微软雅黑" w:hint="eastAsia"/>
          <w:sz w:val="24"/>
          <w:szCs w:val="24"/>
        </w:rPr>
        <w:t>或者从事其他重大关联交易的</w:t>
      </w:r>
      <w:r>
        <w:rPr>
          <w:rFonts w:ascii="宋体" w:eastAsia="宋体" w:hAnsi="宋体" w:cs="Malgun Gothic Semilight" w:hint="eastAsia"/>
          <w:sz w:val="24"/>
          <w:szCs w:val="24"/>
        </w:rPr>
        <w:t>，</w:t>
      </w:r>
      <w:r>
        <w:rPr>
          <w:rFonts w:ascii="宋体" w:eastAsia="宋体" w:hAnsi="宋体" w:cs="微软雅黑" w:hint="eastAsia"/>
          <w:sz w:val="24"/>
          <w:szCs w:val="24"/>
        </w:rPr>
        <w:t>应当符合基金的投资目标和投资策略</w:t>
      </w:r>
      <w:r>
        <w:rPr>
          <w:rFonts w:ascii="宋体" w:eastAsia="宋体" w:hAnsi="宋体" w:cs="Malgun Gothic Semilight" w:hint="eastAsia"/>
          <w:sz w:val="24"/>
          <w:szCs w:val="24"/>
        </w:rPr>
        <w:t>，</w:t>
      </w:r>
      <w:r>
        <w:rPr>
          <w:rFonts w:ascii="宋体" w:eastAsia="宋体" w:hAnsi="宋体" w:cs="微软雅黑" w:hint="eastAsia"/>
          <w:sz w:val="24"/>
          <w:szCs w:val="24"/>
        </w:rPr>
        <w:t>遵循基金份额持有人利益优先原则</w:t>
      </w:r>
      <w:r>
        <w:rPr>
          <w:rFonts w:ascii="宋体" w:eastAsia="宋体" w:hAnsi="宋体" w:cs="Malgun Gothic Semilight" w:hint="eastAsia"/>
          <w:sz w:val="24"/>
          <w:szCs w:val="24"/>
        </w:rPr>
        <w:t>，</w:t>
      </w:r>
      <w:r>
        <w:rPr>
          <w:rFonts w:ascii="宋体" w:eastAsia="宋体" w:hAnsi="宋体" w:cs="微软雅黑" w:hint="eastAsia"/>
          <w:sz w:val="24"/>
          <w:szCs w:val="24"/>
        </w:rPr>
        <w:t>防范利益冲突</w:t>
      </w:r>
      <w:r>
        <w:rPr>
          <w:rFonts w:ascii="宋体" w:eastAsia="宋体" w:hAnsi="宋体" w:cs="Malgun Gothic Semilight" w:hint="eastAsia"/>
          <w:sz w:val="24"/>
          <w:szCs w:val="24"/>
        </w:rPr>
        <w:t>，</w:t>
      </w:r>
      <w:r>
        <w:rPr>
          <w:rFonts w:ascii="宋体" w:eastAsia="宋体" w:hAnsi="宋体" w:cs="微软雅黑" w:hint="eastAsia"/>
          <w:sz w:val="24"/>
          <w:szCs w:val="24"/>
        </w:rPr>
        <w:t>建立健全内部审批机制和评估机制</w:t>
      </w:r>
      <w:r>
        <w:rPr>
          <w:rFonts w:ascii="宋体" w:eastAsia="宋体" w:hAnsi="宋体" w:cs="Malgun Gothic Semilight" w:hint="eastAsia"/>
          <w:sz w:val="24"/>
          <w:szCs w:val="24"/>
        </w:rPr>
        <w:t>，</w:t>
      </w:r>
      <w:r>
        <w:rPr>
          <w:rFonts w:ascii="宋体" w:eastAsia="宋体" w:hAnsi="宋体" w:cs="微软雅黑" w:hint="eastAsia"/>
          <w:sz w:val="24"/>
          <w:szCs w:val="24"/>
        </w:rPr>
        <w:t>按照市场公平合理价格执行</w:t>
      </w:r>
      <w:r>
        <w:rPr>
          <w:rFonts w:ascii="宋体" w:eastAsia="宋体" w:hAnsi="宋体" w:cs="Malgun Gothic Semilight" w:hint="eastAsia"/>
          <w:sz w:val="24"/>
          <w:szCs w:val="24"/>
        </w:rPr>
        <w:t>。</w:t>
      </w:r>
      <w:r>
        <w:rPr>
          <w:rFonts w:ascii="宋体" w:eastAsia="宋体" w:hAnsi="宋体" w:cs="微软雅黑" w:hint="eastAsia"/>
          <w:sz w:val="24"/>
          <w:szCs w:val="24"/>
        </w:rPr>
        <w:t>相关交易必须事先得到基金托管人的同意</w:t>
      </w:r>
      <w:r>
        <w:rPr>
          <w:rFonts w:ascii="宋体" w:eastAsia="宋体" w:hAnsi="宋体" w:cs="Malgun Gothic Semilight" w:hint="eastAsia"/>
          <w:sz w:val="24"/>
          <w:szCs w:val="24"/>
        </w:rPr>
        <w:t>，</w:t>
      </w:r>
      <w:r>
        <w:rPr>
          <w:rFonts w:ascii="宋体" w:eastAsia="宋体" w:hAnsi="宋体" w:cs="微软雅黑" w:hint="eastAsia"/>
          <w:sz w:val="24"/>
          <w:szCs w:val="24"/>
        </w:rPr>
        <w:t>并按法律法规予以披露</w:t>
      </w:r>
      <w:r>
        <w:rPr>
          <w:rFonts w:ascii="宋体" w:eastAsia="宋体" w:hAnsi="宋体" w:cs="Malgun Gothic Semilight" w:hint="eastAsia"/>
          <w:sz w:val="24"/>
          <w:szCs w:val="24"/>
        </w:rPr>
        <w:t>。</w:t>
      </w:r>
      <w:r>
        <w:rPr>
          <w:rFonts w:ascii="宋体" w:eastAsia="宋体" w:hAnsi="宋体" w:cs="微软雅黑" w:hint="eastAsia"/>
          <w:sz w:val="24"/>
          <w:szCs w:val="24"/>
        </w:rPr>
        <w:t>重大关联交易应提交基金管理人董事会审议</w:t>
      </w:r>
      <w:r>
        <w:rPr>
          <w:rFonts w:ascii="宋体" w:eastAsia="宋体" w:hAnsi="宋体" w:cs="Malgun Gothic Semilight" w:hint="eastAsia"/>
          <w:sz w:val="24"/>
          <w:szCs w:val="24"/>
        </w:rPr>
        <w:t>，</w:t>
      </w:r>
      <w:r>
        <w:rPr>
          <w:rFonts w:ascii="宋体" w:eastAsia="宋体" w:hAnsi="宋体" w:cs="微软雅黑" w:hint="eastAsia"/>
          <w:sz w:val="24"/>
          <w:szCs w:val="24"/>
        </w:rPr>
        <w:t>并经过三分之二以上（含三分之二）的独立董事通过</w:t>
      </w:r>
      <w:r>
        <w:rPr>
          <w:rFonts w:ascii="宋体" w:eastAsia="宋体" w:hAnsi="宋体" w:cs="Malgun Gothic Semilight" w:hint="eastAsia"/>
          <w:sz w:val="24"/>
          <w:szCs w:val="24"/>
        </w:rPr>
        <w:t>。基金管理人董事会应至少每半年对关联交易事项进行审查。</w:t>
      </w:r>
    </w:p>
    <w:p w14:paraId="4DBBEA43" w14:textId="77777777" w:rsidR="00F012EE" w:rsidRDefault="00477FBC">
      <w:pPr>
        <w:adjustRightInd w:val="0"/>
        <w:snapToGrid w:val="0"/>
        <w:spacing w:line="360" w:lineRule="auto"/>
        <w:ind w:firstLineChars="200" w:firstLine="480"/>
        <w:rPr>
          <w:rFonts w:ascii="宋体" w:eastAsia="宋体" w:hAnsi="宋体" w:cs="Malgun Gothic Semilight"/>
          <w:sz w:val="24"/>
          <w:szCs w:val="24"/>
        </w:rPr>
      </w:pPr>
      <w:r>
        <w:rPr>
          <w:rFonts w:ascii="宋体" w:eastAsia="宋体" w:hAnsi="宋体" w:cs="Malgun Gothic Semilight" w:hint="eastAsia"/>
          <w:sz w:val="24"/>
          <w:szCs w:val="24"/>
        </w:rPr>
        <w:t>（四）法律法规或监管部门对基金合同所述投资比例、投资限制、组合限制、禁止行为等</w:t>
      </w:r>
      <w:proofErr w:type="gramStart"/>
      <w:r>
        <w:rPr>
          <w:rFonts w:ascii="宋体" w:eastAsia="宋体" w:hAnsi="宋体" w:cs="Malgun Gothic Semilight" w:hint="eastAsia"/>
          <w:sz w:val="24"/>
          <w:szCs w:val="24"/>
        </w:rPr>
        <w:t>作出</w:t>
      </w:r>
      <w:proofErr w:type="gramEnd"/>
      <w:r>
        <w:rPr>
          <w:rFonts w:ascii="宋体" w:eastAsia="宋体" w:hAnsi="宋体" w:cs="Malgun Gothic Semilight" w:hint="eastAsia"/>
          <w:sz w:val="24"/>
          <w:szCs w:val="24"/>
        </w:rPr>
        <w:t>强制性调整的，本基金应当按照法律法规或监管部门的规定执行。</w:t>
      </w:r>
    </w:p>
    <w:p w14:paraId="3D16E535"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五</w:t>
      </w:r>
      <w:r>
        <w:rPr>
          <w:rFonts w:ascii="宋体" w:eastAsia="宋体" w:hAnsi="宋体" w:cs="Arial" w:hint="eastAsia"/>
          <w:sz w:val="24"/>
          <w:szCs w:val="24"/>
        </w:rPr>
        <w:t>）</w:t>
      </w:r>
      <w:r>
        <w:rPr>
          <w:rFonts w:ascii="宋体" w:eastAsia="宋体" w:hAnsi="宋体" w:cs="微软雅黑" w:hint="eastAsia"/>
          <w:sz w:val="24"/>
          <w:szCs w:val="24"/>
        </w:rPr>
        <w:t>基金托管人根据有关法律法规的规定及</w:t>
      </w:r>
      <w:r>
        <w:rPr>
          <w:rFonts w:ascii="宋体" w:eastAsia="宋体" w:hAnsi="宋体" w:cs="Malgun Gothic Semilight"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的约定</w:t>
      </w:r>
      <w:r>
        <w:rPr>
          <w:rFonts w:ascii="宋体" w:eastAsia="宋体" w:hAnsi="宋体" w:cs="Malgun Gothic Semilight" w:hint="eastAsia"/>
          <w:sz w:val="24"/>
          <w:szCs w:val="24"/>
        </w:rPr>
        <w:t>，</w:t>
      </w:r>
      <w:r>
        <w:rPr>
          <w:rFonts w:ascii="宋体" w:eastAsia="宋体" w:hAnsi="宋体" w:cs="微软雅黑" w:hint="eastAsia"/>
          <w:sz w:val="24"/>
          <w:szCs w:val="24"/>
        </w:rPr>
        <w:t>对基金管理人投资流通受限证券进行监督</w:t>
      </w:r>
      <w:r>
        <w:rPr>
          <w:rFonts w:ascii="宋体" w:eastAsia="宋体" w:hAnsi="宋体" w:cs="Malgun Gothic Semilight" w:hint="eastAsia"/>
          <w:sz w:val="24"/>
          <w:szCs w:val="24"/>
        </w:rPr>
        <w:t>。</w:t>
      </w:r>
    </w:p>
    <w:p w14:paraId="3263E611" w14:textId="77777777" w:rsidR="00F012EE" w:rsidRDefault="00477FBC">
      <w:pPr>
        <w:adjustRightInd w:val="0"/>
        <w:snapToGrid w:val="0"/>
        <w:spacing w:line="360" w:lineRule="auto"/>
        <w:ind w:firstLineChars="200" w:firstLine="480"/>
        <w:rPr>
          <w:rFonts w:ascii="宋体" w:eastAsia="宋体" w:hAnsi="宋体" w:cs="Malgun Gothic Semilight"/>
          <w:sz w:val="24"/>
          <w:szCs w:val="24"/>
        </w:rPr>
      </w:pPr>
      <w:r>
        <w:rPr>
          <w:rFonts w:ascii="宋体" w:eastAsia="宋体" w:hAnsi="宋体" w:cs="微软雅黑" w:hint="eastAsia"/>
          <w:sz w:val="24"/>
          <w:szCs w:val="24"/>
        </w:rPr>
        <w:t>基金管理人投资流通受限证券</w:t>
      </w:r>
      <w:r>
        <w:rPr>
          <w:rFonts w:ascii="宋体" w:eastAsia="宋体" w:hAnsi="宋体" w:cs="Malgun Gothic Semilight" w:hint="eastAsia"/>
          <w:sz w:val="24"/>
          <w:szCs w:val="24"/>
        </w:rPr>
        <w:t>，</w:t>
      </w:r>
      <w:r>
        <w:rPr>
          <w:rFonts w:ascii="宋体" w:eastAsia="宋体" w:hAnsi="宋体" w:cs="微软雅黑" w:hint="eastAsia"/>
          <w:sz w:val="24"/>
          <w:szCs w:val="24"/>
        </w:rPr>
        <w:t>应事先根据中国证监会相关规定</w:t>
      </w:r>
      <w:r>
        <w:rPr>
          <w:rFonts w:ascii="宋体" w:eastAsia="宋体" w:hAnsi="宋体" w:cs="Malgun Gothic Semilight" w:hint="eastAsia"/>
          <w:sz w:val="24"/>
          <w:szCs w:val="24"/>
        </w:rPr>
        <w:t>，</w:t>
      </w:r>
      <w:r>
        <w:rPr>
          <w:rFonts w:ascii="宋体" w:eastAsia="宋体" w:hAnsi="宋体" w:cs="微软雅黑" w:hint="eastAsia"/>
          <w:sz w:val="24"/>
          <w:szCs w:val="24"/>
        </w:rPr>
        <w:t>明确基金投</w:t>
      </w:r>
      <w:r>
        <w:rPr>
          <w:rFonts w:ascii="宋体" w:eastAsia="宋体" w:hAnsi="宋体" w:cs="微软雅黑" w:hint="eastAsia"/>
          <w:sz w:val="24"/>
          <w:szCs w:val="24"/>
        </w:rPr>
        <w:lastRenderedPageBreak/>
        <w:t>资流通受限证券的比例</w:t>
      </w:r>
      <w:r>
        <w:rPr>
          <w:rFonts w:ascii="宋体" w:eastAsia="宋体" w:hAnsi="宋体" w:cs="Malgun Gothic Semilight" w:hint="eastAsia"/>
          <w:sz w:val="24"/>
          <w:szCs w:val="24"/>
        </w:rPr>
        <w:t>，</w:t>
      </w:r>
      <w:r>
        <w:rPr>
          <w:rFonts w:ascii="宋体" w:eastAsia="宋体" w:hAnsi="宋体" w:cs="微软雅黑" w:hint="eastAsia"/>
          <w:sz w:val="24"/>
          <w:szCs w:val="24"/>
        </w:rPr>
        <w:t>制订严格的投资决策流程和风险控制制度</w:t>
      </w:r>
      <w:r>
        <w:rPr>
          <w:rFonts w:ascii="宋体" w:eastAsia="宋体" w:hAnsi="宋体" w:cs="Malgun Gothic Semilight" w:hint="eastAsia"/>
          <w:sz w:val="24"/>
          <w:szCs w:val="24"/>
        </w:rPr>
        <w:t>，</w:t>
      </w:r>
      <w:r>
        <w:rPr>
          <w:rFonts w:ascii="宋体" w:eastAsia="宋体" w:hAnsi="宋体" w:cs="微软雅黑" w:hint="eastAsia"/>
          <w:sz w:val="24"/>
          <w:szCs w:val="24"/>
        </w:rPr>
        <w:t>防范流动性风险</w:t>
      </w:r>
      <w:r>
        <w:rPr>
          <w:rFonts w:ascii="宋体" w:eastAsia="宋体" w:hAnsi="宋体" w:cs="Malgun Gothic Semilight" w:hint="eastAsia"/>
          <w:sz w:val="24"/>
          <w:szCs w:val="24"/>
        </w:rPr>
        <w:t>、</w:t>
      </w:r>
      <w:r>
        <w:rPr>
          <w:rFonts w:ascii="宋体" w:eastAsia="宋体" w:hAnsi="宋体" w:cs="微软雅黑" w:hint="eastAsia"/>
          <w:sz w:val="24"/>
          <w:szCs w:val="24"/>
        </w:rPr>
        <w:t>法律风险和操作风险等各种风险</w:t>
      </w:r>
      <w:r>
        <w:rPr>
          <w:rFonts w:ascii="宋体" w:eastAsia="宋体" w:hAnsi="宋体" w:cs="Malgun Gothic Semilight" w:hint="eastAsia"/>
          <w:sz w:val="24"/>
          <w:szCs w:val="24"/>
        </w:rPr>
        <w:t>。</w:t>
      </w:r>
    </w:p>
    <w:p w14:paraId="3D7DDC6A" w14:textId="77777777" w:rsidR="00F012EE" w:rsidRDefault="00477FBC">
      <w:pPr>
        <w:adjustRightInd w:val="0"/>
        <w:snapToGrid w:val="0"/>
        <w:spacing w:line="360" w:lineRule="auto"/>
        <w:ind w:firstLineChars="200" w:firstLine="480"/>
        <w:rPr>
          <w:rFonts w:ascii="宋体" w:eastAsia="宋体" w:hAnsi="宋体" w:cs="微软雅黑"/>
          <w:sz w:val="24"/>
          <w:szCs w:val="24"/>
        </w:rPr>
      </w:pPr>
      <w:r>
        <w:rPr>
          <w:rFonts w:ascii="宋体" w:eastAsia="宋体" w:hAnsi="宋体" w:cs="Arial" w:hint="eastAsia"/>
          <w:sz w:val="24"/>
          <w:szCs w:val="24"/>
        </w:rPr>
        <w:t>1.</w:t>
      </w:r>
      <w:r>
        <w:rPr>
          <w:rFonts w:ascii="宋体" w:eastAsia="宋体" w:hAnsi="宋体" w:cs="微软雅黑" w:hint="eastAsia"/>
          <w:sz w:val="24"/>
          <w:szCs w:val="24"/>
        </w:rPr>
        <w:t>本基金投资的流通受限证券须为经中国证监会批准的非公开发行股票</w:t>
      </w:r>
      <w:r>
        <w:rPr>
          <w:rFonts w:ascii="宋体" w:eastAsia="宋体" w:hAnsi="宋体" w:cs="Malgun Gothic Semilight" w:hint="eastAsia"/>
          <w:sz w:val="24"/>
          <w:szCs w:val="24"/>
        </w:rPr>
        <w:t>、</w:t>
      </w:r>
      <w:r>
        <w:rPr>
          <w:rFonts w:ascii="宋体" w:eastAsia="宋体" w:hAnsi="宋体" w:cs="微软雅黑" w:hint="eastAsia"/>
          <w:sz w:val="24"/>
          <w:szCs w:val="24"/>
        </w:rPr>
        <w:t>公开发行股票网下配售部分等在发行时明确一定期限锁定期的可交易证券</w:t>
      </w:r>
      <w:r>
        <w:rPr>
          <w:rFonts w:ascii="宋体" w:eastAsia="宋体" w:hAnsi="宋体" w:cs="Malgun Gothic Semilight" w:hint="eastAsia"/>
          <w:sz w:val="24"/>
          <w:szCs w:val="24"/>
        </w:rPr>
        <w:t>，</w:t>
      </w:r>
      <w:r>
        <w:rPr>
          <w:rFonts w:ascii="宋体" w:eastAsia="宋体" w:hAnsi="宋体" w:cs="微软雅黑" w:hint="eastAsia"/>
          <w:sz w:val="24"/>
          <w:szCs w:val="24"/>
        </w:rPr>
        <w:t>不包括由于发布重大消息或其他原因而临时停牌的证券</w:t>
      </w:r>
      <w:r>
        <w:rPr>
          <w:rFonts w:ascii="宋体" w:eastAsia="宋体" w:hAnsi="宋体" w:cs="Malgun Gothic Semilight" w:hint="eastAsia"/>
          <w:sz w:val="24"/>
          <w:szCs w:val="24"/>
        </w:rPr>
        <w:t>、</w:t>
      </w:r>
      <w:r>
        <w:rPr>
          <w:rFonts w:ascii="宋体" w:eastAsia="宋体" w:hAnsi="宋体" w:cs="微软雅黑" w:hint="eastAsia"/>
          <w:sz w:val="24"/>
          <w:szCs w:val="24"/>
        </w:rPr>
        <w:t>已发行未上市证券</w:t>
      </w:r>
      <w:r>
        <w:rPr>
          <w:rFonts w:ascii="宋体" w:eastAsia="宋体" w:hAnsi="宋体" w:cs="Malgun Gothic Semilight" w:hint="eastAsia"/>
          <w:sz w:val="24"/>
          <w:szCs w:val="24"/>
        </w:rPr>
        <w:t>、</w:t>
      </w:r>
      <w:r>
        <w:rPr>
          <w:rFonts w:ascii="宋体" w:eastAsia="宋体" w:hAnsi="宋体" w:cs="微软雅黑" w:hint="eastAsia"/>
          <w:sz w:val="24"/>
          <w:szCs w:val="24"/>
        </w:rPr>
        <w:t>回购交易中的质押</w:t>
      </w:r>
      <w:proofErr w:type="gramStart"/>
      <w:r>
        <w:rPr>
          <w:rFonts w:ascii="宋体" w:eastAsia="宋体" w:hAnsi="宋体" w:cs="微软雅黑" w:hint="eastAsia"/>
          <w:sz w:val="24"/>
          <w:szCs w:val="24"/>
        </w:rPr>
        <w:t>券</w:t>
      </w:r>
      <w:proofErr w:type="gramEnd"/>
      <w:r>
        <w:rPr>
          <w:rFonts w:ascii="宋体" w:eastAsia="宋体" w:hAnsi="宋体" w:cs="微软雅黑" w:hint="eastAsia"/>
          <w:sz w:val="24"/>
          <w:szCs w:val="24"/>
        </w:rPr>
        <w:t>等流通受限证券</w:t>
      </w:r>
      <w:r>
        <w:rPr>
          <w:rFonts w:ascii="宋体" w:eastAsia="宋体" w:hAnsi="宋体" w:cs="Malgun Gothic Semilight" w:hint="eastAsia"/>
          <w:sz w:val="24"/>
          <w:szCs w:val="24"/>
        </w:rPr>
        <w:t>。</w:t>
      </w:r>
      <w:r>
        <w:rPr>
          <w:rFonts w:ascii="宋体" w:eastAsia="宋体" w:hAnsi="宋体" w:cs="微软雅黑" w:hint="eastAsia"/>
          <w:sz w:val="24"/>
          <w:szCs w:val="24"/>
        </w:rPr>
        <w:t>本基金不投资有</w:t>
      </w:r>
      <w:proofErr w:type="gramStart"/>
      <w:r>
        <w:rPr>
          <w:rFonts w:ascii="宋体" w:eastAsia="宋体" w:hAnsi="宋体" w:cs="微软雅黑" w:hint="eastAsia"/>
          <w:sz w:val="24"/>
          <w:szCs w:val="24"/>
        </w:rPr>
        <w:t>锁定期但锁定</w:t>
      </w:r>
      <w:proofErr w:type="gramEnd"/>
      <w:r>
        <w:rPr>
          <w:rFonts w:ascii="宋体" w:eastAsia="宋体" w:hAnsi="宋体" w:cs="微软雅黑" w:hint="eastAsia"/>
          <w:sz w:val="24"/>
          <w:szCs w:val="24"/>
        </w:rPr>
        <w:t>期不明确的证券。</w:t>
      </w:r>
    </w:p>
    <w:p w14:paraId="207D97DD" w14:textId="77777777" w:rsidR="00F012EE" w:rsidRDefault="00477FBC">
      <w:pPr>
        <w:adjustRightInd w:val="0"/>
        <w:snapToGrid w:val="0"/>
        <w:spacing w:line="360" w:lineRule="auto"/>
        <w:ind w:firstLineChars="200" w:firstLine="480"/>
        <w:rPr>
          <w:rFonts w:ascii="宋体" w:eastAsia="宋体" w:hAnsi="宋体" w:cs="微软雅黑"/>
          <w:sz w:val="24"/>
          <w:szCs w:val="24"/>
        </w:rPr>
      </w:pPr>
      <w:r>
        <w:rPr>
          <w:rFonts w:ascii="宋体" w:eastAsia="宋体" w:hAnsi="宋体" w:cs="微软雅黑" w:hint="eastAsia"/>
          <w:sz w:val="24"/>
          <w:szCs w:val="24"/>
        </w:rPr>
        <w:t>本基金投资的流通受限证券限于可由中国证券登记结算有限责任公司或中央国债登记结算有限责任公司负责登记和存管，并可在证券交易所或全国银行间债券市场交易的证券。</w:t>
      </w:r>
    </w:p>
    <w:p w14:paraId="0D37CC76"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微软雅黑" w:hint="eastAsia"/>
          <w:sz w:val="24"/>
          <w:szCs w:val="24"/>
        </w:rPr>
        <w:t>本基金投资的流通受限证券应保证登记存管在本基金名下</w:t>
      </w:r>
      <w:r>
        <w:rPr>
          <w:rFonts w:ascii="宋体" w:eastAsia="宋体" w:hAnsi="宋体" w:cs="Malgun Gothic Semilight" w:hint="eastAsia"/>
          <w:sz w:val="24"/>
          <w:szCs w:val="24"/>
        </w:rPr>
        <w:t>，</w:t>
      </w:r>
      <w:r>
        <w:rPr>
          <w:rFonts w:ascii="宋体" w:eastAsia="宋体" w:hAnsi="宋体" w:cs="微软雅黑" w:hint="eastAsia"/>
          <w:sz w:val="24"/>
          <w:szCs w:val="24"/>
        </w:rPr>
        <w:t>基金管理人负责相关工作的落实和协调</w:t>
      </w:r>
      <w:r>
        <w:rPr>
          <w:rFonts w:ascii="宋体" w:eastAsia="宋体" w:hAnsi="宋体" w:cs="Malgun Gothic Semilight" w:hint="eastAsia"/>
          <w:sz w:val="24"/>
          <w:szCs w:val="24"/>
        </w:rPr>
        <w:t>，</w:t>
      </w:r>
      <w:r>
        <w:rPr>
          <w:rFonts w:ascii="宋体" w:eastAsia="宋体" w:hAnsi="宋体" w:cs="微软雅黑" w:hint="eastAsia"/>
          <w:sz w:val="24"/>
          <w:szCs w:val="24"/>
        </w:rPr>
        <w:t>并确保基金托管人能够正常查询</w:t>
      </w:r>
      <w:r>
        <w:rPr>
          <w:rFonts w:ascii="宋体" w:eastAsia="宋体" w:hAnsi="宋体" w:cs="Malgun Gothic Semilight" w:hint="eastAsia"/>
          <w:sz w:val="24"/>
          <w:szCs w:val="24"/>
        </w:rPr>
        <w:t>。</w:t>
      </w:r>
      <w:r>
        <w:rPr>
          <w:rFonts w:ascii="宋体" w:eastAsia="宋体" w:hAnsi="宋体" w:cs="微软雅黑" w:hint="eastAsia"/>
          <w:sz w:val="24"/>
          <w:szCs w:val="24"/>
        </w:rPr>
        <w:t>因基金管理</w:t>
      </w:r>
      <w:proofErr w:type="gramStart"/>
      <w:r>
        <w:rPr>
          <w:rFonts w:ascii="宋体" w:eastAsia="宋体" w:hAnsi="宋体" w:cs="微软雅黑" w:hint="eastAsia"/>
          <w:sz w:val="24"/>
          <w:szCs w:val="24"/>
        </w:rPr>
        <w:t>人原因</w:t>
      </w:r>
      <w:proofErr w:type="gramEnd"/>
      <w:r>
        <w:rPr>
          <w:rFonts w:ascii="宋体" w:eastAsia="宋体" w:hAnsi="宋体" w:cs="微软雅黑" w:hint="eastAsia"/>
          <w:sz w:val="24"/>
          <w:szCs w:val="24"/>
        </w:rPr>
        <w:t>产生的流通受限证券登记存管问题</w:t>
      </w:r>
      <w:r>
        <w:rPr>
          <w:rFonts w:ascii="宋体" w:eastAsia="宋体" w:hAnsi="宋体" w:cs="Malgun Gothic Semilight" w:hint="eastAsia"/>
          <w:sz w:val="24"/>
          <w:szCs w:val="24"/>
        </w:rPr>
        <w:t>，</w:t>
      </w:r>
      <w:r>
        <w:rPr>
          <w:rFonts w:ascii="宋体" w:eastAsia="宋体" w:hAnsi="宋体" w:cs="微软雅黑" w:hint="eastAsia"/>
          <w:sz w:val="24"/>
          <w:szCs w:val="24"/>
        </w:rPr>
        <w:t>造成基金托管人无法安全保管本基金资产的责任与损失</w:t>
      </w:r>
      <w:r>
        <w:rPr>
          <w:rFonts w:ascii="宋体" w:eastAsia="宋体" w:hAnsi="宋体" w:cs="Malgun Gothic Semilight" w:hint="eastAsia"/>
          <w:sz w:val="24"/>
          <w:szCs w:val="24"/>
        </w:rPr>
        <w:t>，</w:t>
      </w:r>
      <w:r>
        <w:rPr>
          <w:rFonts w:ascii="宋体" w:eastAsia="宋体" w:hAnsi="宋体" w:cs="微软雅黑" w:hint="eastAsia"/>
          <w:sz w:val="24"/>
          <w:szCs w:val="24"/>
        </w:rPr>
        <w:t>及因流通受限证券存管直接影响本基金安全的责任及损失</w:t>
      </w:r>
      <w:r>
        <w:rPr>
          <w:rFonts w:ascii="宋体" w:eastAsia="宋体" w:hAnsi="宋体" w:cs="Malgun Gothic Semilight" w:hint="eastAsia"/>
          <w:sz w:val="24"/>
          <w:szCs w:val="24"/>
        </w:rPr>
        <w:t>，</w:t>
      </w:r>
      <w:r>
        <w:rPr>
          <w:rFonts w:ascii="宋体" w:eastAsia="宋体" w:hAnsi="宋体" w:cs="微软雅黑" w:hint="eastAsia"/>
          <w:sz w:val="24"/>
          <w:szCs w:val="24"/>
        </w:rPr>
        <w:t>由基金管理人承担</w:t>
      </w:r>
      <w:r>
        <w:rPr>
          <w:rFonts w:ascii="宋体" w:eastAsia="宋体" w:hAnsi="宋体" w:cs="Malgun Gothic Semilight" w:hint="eastAsia"/>
          <w:sz w:val="24"/>
          <w:szCs w:val="24"/>
        </w:rPr>
        <w:t>。</w:t>
      </w:r>
    </w:p>
    <w:p w14:paraId="30AB6FCF"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本基金投资流通受限证券</w:t>
      </w:r>
      <w:r>
        <w:rPr>
          <w:rFonts w:ascii="宋体" w:eastAsia="宋体" w:hAnsi="宋体" w:cs="Arial" w:hint="eastAsia"/>
          <w:sz w:val="24"/>
          <w:szCs w:val="24"/>
        </w:rPr>
        <w:t>，</w:t>
      </w:r>
      <w:r>
        <w:rPr>
          <w:rFonts w:ascii="宋体" w:eastAsia="宋体" w:hAnsi="宋体" w:cs="微软雅黑" w:hint="eastAsia"/>
          <w:sz w:val="24"/>
          <w:szCs w:val="24"/>
        </w:rPr>
        <w:t>不得预付任何形式的保证金</w:t>
      </w:r>
      <w:r>
        <w:rPr>
          <w:rFonts w:ascii="宋体" w:eastAsia="宋体" w:hAnsi="宋体" w:cs="Arial" w:hint="eastAsia"/>
          <w:sz w:val="24"/>
          <w:szCs w:val="24"/>
        </w:rPr>
        <w:t>。</w:t>
      </w:r>
      <w:r>
        <w:rPr>
          <w:rFonts w:ascii="宋体" w:eastAsia="宋体" w:hAnsi="宋体" w:cs="微软雅黑" w:hint="eastAsia"/>
          <w:sz w:val="24"/>
          <w:szCs w:val="24"/>
        </w:rPr>
        <w:t>若有最新法律法规</w:t>
      </w:r>
      <w:r>
        <w:rPr>
          <w:rFonts w:ascii="宋体" w:eastAsia="宋体" w:hAnsi="宋体" w:cs="Arial" w:hint="eastAsia"/>
          <w:sz w:val="24"/>
          <w:szCs w:val="24"/>
        </w:rPr>
        <w:t>、</w:t>
      </w:r>
      <w:r>
        <w:rPr>
          <w:rFonts w:ascii="宋体" w:eastAsia="宋体" w:hAnsi="宋体" w:cs="微软雅黑" w:hint="eastAsia"/>
          <w:sz w:val="24"/>
          <w:szCs w:val="24"/>
        </w:rPr>
        <w:t>监管政策变更规定的</w:t>
      </w:r>
      <w:r>
        <w:rPr>
          <w:rFonts w:ascii="宋体" w:eastAsia="宋体" w:hAnsi="宋体" w:cs="Arial" w:hint="eastAsia"/>
          <w:sz w:val="24"/>
          <w:szCs w:val="24"/>
        </w:rPr>
        <w:t>，</w:t>
      </w:r>
      <w:r>
        <w:rPr>
          <w:rFonts w:ascii="宋体" w:eastAsia="宋体" w:hAnsi="宋体" w:cs="微软雅黑" w:hint="eastAsia"/>
          <w:sz w:val="24"/>
          <w:szCs w:val="24"/>
        </w:rPr>
        <w:t>根据最新法律法规</w:t>
      </w:r>
      <w:r>
        <w:rPr>
          <w:rFonts w:ascii="宋体" w:eastAsia="宋体" w:hAnsi="宋体" w:cs="Arial" w:hint="eastAsia"/>
          <w:sz w:val="24"/>
          <w:szCs w:val="24"/>
        </w:rPr>
        <w:t>、</w:t>
      </w:r>
      <w:r>
        <w:rPr>
          <w:rFonts w:ascii="宋体" w:eastAsia="宋体" w:hAnsi="宋体" w:cs="微软雅黑" w:hint="eastAsia"/>
          <w:sz w:val="24"/>
          <w:szCs w:val="24"/>
        </w:rPr>
        <w:t>监管政策执行。</w:t>
      </w:r>
    </w:p>
    <w:p w14:paraId="3BED20BB"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微软雅黑" w:hint="eastAsia"/>
          <w:sz w:val="24"/>
          <w:szCs w:val="24"/>
        </w:rPr>
        <w:t>基金管理人投资非公开发行股票</w:t>
      </w:r>
      <w:r>
        <w:rPr>
          <w:rFonts w:ascii="宋体" w:eastAsia="宋体" w:hAnsi="宋体" w:cs="Arial" w:hint="eastAsia"/>
          <w:sz w:val="24"/>
          <w:szCs w:val="24"/>
        </w:rPr>
        <w:t>，</w:t>
      </w:r>
      <w:r>
        <w:rPr>
          <w:rFonts w:ascii="宋体" w:eastAsia="宋体" w:hAnsi="宋体" w:cs="微软雅黑" w:hint="eastAsia"/>
          <w:sz w:val="24"/>
          <w:szCs w:val="24"/>
        </w:rPr>
        <w:t>应制订流动性风险处置预案并经其董事会批准</w:t>
      </w:r>
      <w:r>
        <w:rPr>
          <w:rFonts w:ascii="宋体" w:eastAsia="宋体" w:hAnsi="宋体" w:cs="Arial" w:hint="eastAsia"/>
          <w:sz w:val="24"/>
          <w:szCs w:val="24"/>
        </w:rPr>
        <w:t>。</w:t>
      </w:r>
      <w:r>
        <w:rPr>
          <w:rFonts w:ascii="宋体" w:eastAsia="宋体" w:hAnsi="宋体" w:cs="微软雅黑" w:hint="eastAsia"/>
          <w:sz w:val="24"/>
          <w:szCs w:val="24"/>
        </w:rPr>
        <w:t>风险处置预案应包括但不限于因投资流通受限证券需要解决的基金投资比例限制失调</w:t>
      </w:r>
      <w:r>
        <w:rPr>
          <w:rFonts w:ascii="宋体" w:eastAsia="宋体" w:hAnsi="宋体" w:cs="Arial" w:hint="eastAsia"/>
          <w:sz w:val="24"/>
          <w:szCs w:val="24"/>
        </w:rPr>
        <w:t>、</w:t>
      </w:r>
      <w:r>
        <w:rPr>
          <w:rFonts w:ascii="宋体" w:eastAsia="宋体" w:hAnsi="宋体" w:cs="微软雅黑" w:hint="eastAsia"/>
          <w:sz w:val="24"/>
          <w:szCs w:val="24"/>
        </w:rPr>
        <w:t>基金流动性困难以及相关损失的应对解决措施</w:t>
      </w:r>
      <w:r>
        <w:rPr>
          <w:rFonts w:ascii="宋体" w:eastAsia="宋体" w:hAnsi="宋体" w:cs="Arial" w:hint="eastAsia"/>
          <w:sz w:val="24"/>
          <w:szCs w:val="24"/>
        </w:rPr>
        <w:t>，</w:t>
      </w:r>
      <w:r>
        <w:rPr>
          <w:rFonts w:ascii="宋体" w:eastAsia="宋体" w:hAnsi="宋体" w:cs="微软雅黑" w:hint="eastAsia"/>
          <w:sz w:val="24"/>
          <w:szCs w:val="24"/>
        </w:rPr>
        <w:t>以及有关异常情况的处置</w:t>
      </w:r>
      <w:r>
        <w:rPr>
          <w:rFonts w:ascii="宋体" w:eastAsia="宋体" w:hAnsi="宋体" w:cs="Arial" w:hint="eastAsia"/>
          <w:sz w:val="24"/>
          <w:szCs w:val="24"/>
        </w:rPr>
        <w:t>。</w:t>
      </w:r>
      <w:r>
        <w:rPr>
          <w:rFonts w:ascii="宋体" w:eastAsia="宋体" w:hAnsi="宋体" w:cs="微软雅黑" w:hint="eastAsia"/>
          <w:sz w:val="24"/>
          <w:szCs w:val="24"/>
        </w:rPr>
        <w:t>基金管理人对本基金投资流通受限证券的流动性风险负责</w:t>
      </w:r>
      <w:r>
        <w:rPr>
          <w:rFonts w:ascii="宋体" w:eastAsia="宋体" w:hAnsi="宋体" w:cs="Arial" w:hint="eastAsia"/>
          <w:sz w:val="24"/>
          <w:szCs w:val="24"/>
        </w:rPr>
        <w:t>，</w:t>
      </w:r>
      <w:r>
        <w:rPr>
          <w:rFonts w:ascii="宋体" w:eastAsia="宋体" w:hAnsi="宋体" w:cs="微软雅黑" w:hint="eastAsia"/>
          <w:sz w:val="24"/>
          <w:szCs w:val="24"/>
        </w:rPr>
        <w:t>确保对相关风险采取积极有效的措施</w:t>
      </w:r>
      <w:r>
        <w:rPr>
          <w:rFonts w:ascii="宋体" w:eastAsia="宋体" w:hAnsi="宋体" w:cs="Arial" w:hint="eastAsia"/>
          <w:sz w:val="24"/>
          <w:szCs w:val="24"/>
        </w:rPr>
        <w:t>，</w:t>
      </w:r>
      <w:r>
        <w:rPr>
          <w:rFonts w:ascii="宋体" w:eastAsia="宋体" w:hAnsi="宋体" w:cs="微软雅黑" w:hint="eastAsia"/>
          <w:sz w:val="24"/>
          <w:szCs w:val="24"/>
        </w:rPr>
        <w:t>在合理的时间内有效解决基金运作的流动性问题</w:t>
      </w:r>
      <w:r>
        <w:rPr>
          <w:rFonts w:ascii="宋体" w:eastAsia="宋体" w:hAnsi="宋体" w:cs="Arial" w:hint="eastAsia"/>
          <w:sz w:val="24"/>
          <w:szCs w:val="24"/>
        </w:rPr>
        <w:t>。</w:t>
      </w:r>
      <w:r>
        <w:rPr>
          <w:rFonts w:ascii="宋体" w:eastAsia="宋体" w:hAnsi="宋体" w:cs="微软雅黑" w:hint="eastAsia"/>
          <w:sz w:val="24"/>
          <w:szCs w:val="24"/>
        </w:rPr>
        <w:t>如因基金巨额赎回或市场发生剧烈变动等原因而导致基金现金周转困难时</w:t>
      </w:r>
      <w:r>
        <w:rPr>
          <w:rFonts w:ascii="宋体" w:eastAsia="宋体" w:hAnsi="宋体" w:cs="Arial" w:hint="eastAsia"/>
          <w:sz w:val="24"/>
          <w:szCs w:val="24"/>
        </w:rPr>
        <w:t>，</w:t>
      </w:r>
      <w:r>
        <w:rPr>
          <w:rFonts w:ascii="宋体" w:eastAsia="宋体" w:hAnsi="宋体" w:cs="微软雅黑" w:hint="eastAsia"/>
          <w:sz w:val="24"/>
          <w:szCs w:val="24"/>
        </w:rPr>
        <w:t>基金管理人应保证提供足额现金确保基金的支付结算</w:t>
      </w:r>
      <w:r>
        <w:rPr>
          <w:rFonts w:ascii="宋体" w:eastAsia="宋体" w:hAnsi="宋体" w:cs="Arial" w:hint="eastAsia"/>
          <w:sz w:val="24"/>
          <w:szCs w:val="24"/>
        </w:rPr>
        <w:t>，</w:t>
      </w:r>
      <w:r>
        <w:rPr>
          <w:rFonts w:ascii="宋体" w:eastAsia="宋体" w:hAnsi="宋体" w:cs="微软雅黑" w:hint="eastAsia"/>
          <w:sz w:val="24"/>
          <w:szCs w:val="24"/>
        </w:rPr>
        <w:t>并承担因基金管理</w:t>
      </w:r>
      <w:proofErr w:type="gramStart"/>
      <w:r>
        <w:rPr>
          <w:rFonts w:ascii="宋体" w:eastAsia="宋体" w:hAnsi="宋体" w:cs="微软雅黑" w:hint="eastAsia"/>
          <w:sz w:val="24"/>
          <w:szCs w:val="24"/>
        </w:rPr>
        <w:t>人原因</w:t>
      </w:r>
      <w:proofErr w:type="gramEnd"/>
      <w:r>
        <w:rPr>
          <w:rFonts w:ascii="宋体" w:eastAsia="宋体" w:hAnsi="宋体" w:cs="微软雅黑" w:hint="eastAsia"/>
          <w:sz w:val="24"/>
          <w:szCs w:val="24"/>
        </w:rPr>
        <w:t>导致本基金出现的损失</w:t>
      </w:r>
      <w:r>
        <w:rPr>
          <w:rFonts w:ascii="宋体" w:eastAsia="宋体" w:hAnsi="宋体" w:cs="Arial" w:hint="eastAsia"/>
          <w:sz w:val="24"/>
          <w:szCs w:val="24"/>
        </w:rPr>
        <w:t>。</w:t>
      </w:r>
      <w:r>
        <w:rPr>
          <w:rFonts w:ascii="宋体" w:eastAsia="宋体" w:hAnsi="宋体" w:cs="微软雅黑" w:hint="eastAsia"/>
          <w:sz w:val="24"/>
          <w:szCs w:val="24"/>
        </w:rPr>
        <w:t>对本基金因投资流通受限证券导致的流动性风险</w:t>
      </w:r>
      <w:r>
        <w:rPr>
          <w:rFonts w:ascii="宋体" w:eastAsia="宋体" w:hAnsi="宋体" w:cs="Arial" w:hint="eastAsia"/>
          <w:sz w:val="24"/>
          <w:szCs w:val="24"/>
        </w:rPr>
        <w:t>，</w:t>
      </w:r>
      <w:r>
        <w:rPr>
          <w:rFonts w:ascii="宋体" w:eastAsia="宋体" w:hAnsi="宋体" w:cs="微软雅黑" w:hint="eastAsia"/>
          <w:sz w:val="24"/>
          <w:szCs w:val="24"/>
        </w:rPr>
        <w:t>基金托管人不承担任何责任</w:t>
      </w:r>
      <w:r>
        <w:rPr>
          <w:rFonts w:ascii="宋体" w:eastAsia="宋体" w:hAnsi="宋体" w:cs="Arial" w:hint="eastAsia"/>
          <w:sz w:val="24"/>
          <w:szCs w:val="24"/>
        </w:rPr>
        <w:t>。</w:t>
      </w:r>
      <w:r>
        <w:rPr>
          <w:rFonts w:ascii="宋体" w:eastAsia="宋体" w:hAnsi="宋体" w:cs="微软雅黑" w:hint="eastAsia"/>
          <w:sz w:val="24"/>
          <w:szCs w:val="24"/>
        </w:rPr>
        <w:t>如因基金管理</w:t>
      </w:r>
      <w:proofErr w:type="gramStart"/>
      <w:r>
        <w:rPr>
          <w:rFonts w:ascii="宋体" w:eastAsia="宋体" w:hAnsi="宋体" w:cs="微软雅黑" w:hint="eastAsia"/>
          <w:sz w:val="24"/>
          <w:szCs w:val="24"/>
        </w:rPr>
        <w:t>人原因</w:t>
      </w:r>
      <w:proofErr w:type="gramEnd"/>
      <w:r>
        <w:rPr>
          <w:rFonts w:ascii="宋体" w:eastAsia="宋体" w:hAnsi="宋体" w:cs="微软雅黑" w:hint="eastAsia"/>
          <w:sz w:val="24"/>
          <w:szCs w:val="24"/>
        </w:rPr>
        <w:t>导致本基金出现损失致使基金托管人承担连带赔偿责任的</w:t>
      </w:r>
      <w:r>
        <w:rPr>
          <w:rFonts w:ascii="宋体" w:eastAsia="宋体" w:hAnsi="宋体" w:cs="Arial" w:hint="eastAsia"/>
          <w:sz w:val="24"/>
          <w:szCs w:val="24"/>
        </w:rPr>
        <w:t>，</w:t>
      </w:r>
      <w:r>
        <w:rPr>
          <w:rFonts w:ascii="宋体" w:eastAsia="宋体" w:hAnsi="宋体" w:cs="微软雅黑" w:hint="eastAsia"/>
          <w:sz w:val="24"/>
          <w:szCs w:val="24"/>
        </w:rPr>
        <w:t>基金管理人应赔偿基金托管人由此遭受的损失</w:t>
      </w:r>
      <w:r>
        <w:rPr>
          <w:rFonts w:ascii="宋体" w:eastAsia="宋体" w:hAnsi="宋体" w:cs="Arial" w:hint="eastAsia"/>
          <w:sz w:val="24"/>
          <w:szCs w:val="24"/>
        </w:rPr>
        <w:t>。</w:t>
      </w:r>
    </w:p>
    <w:p w14:paraId="130D792F"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3.</w:t>
      </w:r>
      <w:r>
        <w:rPr>
          <w:rFonts w:ascii="宋体" w:eastAsia="宋体" w:hAnsi="宋体" w:cs="微软雅黑" w:hint="eastAsia"/>
          <w:sz w:val="24"/>
          <w:szCs w:val="24"/>
        </w:rPr>
        <w:t>本基金投资非公开发行股票</w:t>
      </w:r>
      <w:r>
        <w:rPr>
          <w:rFonts w:ascii="宋体" w:eastAsia="宋体" w:hAnsi="宋体" w:cs="Arial" w:hint="eastAsia"/>
          <w:sz w:val="24"/>
          <w:szCs w:val="24"/>
        </w:rPr>
        <w:t>，</w:t>
      </w:r>
      <w:r>
        <w:rPr>
          <w:rFonts w:ascii="宋体" w:eastAsia="宋体" w:hAnsi="宋体" w:cs="微软雅黑" w:hint="eastAsia"/>
          <w:sz w:val="24"/>
          <w:szCs w:val="24"/>
        </w:rPr>
        <w:t>基金管理人应至少于投资前一个工作日向基金托管人提交有关书面资料</w:t>
      </w:r>
      <w:r>
        <w:rPr>
          <w:rFonts w:ascii="宋体" w:eastAsia="宋体" w:hAnsi="宋体" w:cs="Arial" w:hint="eastAsia"/>
          <w:sz w:val="24"/>
          <w:szCs w:val="24"/>
        </w:rPr>
        <w:t>，</w:t>
      </w:r>
      <w:r>
        <w:rPr>
          <w:rFonts w:ascii="宋体" w:eastAsia="宋体" w:hAnsi="宋体" w:cs="微软雅黑" w:hint="eastAsia"/>
          <w:sz w:val="24"/>
          <w:szCs w:val="24"/>
        </w:rPr>
        <w:t>并保证向基金托管人提供的有关资料真实</w:t>
      </w:r>
      <w:r>
        <w:rPr>
          <w:rFonts w:ascii="宋体" w:eastAsia="宋体" w:hAnsi="宋体" w:cs="Arial" w:hint="eastAsia"/>
          <w:sz w:val="24"/>
          <w:szCs w:val="24"/>
        </w:rPr>
        <w:t>、</w:t>
      </w:r>
      <w:r>
        <w:rPr>
          <w:rFonts w:ascii="宋体" w:eastAsia="宋体" w:hAnsi="宋体" w:cs="微软雅黑" w:hint="eastAsia"/>
          <w:sz w:val="24"/>
          <w:szCs w:val="24"/>
        </w:rPr>
        <w:t>准确</w:t>
      </w:r>
      <w:r>
        <w:rPr>
          <w:rFonts w:ascii="宋体" w:eastAsia="宋体" w:hAnsi="宋体" w:cs="Arial" w:hint="eastAsia"/>
          <w:sz w:val="24"/>
          <w:szCs w:val="24"/>
        </w:rPr>
        <w:t>、</w:t>
      </w:r>
      <w:r>
        <w:rPr>
          <w:rFonts w:ascii="宋体" w:eastAsia="宋体" w:hAnsi="宋体" w:cs="微软雅黑" w:hint="eastAsia"/>
          <w:sz w:val="24"/>
          <w:szCs w:val="24"/>
        </w:rPr>
        <w:t>完整</w:t>
      </w:r>
      <w:r>
        <w:rPr>
          <w:rFonts w:ascii="宋体" w:eastAsia="宋体" w:hAnsi="宋体" w:cs="Arial" w:hint="eastAsia"/>
          <w:sz w:val="24"/>
          <w:szCs w:val="24"/>
        </w:rPr>
        <w:t>。</w:t>
      </w:r>
      <w:r>
        <w:rPr>
          <w:rFonts w:ascii="宋体" w:eastAsia="宋体" w:hAnsi="宋体" w:cs="微软雅黑" w:hint="eastAsia"/>
          <w:sz w:val="24"/>
          <w:szCs w:val="24"/>
        </w:rPr>
        <w:t>有关资料如有调整</w:t>
      </w:r>
      <w:r>
        <w:rPr>
          <w:rFonts w:ascii="宋体" w:eastAsia="宋体" w:hAnsi="宋体" w:cs="Arial" w:hint="eastAsia"/>
          <w:sz w:val="24"/>
          <w:szCs w:val="24"/>
        </w:rPr>
        <w:t>，</w:t>
      </w:r>
      <w:r>
        <w:rPr>
          <w:rFonts w:ascii="宋体" w:eastAsia="宋体" w:hAnsi="宋体" w:cs="微软雅黑" w:hint="eastAsia"/>
          <w:sz w:val="24"/>
          <w:szCs w:val="24"/>
        </w:rPr>
        <w:t>基金管理人应及时提供调整后的资料</w:t>
      </w:r>
      <w:r>
        <w:rPr>
          <w:rFonts w:ascii="宋体" w:eastAsia="宋体" w:hAnsi="宋体" w:cs="Arial" w:hint="eastAsia"/>
          <w:sz w:val="24"/>
          <w:szCs w:val="24"/>
        </w:rPr>
        <w:t>。</w:t>
      </w:r>
      <w:r>
        <w:rPr>
          <w:rFonts w:ascii="宋体" w:eastAsia="宋体" w:hAnsi="宋体" w:cs="微软雅黑" w:hint="eastAsia"/>
          <w:sz w:val="24"/>
          <w:szCs w:val="24"/>
        </w:rPr>
        <w:t>上述书面资料包括但不限于</w:t>
      </w:r>
      <w:r>
        <w:rPr>
          <w:rFonts w:ascii="宋体" w:eastAsia="宋体" w:hAnsi="宋体" w:cs="Arial" w:hint="eastAsia"/>
          <w:sz w:val="24"/>
          <w:szCs w:val="24"/>
        </w:rPr>
        <w:t>：</w:t>
      </w:r>
    </w:p>
    <w:p w14:paraId="06EEABFC"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lastRenderedPageBreak/>
        <w:t>（1）</w:t>
      </w:r>
      <w:r>
        <w:rPr>
          <w:rFonts w:ascii="宋体" w:eastAsia="宋体" w:hAnsi="宋体" w:cs="微软雅黑" w:hint="eastAsia"/>
          <w:sz w:val="24"/>
          <w:szCs w:val="24"/>
        </w:rPr>
        <w:t>中国证监会批准发行非公开发行股票的批准文件</w:t>
      </w:r>
      <w:r>
        <w:rPr>
          <w:rFonts w:ascii="宋体" w:eastAsia="宋体" w:hAnsi="宋体" w:cs="Arial" w:hint="eastAsia"/>
          <w:sz w:val="24"/>
          <w:szCs w:val="24"/>
        </w:rPr>
        <w:t>。</w:t>
      </w:r>
    </w:p>
    <w:p w14:paraId="0D48A6F6"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微软雅黑" w:hint="eastAsia"/>
          <w:sz w:val="24"/>
          <w:szCs w:val="24"/>
        </w:rPr>
        <w:t>非公开发行股票有关发行数量</w:t>
      </w:r>
      <w:r>
        <w:rPr>
          <w:rFonts w:ascii="宋体" w:eastAsia="宋体" w:hAnsi="宋体" w:cs="Arial" w:hint="eastAsia"/>
          <w:sz w:val="24"/>
          <w:szCs w:val="24"/>
        </w:rPr>
        <w:t>、</w:t>
      </w:r>
      <w:r>
        <w:rPr>
          <w:rFonts w:ascii="宋体" w:eastAsia="宋体" w:hAnsi="宋体" w:cs="微软雅黑" w:hint="eastAsia"/>
          <w:sz w:val="24"/>
          <w:szCs w:val="24"/>
        </w:rPr>
        <w:t>发行价格</w:t>
      </w:r>
      <w:r>
        <w:rPr>
          <w:rFonts w:ascii="宋体" w:eastAsia="宋体" w:hAnsi="宋体" w:cs="Arial" w:hint="eastAsia"/>
          <w:sz w:val="24"/>
          <w:szCs w:val="24"/>
        </w:rPr>
        <w:t>、</w:t>
      </w:r>
      <w:r>
        <w:rPr>
          <w:rFonts w:ascii="宋体" w:eastAsia="宋体" w:hAnsi="宋体" w:cs="微软雅黑" w:hint="eastAsia"/>
          <w:sz w:val="24"/>
          <w:szCs w:val="24"/>
        </w:rPr>
        <w:t>锁定期等发行资料</w:t>
      </w:r>
      <w:r>
        <w:rPr>
          <w:rFonts w:ascii="宋体" w:eastAsia="宋体" w:hAnsi="宋体" w:cs="Arial" w:hint="eastAsia"/>
          <w:sz w:val="24"/>
          <w:szCs w:val="24"/>
        </w:rPr>
        <w:t>。</w:t>
      </w:r>
    </w:p>
    <w:p w14:paraId="3739D8A0"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Arial"/>
          <w:sz w:val="24"/>
          <w:szCs w:val="24"/>
        </w:rPr>
        <w:t>3</w:t>
      </w:r>
      <w:r>
        <w:rPr>
          <w:rFonts w:ascii="宋体" w:eastAsia="宋体" w:hAnsi="宋体" w:cs="Arial" w:hint="eastAsia"/>
          <w:sz w:val="24"/>
          <w:szCs w:val="24"/>
        </w:rPr>
        <w:t>）</w:t>
      </w:r>
      <w:r>
        <w:rPr>
          <w:rFonts w:ascii="宋体" w:eastAsia="宋体" w:hAnsi="宋体" w:cs="微软雅黑" w:hint="eastAsia"/>
          <w:sz w:val="24"/>
          <w:szCs w:val="24"/>
        </w:rPr>
        <w:t>基金拟认购的数量</w:t>
      </w:r>
      <w:r>
        <w:rPr>
          <w:rFonts w:ascii="宋体" w:eastAsia="宋体" w:hAnsi="宋体" w:cs="Arial" w:hint="eastAsia"/>
          <w:sz w:val="24"/>
          <w:szCs w:val="24"/>
        </w:rPr>
        <w:t>、</w:t>
      </w:r>
      <w:r>
        <w:rPr>
          <w:rFonts w:ascii="宋体" w:eastAsia="宋体" w:hAnsi="宋体" w:cs="微软雅黑" w:hint="eastAsia"/>
          <w:sz w:val="24"/>
          <w:szCs w:val="24"/>
        </w:rPr>
        <w:t>价格</w:t>
      </w:r>
      <w:r>
        <w:rPr>
          <w:rFonts w:ascii="宋体" w:eastAsia="宋体" w:hAnsi="宋体" w:cs="Arial" w:hint="eastAsia"/>
          <w:sz w:val="24"/>
          <w:szCs w:val="24"/>
        </w:rPr>
        <w:t>、</w:t>
      </w:r>
      <w:r>
        <w:rPr>
          <w:rFonts w:ascii="宋体" w:eastAsia="宋体" w:hAnsi="宋体" w:cs="微软雅黑" w:hint="eastAsia"/>
          <w:sz w:val="24"/>
          <w:szCs w:val="24"/>
        </w:rPr>
        <w:t>总成本</w:t>
      </w:r>
      <w:r>
        <w:rPr>
          <w:rFonts w:ascii="宋体" w:eastAsia="宋体" w:hAnsi="宋体" w:cs="Arial" w:hint="eastAsia"/>
          <w:sz w:val="24"/>
          <w:szCs w:val="24"/>
        </w:rPr>
        <w:t>、</w:t>
      </w:r>
      <w:r>
        <w:rPr>
          <w:rFonts w:ascii="宋体" w:eastAsia="宋体" w:hAnsi="宋体" w:cs="微软雅黑" w:hint="eastAsia"/>
          <w:sz w:val="24"/>
          <w:szCs w:val="24"/>
        </w:rPr>
        <w:t>账面价值</w:t>
      </w:r>
      <w:r>
        <w:rPr>
          <w:rFonts w:ascii="宋体" w:eastAsia="宋体" w:hAnsi="宋体" w:cs="Arial" w:hint="eastAsia"/>
          <w:sz w:val="24"/>
          <w:szCs w:val="24"/>
        </w:rPr>
        <w:t>。</w:t>
      </w:r>
    </w:p>
    <w:p w14:paraId="413840E0"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4.</w:t>
      </w:r>
      <w:r>
        <w:rPr>
          <w:rFonts w:ascii="宋体" w:eastAsia="宋体" w:hAnsi="宋体" w:cs="微软雅黑" w:hint="eastAsia"/>
          <w:sz w:val="24"/>
          <w:szCs w:val="24"/>
        </w:rPr>
        <w:t>基</w:t>
      </w:r>
      <w:r>
        <w:rPr>
          <w:rFonts w:ascii="宋体" w:eastAsia="宋体" w:hAnsi="宋体" w:cs="Arial" w:hint="eastAsia"/>
          <w:sz w:val="24"/>
          <w:szCs w:val="24"/>
        </w:rPr>
        <w:t>金管理人应</w:t>
      </w:r>
      <w:r>
        <w:rPr>
          <w:rFonts w:ascii="宋体" w:eastAsia="宋体" w:hAnsi="宋体" w:cs="微软雅黑" w:hint="eastAsia"/>
          <w:sz w:val="24"/>
          <w:szCs w:val="24"/>
        </w:rPr>
        <w:t>在本基金投资非公开发行股票后两个交易日内</w:t>
      </w:r>
      <w:r>
        <w:rPr>
          <w:rFonts w:ascii="宋体" w:eastAsia="宋体" w:hAnsi="宋体" w:cs="Arial" w:hint="eastAsia"/>
          <w:sz w:val="24"/>
          <w:szCs w:val="24"/>
        </w:rPr>
        <w:t>，</w:t>
      </w:r>
      <w:r>
        <w:rPr>
          <w:rFonts w:ascii="宋体" w:eastAsia="宋体" w:hAnsi="宋体" w:cs="微软雅黑" w:hint="eastAsia"/>
          <w:sz w:val="24"/>
          <w:szCs w:val="24"/>
        </w:rPr>
        <w:t>在中国证监</w:t>
      </w:r>
      <w:r>
        <w:rPr>
          <w:rFonts w:ascii="宋体" w:eastAsia="宋体" w:hAnsi="宋体" w:cs="Arial" w:hint="eastAsia"/>
          <w:sz w:val="24"/>
          <w:szCs w:val="24"/>
        </w:rPr>
        <w:t>会规定媒介披露所投资非公开发行股票的名称、数量、总成本、账面价值，以及总成本和账面价值占基金资产净值的比例、锁定期等信息。</w:t>
      </w:r>
    </w:p>
    <w:p w14:paraId="261DA78B"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本基金有关投资流通受限证券比例如违反有关限制规定，在合理期限内未能进行及时调整，按照《信息披露办法》的规定披露。</w:t>
      </w:r>
    </w:p>
    <w:p w14:paraId="5AB154FD"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5</w:t>
      </w:r>
      <w:r>
        <w:rPr>
          <w:rFonts w:ascii="宋体" w:eastAsia="宋体" w:hAnsi="宋体" w:cs="Arial" w:hint="eastAsia"/>
          <w:sz w:val="24"/>
          <w:szCs w:val="24"/>
        </w:rPr>
        <w:t>.</w:t>
      </w:r>
      <w:r>
        <w:rPr>
          <w:rFonts w:ascii="宋体" w:eastAsia="宋体" w:hAnsi="宋体" w:cs="微软雅黑" w:hint="eastAsia"/>
          <w:sz w:val="24"/>
          <w:szCs w:val="24"/>
        </w:rPr>
        <w:t>相关法律法规对基金投资流通受限证券有新规定的</w:t>
      </w:r>
      <w:r>
        <w:rPr>
          <w:rFonts w:ascii="宋体" w:eastAsia="宋体" w:hAnsi="宋体" w:cs="Arial" w:hint="eastAsia"/>
          <w:sz w:val="24"/>
          <w:szCs w:val="24"/>
        </w:rPr>
        <w:t>，</w:t>
      </w:r>
      <w:r>
        <w:rPr>
          <w:rFonts w:ascii="宋体" w:eastAsia="宋体" w:hAnsi="宋体" w:cs="微软雅黑" w:hint="eastAsia"/>
          <w:sz w:val="24"/>
          <w:szCs w:val="24"/>
        </w:rPr>
        <w:t>从其规定</w:t>
      </w:r>
      <w:r>
        <w:rPr>
          <w:rFonts w:ascii="宋体" w:eastAsia="宋体" w:hAnsi="宋体" w:cs="Arial" w:hint="eastAsia"/>
          <w:sz w:val="24"/>
          <w:szCs w:val="24"/>
        </w:rPr>
        <w:t>。</w:t>
      </w:r>
    </w:p>
    <w:p w14:paraId="6016516A"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六）基金参与融资及转融通证券出借业务，基金管理人应当遵守谨慎经营的原则，配备技术系统和专业人员，制定科学合理的投资策略和风险管理制度，完善业务流程，有效防范和控制风险，基金托管人将对基金参与融资及转融通证券出借业务进行监督。</w:t>
      </w:r>
    </w:p>
    <w:p w14:paraId="533E31BD"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（七）基金托管人投资监督的准确性和完整性受限于基金管理人、证券经纪商及其他中介机构提供的数据和信息。基金托管人在充分获取所必需数据信息的前提下提供投资监督服务。</w:t>
      </w:r>
      <w:r>
        <w:rPr>
          <w:rFonts w:ascii="宋体" w:eastAsia="宋体" w:hAnsi="宋体" w:cs="微软雅黑" w:hint="eastAsia"/>
          <w:sz w:val="24"/>
          <w:szCs w:val="24"/>
        </w:rPr>
        <w:t>基金托管人根据有关法律法规的规定及</w:t>
      </w:r>
      <w:r>
        <w:rPr>
          <w:rFonts w:ascii="宋体" w:eastAsia="宋体" w:hAnsi="宋体" w:cs="Arial" w:hint="eastAsia"/>
          <w:sz w:val="24"/>
          <w:szCs w:val="24"/>
        </w:rPr>
        <w:t>《</w:t>
      </w:r>
      <w:r>
        <w:rPr>
          <w:rFonts w:ascii="宋体" w:eastAsia="宋体" w:hAnsi="宋体" w:cs="微软雅黑" w:hint="eastAsia"/>
          <w:sz w:val="24"/>
          <w:szCs w:val="24"/>
        </w:rPr>
        <w:t>基金合同</w:t>
      </w:r>
      <w:r>
        <w:rPr>
          <w:rFonts w:ascii="宋体" w:eastAsia="宋体" w:hAnsi="宋体" w:cs="Arial" w:hint="eastAsia"/>
          <w:sz w:val="24"/>
          <w:szCs w:val="24"/>
        </w:rPr>
        <w:t>》</w:t>
      </w:r>
      <w:r>
        <w:rPr>
          <w:rFonts w:ascii="宋体" w:eastAsia="宋体" w:hAnsi="宋体" w:cs="微软雅黑" w:hint="eastAsia"/>
          <w:sz w:val="24"/>
          <w:szCs w:val="24"/>
        </w:rPr>
        <w:t>的约定</w:t>
      </w:r>
      <w:r>
        <w:rPr>
          <w:rFonts w:ascii="宋体" w:eastAsia="宋体" w:hAnsi="宋体" w:cs="Arial" w:hint="eastAsia"/>
          <w:sz w:val="24"/>
          <w:szCs w:val="24"/>
        </w:rPr>
        <w:t>，</w:t>
      </w:r>
      <w:r>
        <w:rPr>
          <w:rFonts w:ascii="宋体" w:eastAsia="宋体" w:hAnsi="宋体" w:cs="微软雅黑" w:hint="eastAsia"/>
          <w:sz w:val="24"/>
          <w:szCs w:val="24"/>
        </w:rPr>
        <w:t>对基金资产净值计算</w:t>
      </w:r>
      <w:r>
        <w:rPr>
          <w:rFonts w:ascii="宋体" w:eastAsia="宋体" w:hAnsi="宋体" w:cs="Arial" w:hint="eastAsia"/>
          <w:sz w:val="24"/>
          <w:szCs w:val="24"/>
        </w:rPr>
        <w:t>、</w:t>
      </w:r>
      <w:r>
        <w:rPr>
          <w:rFonts w:ascii="宋体" w:eastAsia="宋体" w:hAnsi="宋体" w:cs="微软雅黑" w:hint="eastAsia"/>
          <w:sz w:val="24"/>
          <w:szCs w:val="24"/>
        </w:rPr>
        <w:t>基金份额净值计算</w:t>
      </w:r>
      <w:r>
        <w:rPr>
          <w:rFonts w:ascii="宋体" w:eastAsia="宋体" w:hAnsi="宋体" w:cs="Arial" w:hint="eastAsia"/>
          <w:sz w:val="24"/>
          <w:szCs w:val="24"/>
        </w:rPr>
        <w:t>、</w:t>
      </w:r>
      <w:r>
        <w:rPr>
          <w:rFonts w:ascii="宋体" w:eastAsia="宋体" w:hAnsi="宋体" w:cs="微软雅黑" w:hint="eastAsia"/>
          <w:sz w:val="24"/>
          <w:szCs w:val="24"/>
        </w:rPr>
        <w:t>应收资金到账</w:t>
      </w:r>
      <w:r>
        <w:rPr>
          <w:rFonts w:ascii="宋体" w:eastAsia="宋体" w:hAnsi="宋体" w:cs="Arial" w:hint="eastAsia"/>
          <w:sz w:val="24"/>
          <w:szCs w:val="24"/>
        </w:rPr>
        <w:t>、</w:t>
      </w:r>
      <w:r>
        <w:rPr>
          <w:rFonts w:ascii="宋体" w:eastAsia="宋体" w:hAnsi="宋体" w:cs="微软雅黑" w:hint="eastAsia"/>
          <w:sz w:val="24"/>
          <w:szCs w:val="24"/>
        </w:rPr>
        <w:t>基金费用开支及收入确定</w:t>
      </w:r>
      <w:r>
        <w:rPr>
          <w:rFonts w:ascii="宋体" w:eastAsia="宋体" w:hAnsi="宋体" w:cs="Arial" w:hint="eastAsia"/>
          <w:sz w:val="24"/>
          <w:szCs w:val="24"/>
        </w:rPr>
        <w:t>、</w:t>
      </w:r>
      <w:r>
        <w:rPr>
          <w:rFonts w:ascii="宋体" w:eastAsia="宋体" w:hAnsi="宋体" w:cs="微软雅黑" w:hint="eastAsia"/>
          <w:sz w:val="24"/>
          <w:szCs w:val="24"/>
        </w:rPr>
        <w:t>基金收益分配</w:t>
      </w:r>
      <w:r>
        <w:rPr>
          <w:rFonts w:ascii="宋体" w:eastAsia="宋体" w:hAnsi="宋体" w:cs="Arial" w:hint="eastAsia"/>
          <w:sz w:val="24"/>
          <w:szCs w:val="24"/>
        </w:rPr>
        <w:t>、</w:t>
      </w:r>
      <w:r>
        <w:rPr>
          <w:rFonts w:ascii="宋体" w:eastAsia="宋体" w:hAnsi="宋体" w:cs="微软雅黑" w:hint="eastAsia"/>
          <w:sz w:val="24"/>
          <w:szCs w:val="24"/>
        </w:rPr>
        <w:t>相关信息披露</w:t>
      </w:r>
      <w:r>
        <w:rPr>
          <w:rFonts w:ascii="宋体" w:eastAsia="宋体" w:hAnsi="宋体" w:cs="Arial" w:hint="eastAsia"/>
          <w:sz w:val="24"/>
          <w:szCs w:val="24"/>
        </w:rPr>
        <w:t>、</w:t>
      </w:r>
      <w:r>
        <w:rPr>
          <w:rFonts w:ascii="宋体" w:eastAsia="宋体" w:hAnsi="宋体" w:cs="微软雅黑" w:hint="eastAsia"/>
          <w:sz w:val="24"/>
          <w:szCs w:val="24"/>
        </w:rPr>
        <w:t>基金宣传推介材料中登载基金业绩表现数据等进行监督和核查</w:t>
      </w:r>
      <w:r>
        <w:rPr>
          <w:rFonts w:ascii="宋体" w:eastAsia="宋体" w:hAnsi="宋体" w:cs="Arial" w:hint="eastAsia"/>
          <w:sz w:val="24"/>
          <w:szCs w:val="24"/>
        </w:rPr>
        <w:t>。</w:t>
      </w:r>
    </w:p>
    <w:p w14:paraId="1406FE86"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八</w:t>
      </w:r>
      <w:r>
        <w:rPr>
          <w:rFonts w:ascii="宋体" w:eastAsia="宋体" w:hAnsi="宋体" w:cs="Arial" w:hint="eastAsia"/>
          <w:sz w:val="24"/>
          <w:szCs w:val="24"/>
        </w:rPr>
        <w:t>）</w:t>
      </w:r>
      <w:r>
        <w:rPr>
          <w:rFonts w:ascii="宋体" w:eastAsia="宋体" w:hAnsi="宋体" w:cs="微软雅黑" w:hint="eastAsia"/>
          <w:sz w:val="24"/>
          <w:szCs w:val="24"/>
        </w:rPr>
        <w:t>基金托管人发现基金管理人的上述事项及投资指令或实际投资运作违反法律法规</w:t>
      </w:r>
      <w:r>
        <w:rPr>
          <w:rFonts w:ascii="宋体" w:eastAsia="宋体" w:hAnsi="宋体" w:cs="Malgun Gothic Semilight"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和本托管协议的规定</w:t>
      </w:r>
      <w:r>
        <w:rPr>
          <w:rFonts w:ascii="宋体" w:eastAsia="宋体" w:hAnsi="宋体" w:cs="Malgun Gothic Semilight" w:hint="eastAsia"/>
          <w:sz w:val="24"/>
          <w:szCs w:val="24"/>
        </w:rPr>
        <w:t>，</w:t>
      </w:r>
      <w:r>
        <w:rPr>
          <w:rFonts w:ascii="宋体" w:eastAsia="宋体" w:hAnsi="宋体" w:cs="微软雅黑" w:hint="eastAsia"/>
          <w:sz w:val="24"/>
          <w:szCs w:val="24"/>
        </w:rPr>
        <w:t>应及时以电话提醒或书面提示等方式通知基金管理人限期纠正</w:t>
      </w:r>
      <w:r>
        <w:rPr>
          <w:rFonts w:ascii="宋体" w:eastAsia="宋体" w:hAnsi="宋体" w:cs="Malgun Gothic Semilight" w:hint="eastAsia"/>
          <w:sz w:val="24"/>
          <w:szCs w:val="24"/>
        </w:rPr>
        <w:t>。</w:t>
      </w:r>
      <w:r>
        <w:rPr>
          <w:rFonts w:ascii="宋体" w:eastAsia="宋体" w:hAnsi="宋体" w:cs="微软雅黑" w:hint="eastAsia"/>
          <w:sz w:val="24"/>
          <w:szCs w:val="24"/>
        </w:rPr>
        <w:t>基金管理人应积极配合和协助基金托管人的监督和核查</w:t>
      </w:r>
      <w:r>
        <w:rPr>
          <w:rFonts w:ascii="宋体" w:eastAsia="宋体" w:hAnsi="宋体" w:cs="Malgun Gothic Semilight" w:hint="eastAsia"/>
          <w:sz w:val="24"/>
          <w:szCs w:val="24"/>
        </w:rPr>
        <w:t>。</w:t>
      </w:r>
      <w:r>
        <w:rPr>
          <w:rFonts w:ascii="宋体" w:eastAsia="宋体" w:hAnsi="宋体" w:cs="微软雅黑" w:hint="eastAsia"/>
          <w:sz w:val="24"/>
          <w:szCs w:val="24"/>
        </w:rPr>
        <w:t>基金管理人收到书面通知后应及时核对并以书面形式给基金托管人发出回函</w:t>
      </w:r>
      <w:r>
        <w:rPr>
          <w:rFonts w:ascii="宋体" w:eastAsia="宋体" w:hAnsi="宋体" w:cs="Malgun Gothic Semilight" w:hint="eastAsia"/>
          <w:sz w:val="24"/>
          <w:szCs w:val="24"/>
        </w:rPr>
        <w:t>，</w:t>
      </w:r>
      <w:r>
        <w:rPr>
          <w:rFonts w:ascii="宋体" w:eastAsia="宋体" w:hAnsi="宋体" w:cs="微软雅黑" w:hint="eastAsia"/>
          <w:sz w:val="24"/>
          <w:szCs w:val="24"/>
        </w:rPr>
        <w:t>就基金托管人的疑义进行解释或举证</w:t>
      </w:r>
      <w:r>
        <w:rPr>
          <w:rFonts w:ascii="宋体" w:eastAsia="宋体" w:hAnsi="宋体" w:cs="Malgun Gothic Semilight" w:hint="eastAsia"/>
          <w:sz w:val="24"/>
          <w:szCs w:val="24"/>
        </w:rPr>
        <w:t>，</w:t>
      </w:r>
      <w:r>
        <w:rPr>
          <w:rFonts w:ascii="宋体" w:eastAsia="宋体" w:hAnsi="宋体" w:cs="微软雅黑" w:hint="eastAsia"/>
          <w:sz w:val="24"/>
          <w:szCs w:val="24"/>
        </w:rPr>
        <w:t>说明违规原因及纠正期限</w:t>
      </w:r>
      <w:r>
        <w:rPr>
          <w:rFonts w:ascii="宋体" w:eastAsia="宋体" w:hAnsi="宋体" w:cs="Malgun Gothic Semilight" w:hint="eastAsia"/>
          <w:sz w:val="24"/>
          <w:szCs w:val="24"/>
        </w:rPr>
        <w:t>，</w:t>
      </w:r>
      <w:r>
        <w:rPr>
          <w:rFonts w:ascii="宋体" w:eastAsia="宋体" w:hAnsi="宋体" w:cs="微软雅黑" w:hint="eastAsia"/>
          <w:sz w:val="24"/>
          <w:szCs w:val="24"/>
        </w:rPr>
        <w:t>并保证在规定期限内及时改正</w:t>
      </w:r>
      <w:r>
        <w:rPr>
          <w:rFonts w:ascii="宋体" w:eastAsia="宋体" w:hAnsi="宋体" w:cs="Malgun Gothic Semilight" w:hint="eastAsia"/>
          <w:sz w:val="24"/>
          <w:szCs w:val="24"/>
        </w:rPr>
        <w:t>。</w:t>
      </w:r>
      <w:r>
        <w:rPr>
          <w:rFonts w:ascii="宋体" w:eastAsia="宋体" w:hAnsi="宋体" w:cs="微软雅黑" w:hint="eastAsia"/>
          <w:sz w:val="24"/>
          <w:szCs w:val="24"/>
        </w:rPr>
        <w:t>在上述规定期限内</w:t>
      </w:r>
      <w:r>
        <w:rPr>
          <w:rFonts w:ascii="宋体" w:eastAsia="宋体" w:hAnsi="宋体" w:cs="Malgun Gothic Semilight" w:hint="eastAsia"/>
          <w:sz w:val="24"/>
          <w:szCs w:val="24"/>
        </w:rPr>
        <w:t>，</w:t>
      </w:r>
      <w:r>
        <w:rPr>
          <w:rFonts w:ascii="宋体" w:eastAsia="宋体" w:hAnsi="宋体" w:cs="微软雅黑" w:hint="eastAsia"/>
          <w:sz w:val="24"/>
          <w:szCs w:val="24"/>
        </w:rPr>
        <w:t>基金托管人有权随时对通知事项进行复查</w:t>
      </w:r>
      <w:r>
        <w:rPr>
          <w:rFonts w:ascii="宋体" w:eastAsia="宋体" w:hAnsi="宋体" w:cs="Malgun Gothic Semilight" w:hint="eastAsia"/>
          <w:sz w:val="24"/>
          <w:szCs w:val="24"/>
        </w:rPr>
        <w:t>，</w:t>
      </w:r>
      <w:r>
        <w:rPr>
          <w:rFonts w:ascii="宋体" w:eastAsia="宋体" w:hAnsi="宋体" w:cs="微软雅黑" w:hint="eastAsia"/>
          <w:sz w:val="24"/>
          <w:szCs w:val="24"/>
        </w:rPr>
        <w:t>督促基金管理人改正</w:t>
      </w:r>
      <w:r>
        <w:rPr>
          <w:rFonts w:ascii="宋体" w:eastAsia="宋体" w:hAnsi="宋体" w:cs="Malgun Gothic Semilight" w:hint="eastAsia"/>
          <w:sz w:val="24"/>
          <w:szCs w:val="24"/>
        </w:rPr>
        <w:t>。</w:t>
      </w:r>
      <w:r>
        <w:rPr>
          <w:rFonts w:ascii="宋体" w:eastAsia="宋体" w:hAnsi="宋体" w:cs="微软雅黑" w:hint="eastAsia"/>
          <w:sz w:val="24"/>
          <w:szCs w:val="24"/>
        </w:rPr>
        <w:t>基金管理人对基金托管人通知的违规事项未能在限期内纠正的</w:t>
      </w:r>
      <w:r>
        <w:rPr>
          <w:rFonts w:ascii="宋体" w:eastAsia="宋体" w:hAnsi="宋体" w:cs="Malgun Gothic Semilight" w:hint="eastAsia"/>
          <w:sz w:val="24"/>
          <w:szCs w:val="24"/>
        </w:rPr>
        <w:t>，</w:t>
      </w:r>
      <w:r>
        <w:rPr>
          <w:rFonts w:ascii="宋体" w:eastAsia="宋体" w:hAnsi="宋体" w:cs="微软雅黑" w:hint="eastAsia"/>
          <w:sz w:val="24"/>
          <w:szCs w:val="24"/>
        </w:rPr>
        <w:t>基金托管人应报告中国证监会</w:t>
      </w:r>
      <w:r>
        <w:rPr>
          <w:rFonts w:ascii="宋体" w:eastAsia="宋体" w:hAnsi="宋体" w:cs="Malgun Gothic Semilight" w:hint="eastAsia"/>
          <w:sz w:val="24"/>
          <w:szCs w:val="24"/>
        </w:rPr>
        <w:t>。</w:t>
      </w:r>
    </w:p>
    <w:p w14:paraId="6B5F0C81"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（九）</w:t>
      </w:r>
      <w:r>
        <w:rPr>
          <w:rFonts w:ascii="宋体" w:eastAsia="宋体" w:hAnsi="宋体" w:cs="微软雅黑" w:hint="eastAsia"/>
          <w:sz w:val="24"/>
          <w:szCs w:val="24"/>
        </w:rPr>
        <w:t>基金管理人有义务配合和协助基金托管人依照法律法规</w:t>
      </w:r>
      <w:r>
        <w:rPr>
          <w:rFonts w:ascii="宋体" w:eastAsia="宋体" w:hAnsi="宋体" w:cs="Malgun Gothic Semilight"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和本托管协议对基金业务执行核查</w:t>
      </w:r>
      <w:r>
        <w:rPr>
          <w:rFonts w:ascii="宋体" w:eastAsia="宋体" w:hAnsi="宋体" w:cs="Malgun Gothic Semilight" w:hint="eastAsia"/>
          <w:sz w:val="24"/>
          <w:szCs w:val="24"/>
        </w:rPr>
        <w:t>。</w:t>
      </w:r>
      <w:r>
        <w:rPr>
          <w:rFonts w:ascii="宋体" w:eastAsia="宋体" w:hAnsi="宋体" w:cs="微软雅黑" w:hint="eastAsia"/>
          <w:sz w:val="24"/>
          <w:szCs w:val="24"/>
        </w:rPr>
        <w:t>对基金托管人发出的书面提示</w:t>
      </w:r>
      <w:r>
        <w:rPr>
          <w:rFonts w:ascii="宋体" w:eastAsia="宋体" w:hAnsi="宋体" w:cs="Malgun Gothic Semilight" w:hint="eastAsia"/>
          <w:sz w:val="24"/>
          <w:szCs w:val="24"/>
        </w:rPr>
        <w:t>，</w:t>
      </w:r>
      <w:r>
        <w:rPr>
          <w:rFonts w:ascii="宋体" w:eastAsia="宋体" w:hAnsi="宋体" w:cs="微软雅黑" w:hint="eastAsia"/>
          <w:sz w:val="24"/>
          <w:szCs w:val="24"/>
        </w:rPr>
        <w:t>基金管理人应在规定时间内答复并改正</w:t>
      </w:r>
      <w:r>
        <w:rPr>
          <w:rFonts w:ascii="宋体" w:eastAsia="宋体" w:hAnsi="宋体" w:cs="Malgun Gothic Semilight" w:hint="eastAsia"/>
          <w:sz w:val="24"/>
          <w:szCs w:val="24"/>
        </w:rPr>
        <w:t>，</w:t>
      </w:r>
      <w:r>
        <w:rPr>
          <w:rFonts w:ascii="宋体" w:eastAsia="宋体" w:hAnsi="宋体" w:cs="微软雅黑" w:hint="eastAsia"/>
          <w:sz w:val="24"/>
          <w:szCs w:val="24"/>
        </w:rPr>
        <w:t>或就基金托管人的疑义进行解释或举证</w:t>
      </w:r>
      <w:r>
        <w:rPr>
          <w:rFonts w:ascii="宋体" w:eastAsia="宋体" w:hAnsi="宋体" w:cs="Malgun Gothic Semilight" w:hint="eastAsia"/>
          <w:sz w:val="24"/>
          <w:szCs w:val="24"/>
        </w:rPr>
        <w:t>；</w:t>
      </w:r>
      <w:r>
        <w:rPr>
          <w:rFonts w:ascii="宋体" w:eastAsia="宋体" w:hAnsi="宋体" w:cs="微软雅黑" w:hint="eastAsia"/>
          <w:sz w:val="24"/>
          <w:szCs w:val="24"/>
        </w:rPr>
        <w:t>对基金托管人</w:t>
      </w:r>
      <w:r>
        <w:rPr>
          <w:rFonts w:ascii="宋体" w:eastAsia="宋体" w:hAnsi="宋体" w:cs="微软雅黑" w:hint="eastAsia"/>
          <w:sz w:val="24"/>
          <w:szCs w:val="24"/>
        </w:rPr>
        <w:lastRenderedPageBreak/>
        <w:t>按照法律法规</w:t>
      </w:r>
      <w:r>
        <w:rPr>
          <w:rFonts w:ascii="宋体" w:eastAsia="宋体" w:hAnsi="宋体" w:cs="Malgun Gothic Semilight"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和本托管协议的要求需向中国证监会报送基金监督报告的事项</w:t>
      </w:r>
      <w:r>
        <w:rPr>
          <w:rFonts w:ascii="宋体" w:eastAsia="宋体" w:hAnsi="宋体" w:cs="Malgun Gothic Semilight" w:hint="eastAsia"/>
          <w:sz w:val="24"/>
          <w:szCs w:val="24"/>
        </w:rPr>
        <w:t>，</w:t>
      </w:r>
      <w:r>
        <w:rPr>
          <w:rFonts w:ascii="宋体" w:eastAsia="宋体" w:hAnsi="宋体" w:cs="微软雅黑" w:hint="eastAsia"/>
          <w:sz w:val="24"/>
          <w:szCs w:val="24"/>
        </w:rPr>
        <w:t>基金管理人应积极配合提供相关数据资料和制度等</w:t>
      </w:r>
      <w:r>
        <w:rPr>
          <w:rFonts w:ascii="宋体" w:eastAsia="宋体" w:hAnsi="宋体" w:cs="Malgun Gothic Semilight" w:hint="eastAsia"/>
          <w:sz w:val="24"/>
          <w:szCs w:val="24"/>
        </w:rPr>
        <w:t>。</w:t>
      </w:r>
    </w:p>
    <w:p w14:paraId="386FA90D"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十</w:t>
      </w:r>
      <w:r>
        <w:rPr>
          <w:rFonts w:ascii="宋体" w:eastAsia="宋体" w:hAnsi="宋体" w:cs="Arial" w:hint="eastAsia"/>
          <w:sz w:val="24"/>
          <w:szCs w:val="24"/>
        </w:rPr>
        <w:t>）</w:t>
      </w:r>
      <w:proofErr w:type="gramStart"/>
      <w:r>
        <w:rPr>
          <w:rFonts w:ascii="宋体" w:eastAsia="宋体" w:hAnsi="宋体" w:cs="微软雅黑" w:hint="eastAsia"/>
          <w:sz w:val="24"/>
          <w:szCs w:val="24"/>
        </w:rPr>
        <w:t>若基金</w:t>
      </w:r>
      <w:proofErr w:type="gramEnd"/>
      <w:r>
        <w:rPr>
          <w:rFonts w:ascii="宋体" w:eastAsia="宋体" w:hAnsi="宋体" w:cs="微软雅黑" w:hint="eastAsia"/>
          <w:sz w:val="24"/>
          <w:szCs w:val="24"/>
        </w:rPr>
        <w:t>托管人发现基金管理人依据交易程序已经生效的指令违反法律</w:t>
      </w:r>
      <w:r>
        <w:rPr>
          <w:rFonts w:ascii="宋体" w:eastAsia="宋体" w:hAnsi="宋体" w:cs="Malgun Gothic Semilight" w:hint="eastAsia"/>
          <w:sz w:val="24"/>
          <w:szCs w:val="24"/>
        </w:rPr>
        <w:t>、</w:t>
      </w:r>
      <w:r>
        <w:rPr>
          <w:rFonts w:ascii="宋体" w:eastAsia="宋体" w:hAnsi="宋体" w:cs="微软雅黑" w:hint="eastAsia"/>
          <w:sz w:val="24"/>
          <w:szCs w:val="24"/>
        </w:rPr>
        <w:t>行政法规和其他有关规定</w:t>
      </w:r>
      <w:r>
        <w:rPr>
          <w:rFonts w:ascii="宋体" w:eastAsia="宋体" w:hAnsi="宋体" w:cs="Malgun Gothic Semilight" w:hint="eastAsia"/>
          <w:sz w:val="24"/>
          <w:szCs w:val="24"/>
        </w:rPr>
        <w:t>，</w:t>
      </w:r>
      <w:r>
        <w:rPr>
          <w:rFonts w:ascii="宋体" w:eastAsia="宋体" w:hAnsi="宋体" w:cs="微软雅黑" w:hint="eastAsia"/>
          <w:sz w:val="24"/>
          <w:szCs w:val="24"/>
        </w:rPr>
        <w:t>或者违反</w:t>
      </w:r>
      <w:r>
        <w:rPr>
          <w:rFonts w:ascii="宋体" w:eastAsia="宋体" w:hAnsi="宋体" w:cs="Malgun Gothic Semilight"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约定的</w:t>
      </w:r>
      <w:r>
        <w:rPr>
          <w:rFonts w:ascii="宋体" w:eastAsia="宋体" w:hAnsi="宋体" w:cs="Malgun Gothic Semilight" w:hint="eastAsia"/>
          <w:sz w:val="24"/>
          <w:szCs w:val="24"/>
        </w:rPr>
        <w:t>，</w:t>
      </w:r>
      <w:r>
        <w:rPr>
          <w:rFonts w:ascii="宋体" w:eastAsia="宋体" w:hAnsi="宋体" w:cs="微软雅黑" w:hint="eastAsia"/>
          <w:sz w:val="24"/>
          <w:szCs w:val="24"/>
        </w:rPr>
        <w:t>应当及时通知基金管理人</w:t>
      </w:r>
      <w:r>
        <w:rPr>
          <w:rFonts w:ascii="宋体" w:eastAsia="宋体" w:hAnsi="宋体" w:cs="Malgun Gothic Semilight" w:hint="eastAsia"/>
          <w:sz w:val="24"/>
          <w:szCs w:val="24"/>
        </w:rPr>
        <w:t>，</w:t>
      </w:r>
      <w:r>
        <w:rPr>
          <w:rFonts w:ascii="宋体" w:eastAsia="宋体" w:hAnsi="宋体" w:cs="微软雅黑" w:hint="eastAsia"/>
          <w:sz w:val="24"/>
          <w:szCs w:val="24"/>
        </w:rPr>
        <w:t>由此造成的损失由基金管理人承担</w:t>
      </w:r>
      <w:r>
        <w:rPr>
          <w:rFonts w:ascii="宋体" w:eastAsia="宋体" w:hAnsi="宋体" w:cs="Malgun Gothic Semilight" w:hint="eastAsia"/>
          <w:sz w:val="24"/>
          <w:szCs w:val="24"/>
        </w:rPr>
        <w:t>。</w:t>
      </w:r>
    </w:p>
    <w:p w14:paraId="2EB518B0"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十一</w:t>
      </w:r>
      <w:r>
        <w:rPr>
          <w:rFonts w:ascii="宋体" w:eastAsia="宋体" w:hAnsi="宋体" w:cs="Malgun Gothic Semilight" w:hint="eastAsia"/>
          <w:sz w:val="24"/>
          <w:szCs w:val="24"/>
        </w:rPr>
        <w:t>）</w:t>
      </w:r>
      <w:r>
        <w:rPr>
          <w:rFonts w:ascii="宋体" w:eastAsia="宋体" w:hAnsi="宋体" w:cs="微软雅黑" w:hint="eastAsia"/>
          <w:sz w:val="24"/>
          <w:szCs w:val="24"/>
        </w:rPr>
        <w:t>基金托管人发现基金管理人有重大违规行为</w:t>
      </w:r>
      <w:r>
        <w:rPr>
          <w:rFonts w:ascii="宋体" w:eastAsia="宋体" w:hAnsi="宋体" w:cs="Malgun Gothic Semilight" w:hint="eastAsia"/>
          <w:sz w:val="24"/>
          <w:szCs w:val="24"/>
        </w:rPr>
        <w:t>，</w:t>
      </w:r>
      <w:r>
        <w:rPr>
          <w:rFonts w:ascii="宋体" w:eastAsia="宋体" w:hAnsi="宋体" w:cs="微软雅黑" w:hint="eastAsia"/>
          <w:sz w:val="24"/>
          <w:szCs w:val="24"/>
        </w:rPr>
        <w:t>应及时报告中国证监会</w:t>
      </w:r>
      <w:r>
        <w:rPr>
          <w:rFonts w:ascii="宋体" w:eastAsia="宋体" w:hAnsi="宋体" w:cs="Malgun Gothic Semilight" w:hint="eastAsia"/>
          <w:sz w:val="24"/>
          <w:szCs w:val="24"/>
        </w:rPr>
        <w:t>，</w:t>
      </w:r>
      <w:r>
        <w:rPr>
          <w:rFonts w:ascii="宋体" w:eastAsia="宋体" w:hAnsi="宋体" w:cs="微软雅黑" w:hint="eastAsia"/>
          <w:sz w:val="24"/>
          <w:szCs w:val="24"/>
        </w:rPr>
        <w:t>同时通知基金管理人限期纠正</w:t>
      </w:r>
      <w:r>
        <w:rPr>
          <w:rFonts w:ascii="宋体" w:eastAsia="宋体" w:hAnsi="宋体" w:cs="Malgun Gothic Semilight" w:hint="eastAsia"/>
          <w:sz w:val="24"/>
          <w:szCs w:val="24"/>
        </w:rPr>
        <w:t>，</w:t>
      </w:r>
      <w:r>
        <w:rPr>
          <w:rFonts w:ascii="宋体" w:eastAsia="宋体" w:hAnsi="宋体" w:cs="微软雅黑" w:hint="eastAsia"/>
          <w:sz w:val="24"/>
          <w:szCs w:val="24"/>
        </w:rPr>
        <w:t>并将纠正结果报告中国证监会</w:t>
      </w:r>
      <w:r>
        <w:rPr>
          <w:rFonts w:ascii="宋体" w:eastAsia="宋体" w:hAnsi="宋体" w:cs="Malgun Gothic Semilight" w:hint="eastAsia"/>
          <w:sz w:val="24"/>
          <w:szCs w:val="24"/>
        </w:rPr>
        <w:t>。</w:t>
      </w:r>
      <w:r>
        <w:rPr>
          <w:rFonts w:ascii="宋体" w:eastAsia="宋体" w:hAnsi="宋体" w:cs="微软雅黑" w:hint="eastAsia"/>
          <w:sz w:val="24"/>
          <w:szCs w:val="24"/>
        </w:rPr>
        <w:t>基金管理人无正当理由</w:t>
      </w:r>
      <w:r>
        <w:rPr>
          <w:rFonts w:ascii="宋体" w:eastAsia="宋体" w:hAnsi="宋体" w:cs="Malgun Gothic Semilight" w:hint="eastAsia"/>
          <w:sz w:val="24"/>
          <w:szCs w:val="24"/>
        </w:rPr>
        <w:t>，</w:t>
      </w:r>
      <w:r>
        <w:rPr>
          <w:rFonts w:ascii="宋体" w:eastAsia="宋体" w:hAnsi="宋体" w:cs="微软雅黑" w:hint="eastAsia"/>
          <w:sz w:val="24"/>
          <w:szCs w:val="24"/>
        </w:rPr>
        <w:t>拒绝</w:t>
      </w:r>
      <w:r>
        <w:rPr>
          <w:rFonts w:ascii="宋体" w:eastAsia="宋体" w:hAnsi="宋体" w:cs="Malgun Gothic Semilight" w:hint="eastAsia"/>
          <w:sz w:val="24"/>
          <w:szCs w:val="24"/>
        </w:rPr>
        <w:t>、</w:t>
      </w:r>
      <w:r>
        <w:rPr>
          <w:rFonts w:ascii="宋体" w:eastAsia="宋体" w:hAnsi="宋体" w:cs="微软雅黑" w:hint="eastAsia"/>
          <w:sz w:val="24"/>
          <w:szCs w:val="24"/>
        </w:rPr>
        <w:t>阻挠基金托管人根据本托管协议规定行使监督权</w:t>
      </w:r>
      <w:r>
        <w:rPr>
          <w:rFonts w:ascii="宋体" w:eastAsia="宋体" w:hAnsi="宋体" w:cs="Malgun Gothic Semilight" w:hint="eastAsia"/>
          <w:sz w:val="24"/>
          <w:szCs w:val="24"/>
        </w:rPr>
        <w:t>，</w:t>
      </w:r>
      <w:r>
        <w:rPr>
          <w:rFonts w:ascii="宋体" w:eastAsia="宋体" w:hAnsi="宋体" w:cs="微软雅黑" w:hint="eastAsia"/>
          <w:sz w:val="24"/>
          <w:szCs w:val="24"/>
        </w:rPr>
        <w:t>或采取拖延</w:t>
      </w:r>
      <w:r>
        <w:rPr>
          <w:rFonts w:ascii="宋体" w:eastAsia="宋体" w:hAnsi="宋体" w:cs="Malgun Gothic Semilight" w:hint="eastAsia"/>
          <w:sz w:val="24"/>
          <w:szCs w:val="24"/>
        </w:rPr>
        <w:t>、</w:t>
      </w:r>
      <w:r>
        <w:rPr>
          <w:rFonts w:ascii="宋体" w:eastAsia="宋体" w:hAnsi="宋体" w:cs="微软雅黑" w:hint="eastAsia"/>
          <w:sz w:val="24"/>
          <w:szCs w:val="24"/>
        </w:rPr>
        <w:t>欺诈等手段妨碍基金托管人进行有效监督</w:t>
      </w:r>
      <w:r>
        <w:rPr>
          <w:rFonts w:ascii="宋体" w:eastAsia="宋体" w:hAnsi="宋体" w:cs="Arial" w:hint="eastAsia"/>
          <w:sz w:val="24"/>
          <w:szCs w:val="24"/>
        </w:rPr>
        <w:t>，</w:t>
      </w:r>
      <w:r>
        <w:rPr>
          <w:rFonts w:ascii="宋体" w:eastAsia="宋体" w:hAnsi="宋体" w:cs="微软雅黑" w:hint="eastAsia"/>
          <w:sz w:val="24"/>
          <w:szCs w:val="24"/>
        </w:rPr>
        <w:t>情节严重或经基金托管人提出警告仍不改正的</w:t>
      </w:r>
      <w:r>
        <w:rPr>
          <w:rFonts w:ascii="宋体" w:eastAsia="宋体" w:hAnsi="宋体" w:cs="Malgun Gothic Semilight" w:hint="eastAsia"/>
          <w:sz w:val="24"/>
          <w:szCs w:val="24"/>
        </w:rPr>
        <w:t>，</w:t>
      </w:r>
      <w:r>
        <w:rPr>
          <w:rFonts w:ascii="宋体" w:eastAsia="宋体" w:hAnsi="宋体" w:cs="微软雅黑" w:hint="eastAsia"/>
          <w:sz w:val="24"/>
          <w:szCs w:val="24"/>
        </w:rPr>
        <w:t>基金托管人应报告中国证监会</w:t>
      </w:r>
      <w:r>
        <w:rPr>
          <w:rFonts w:ascii="宋体" w:eastAsia="宋体" w:hAnsi="宋体" w:cs="Malgun Gothic Semilight" w:hint="eastAsia"/>
          <w:sz w:val="24"/>
          <w:szCs w:val="24"/>
        </w:rPr>
        <w:t>。</w:t>
      </w:r>
    </w:p>
    <w:p w14:paraId="7480DDEB" w14:textId="77777777" w:rsidR="00F012EE" w:rsidRDefault="00F012EE">
      <w:pPr>
        <w:spacing w:line="360" w:lineRule="auto"/>
        <w:rPr>
          <w:rFonts w:ascii="宋体" w:eastAsia="宋体" w:hAnsi="宋体" w:cs="Times New Roman"/>
          <w:sz w:val="24"/>
          <w:szCs w:val="24"/>
        </w:rPr>
      </w:pPr>
    </w:p>
    <w:p w14:paraId="0ECE733D" w14:textId="77777777" w:rsidR="00F012EE" w:rsidRDefault="00477FBC">
      <w:pPr>
        <w:keepNext/>
        <w:keepLines/>
        <w:spacing w:before="260" w:after="260" w:line="360" w:lineRule="auto"/>
        <w:jc w:val="center"/>
        <w:outlineLvl w:val="1"/>
        <w:rPr>
          <w:rFonts w:ascii="宋体" w:eastAsia="宋体" w:hAnsi="宋体" w:cs="Times New Roman"/>
          <w:b/>
          <w:sz w:val="30"/>
          <w:szCs w:val="20"/>
        </w:rPr>
      </w:pPr>
      <w:bookmarkStart w:id="8" w:name="_Toc108512358"/>
      <w:bookmarkStart w:id="9" w:name="_Toc118212950"/>
      <w:bookmarkStart w:id="10" w:name="_Toc86737929"/>
      <w:bookmarkStart w:id="11" w:name="_Toc86727355"/>
      <w:bookmarkStart w:id="12" w:name="_Toc89163368"/>
      <w:bookmarkStart w:id="13" w:name="_Toc86225291"/>
      <w:bookmarkStart w:id="14" w:name="_Toc124325888"/>
      <w:bookmarkStart w:id="15" w:name="_Toc110761796"/>
      <w:bookmarkStart w:id="16" w:name="_Toc86649722"/>
      <w:bookmarkStart w:id="17" w:name="_Toc86223242"/>
      <w:bookmarkStart w:id="18" w:name="_Toc110830492"/>
      <w:bookmarkStart w:id="19" w:name="_Toc118972648"/>
      <w:bookmarkStart w:id="20" w:name="_Toc86726439"/>
      <w:bookmarkStart w:id="21" w:name="_Toc118774803"/>
      <w:bookmarkStart w:id="22" w:name="_Toc119402710"/>
      <w:bookmarkStart w:id="23" w:name="_Toc110765660"/>
      <w:bookmarkStart w:id="24" w:name="_Toc120435783"/>
      <w:r>
        <w:rPr>
          <w:rFonts w:ascii="宋体" w:eastAsia="宋体" w:hAnsi="宋体" w:cs="微软雅黑" w:hint="eastAsia"/>
          <w:b/>
          <w:sz w:val="30"/>
          <w:szCs w:val="20"/>
        </w:rPr>
        <w:t>四</w:t>
      </w:r>
      <w:r>
        <w:rPr>
          <w:rFonts w:ascii="宋体" w:eastAsia="宋体" w:hAnsi="宋体" w:cs="Malgun Gothic Semilight" w:hint="eastAsia"/>
          <w:b/>
          <w:sz w:val="30"/>
          <w:szCs w:val="20"/>
        </w:rPr>
        <w:t>、</w:t>
      </w:r>
      <w:r>
        <w:rPr>
          <w:rFonts w:ascii="宋体" w:eastAsia="宋体" w:hAnsi="宋体" w:cs="微软雅黑" w:hint="eastAsia"/>
          <w:b/>
          <w:sz w:val="30"/>
          <w:szCs w:val="20"/>
        </w:rPr>
        <w:t>基金管理人对基金托管人的业务核查</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2127B02C"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一</w:t>
      </w:r>
      <w:r>
        <w:rPr>
          <w:rFonts w:ascii="宋体" w:eastAsia="宋体" w:hAnsi="宋体" w:cs="Malgun Gothic Semilight" w:hint="eastAsia"/>
          <w:sz w:val="24"/>
          <w:szCs w:val="24"/>
        </w:rPr>
        <w:t>）</w:t>
      </w:r>
      <w:r>
        <w:rPr>
          <w:rFonts w:ascii="宋体" w:eastAsia="宋体" w:hAnsi="宋体" w:cs="微软雅黑" w:hint="eastAsia"/>
          <w:sz w:val="24"/>
          <w:szCs w:val="24"/>
        </w:rPr>
        <w:t>基金管理人对基金托管人履行托管职责情况进行核查</w:t>
      </w:r>
      <w:r>
        <w:rPr>
          <w:rFonts w:ascii="宋体" w:eastAsia="宋体" w:hAnsi="宋体" w:cs="Malgun Gothic Semilight" w:hint="eastAsia"/>
          <w:sz w:val="24"/>
          <w:szCs w:val="24"/>
        </w:rPr>
        <w:t>，</w:t>
      </w:r>
      <w:r>
        <w:rPr>
          <w:rFonts w:ascii="宋体" w:eastAsia="宋体" w:hAnsi="宋体" w:cs="微软雅黑" w:hint="eastAsia"/>
          <w:sz w:val="24"/>
          <w:szCs w:val="24"/>
        </w:rPr>
        <w:t>核查事项包括基金托管人安全保管基金财产</w:t>
      </w:r>
      <w:r>
        <w:rPr>
          <w:rFonts w:ascii="宋体" w:eastAsia="宋体" w:hAnsi="宋体" w:cs="Malgun Gothic Semilight" w:hint="eastAsia"/>
          <w:sz w:val="24"/>
          <w:szCs w:val="24"/>
        </w:rPr>
        <w:t>、</w:t>
      </w:r>
      <w:r>
        <w:rPr>
          <w:rFonts w:ascii="宋体" w:eastAsia="宋体" w:hAnsi="宋体" w:cs="微软雅黑" w:hint="eastAsia"/>
          <w:sz w:val="24"/>
          <w:szCs w:val="24"/>
        </w:rPr>
        <w:t>开设基金财产的资金账户和证券账户等投资所需账户</w:t>
      </w:r>
      <w:r>
        <w:rPr>
          <w:rFonts w:ascii="宋体" w:eastAsia="宋体" w:hAnsi="宋体" w:cs="Malgun Gothic Semilight" w:hint="eastAsia"/>
          <w:sz w:val="24"/>
          <w:szCs w:val="24"/>
        </w:rPr>
        <w:t>、</w:t>
      </w:r>
      <w:r>
        <w:rPr>
          <w:rFonts w:ascii="宋体" w:eastAsia="宋体" w:hAnsi="宋体" w:cs="微软雅黑" w:hint="eastAsia"/>
          <w:sz w:val="24"/>
          <w:szCs w:val="24"/>
        </w:rPr>
        <w:t>复核基金管理人计算的基金资产净值和基金份额净值</w:t>
      </w:r>
      <w:r>
        <w:rPr>
          <w:rFonts w:ascii="宋体" w:eastAsia="宋体" w:hAnsi="宋体" w:cs="Malgun Gothic Semilight" w:hint="eastAsia"/>
          <w:sz w:val="24"/>
          <w:szCs w:val="24"/>
        </w:rPr>
        <w:t>、</w:t>
      </w:r>
      <w:r>
        <w:rPr>
          <w:rFonts w:ascii="宋体" w:eastAsia="宋体" w:hAnsi="宋体" w:cs="微软雅黑" w:hint="eastAsia"/>
          <w:sz w:val="24"/>
          <w:szCs w:val="24"/>
        </w:rPr>
        <w:t>根据基金管理人指令办理清算交收</w:t>
      </w:r>
      <w:r>
        <w:rPr>
          <w:rFonts w:ascii="宋体" w:eastAsia="宋体" w:hAnsi="宋体" w:cs="Malgun Gothic Semilight" w:hint="eastAsia"/>
          <w:sz w:val="24"/>
          <w:szCs w:val="24"/>
        </w:rPr>
        <w:t>、</w:t>
      </w:r>
      <w:r>
        <w:rPr>
          <w:rFonts w:ascii="宋体" w:eastAsia="宋体" w:hAnsi="宋体" w:cs="微软雅黑" w:hint="eastAsia"/>
          <w:sz w:val="24"/>
          <w:szCs w:val="24"/>
        </w:rPr>
        <w:t>相关信息披露和监督基金投资运作等行为</w:t>
      </w:r>
      <w:r>
        <w:rPr>
          <w:rFonts w:ascii="宋体" w:eastAsia="宋体" w:hAnsi="宋体" w:cs="Malgun Gothic Semilight" w:hint="eastAsia"/>
          <w:sz w:val="24"/>
          <w:szCs w:val="24"/>
        </w:rPr>
        <w:t>。</w:t>
      </w:r>
    </w:p>
    <w:p w14:paraId="0A9E46A1"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二</w:t>
      </w:r>
      <w:r>
        <w:rPr>
          <w:rFonts w:ascii="宋体" w:eastAsia="宋体" w:hAnsi="宋体" w:cs="Malgun Gothic Semilight" w:hint="eastAsia"/>
          <w:sz w:val="24"/>
          <w:szCs w:val="24"/>
        </w:rPr>
        <w:t>）</w:t>
      </w:r>
      <w:r>
        <w:rPr>
          <w:rFonts w:ascii="宋体" w:eastAsia="宋体" w:hAnsi="宋体" w:cs="微软雅黑" w:hint="eastAsia"/>
          <w:sz w:val="24"/>
          <w:szCs w:val="24"/>
        </w:rPr>
        <w:t>基金管理人发现基金托管人擅自挪用基金财产</w:t>
      </w:r>
      <w:r>
        <w:rPr>
          <w:rFonts w:ascii="宋体" w:eastAsia="宋体" w:hAnsi="宋体" w:cs="Malgun Gothic Semilight" w:hint="eastAsia"/>
          <w:sz w:val="24"/>
          <w:szCs w:val="24"/>
        </w:rPr>
        <w:t>、</w:t>
      </w:r>
      <w:r>
        <w:rPr>
          <w:rFonts w:ascii="宋体" w:eastAsia="宋体" w:hAnsi="宋体" w:cs="微软雅黑" w:hint="eastAsia"/>
          <w:sz w:val="24"/>
          <w:szCs w:val="24"/>
        </w:rPr>
        <w:t>未对基金财产实行分账管理</w:t>
      </w:r>
      <w:r>
        <w:rPr>
          <w:rFonts w:ascii="宋体" w:eastAsia="宋体" w:hAnsi="宋体" w:cs="Malgun Gothic Semilight" w:hint="eastAsia"/>
          <w:sz w:val="24"/>
          <w:szCs w:val="24"/>
        </w:rPr>
        <w:t>、</w:t>
      </w:r>
      <w:r>
        <w:rPr>
          <w:rFonts w:ascii="宋体" w:eastAsia="宋体" w:hAnsi="宋体" w:cs="微软雅黑" w:hint="eastAsia"/>
          <w:sz w:val="24"/>
          <w:szCs w:val="24"/>
        </w:rPr>
        <w:t>未执行或无故延迟执行基金管理人资金划拨指令</w:t>
      </w:r>
      <w:r>
        <w:rPr>
          <w:rFonts w:ascii="宋体" w:eastAsia="宋体" w:hAnsi="宋体" w:cs="Malgun Gothic Semilight" w:hint="eastAsia"/>
          <w:sz w:val="24"/>
          <w:szCs w:val="24"/>
        </w:rPr>
        <w:t>、</w:t>
      </w:r>
      <w:r>
        <w:rPr>
          <w:rFonts w:ascii="宋体" w:eastAsia="宋体" w:hAnsi="宋体" w:cs="微软雅黑" w:hint="eastAsia"/>
          <w:sz w:val="24"/>
          <w:szCs w:val="24"/>
        </w:rPr>
        <w:t>泄露基金投资信息等违反</w:t>
      </w:r>
      <w:r>
        <w:rPr>
          <w:rFonts w:ascii="宋体" w:eastAsia="宋体" w:hAnsi="宋体" w:cs="Malgun Gothic Semilight" w:hint="eastAsia"/>
          <w:sz w:val="24"/>
          <w:szCs w:val="24"/>
        </w:rPr>
        <w:t>《</w:t>
      </w:r>
      <w:r>
        <w:rPr>
          <w:rFonts w:ascii="宋体" w:eastAsia="宋体" w:hAnsi="宋体" w:cs="微软雅黑" w:hint="eastAsia"/>
          <w:sz w:val="24"/>
          <w:szCs w:val="24"/>
        </w:rPr>
        <w:t>基金法</w:t>
      </w:r>
      <w:r>
        <w:rPr>
          <w:rFonts w:ascii="宋体" w:eastAsia="宋体" w:hAnsi="宋体" w:cs="Malgun Gothic Semilight" w:hint="eastAsia"/>
          <w:sz w:val="24"/>
          <w:szCs w:val="24"/>
        </w:rPr>
        <w:t>》</w:t>
      </w:r>
      <w:r>
        <w:rPr>
          <w:rFonts w:ascii="宋体" w:eastAsia="宋体" w:hAnsi="宋体" w:cs="Arial"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本协议及其他有关规定时</w:t>
      </w:r>
      <w:r>
        <w:rPr>
          <w:rFonts w:ascii="宋体" w:eastAsia="宋体" w:hAnsi="宋体" w:cs="Malgun Gothic Semilight" w:hint="eastAsia"/>
          <w:sz w:val="24"/>
          <w:szCs w:val="24"/>
        </w:rPr>
        <w:t>，</w:t>
      </w:r>
      <w:r>
        <w:rPr>
          <w:rFonts w:ascii="宋体" w:eastAsia="宋体" w:hAnsi="宋体" w:cs="微软雅黑" w:hint="eastAsia"/>
          <w:sz w:val="24"/>
          <w:szCs w:val="24"/>
        </w:rPr>
        <w:t>应及时以书面形式通知基金托管人限期纠正</w:t>
      </w:r>
      <w:r>
        <w:rPr>
          <w:rFonts w:ascii="宋体" w:eastAsia="宋体" w:hAnsi="宋体" w:cs="Malgun Gothic Semilight" w:hint="eastAsia"/>
          <w:sz w:val="24"/>
          <w:szCs w:val="24"/>
        </w:rPr>
        <w:t>。</w:t>
      </w:r>
      <w:r>
        <w:rPr>
          <w:rFonts w:ascii="宋体" w:eastAsia="宋体" w:hAnsi="宋体" w:cs="微软雅黑" w:hint="eastAsia"/>
          <w:sz w:val="24"/>
          <w:szCs w:val="24"/>
        </w:rPr>
        <w:t>基金托管人收到通知后应及时核对并以书面形式给基金管理人发出回函</w:t>
      </w:r>
      <w:r>
        <w:rPr>
          <w:rFonts w:ascii="宋体" w:eastAsia="宋体" w:hAnsi="宋体" w:cs="Malgun Gothic Semilight" w:hint="eastAsia"/>
          <w:sz w:val="24"/>
          <w:szCs w:val="24"/>
        </w:rPr>
        <w:t>，</w:t>
      </w:r>
      <w:r>
        <w:rPr>
          <w:rFonts w:ascii="宋体" w:eastAsia="宋体" w:hAnsi="宋体" w:cs="微软雅黑" w:hint="eastAsia"/>
          <w:sz w:val="24"/>
          <w:szCs w:val="24"/>
        </w:rPr>
        <w:t>说明违规原因及纠正期限</w:t>
      </w:r>
      <w:r>
        <w:rPr>
          <w:rFonts w:ascii="宋体" w:eastAsia="宋体" w:hAnsi="宋体" w:cs="Malgun Gothic Semilight" w:hint="eastAsia"/>
          <w:sz w:val="24"/>
          <w:szCs w:val="24"/>
        </w:rPr>
        <w:t>，</w:t>
      </w:r>
      <w:r>
        <w:rPr>
          <w:rFonts w:ascii="宋体" w:eastAsia="宋体" w:hAnsi="宋体" w:cs="微软雅黑" w:hint="eastAsia"/>
          <w:sz w:val="24"/>
          <w:szCs w:val="24"/>
        </w:rPr>
        <w:t>并保证在规定期限内及时改正</w:t>
      </w:r>
      <w:r>
        <w:rPr>
          <w:rFonts w:ascii="宋体" w:eastAsia="宋体" w:hAnsi="宋体" w:cs="Malgun Gothic Semilight" w:hint="eastAsia"/>
          <w:sz w:val="24"/>
          <w:szCs w:val="24"/>
        </w:rPr>
        <w:t>。</w:t>
      </w:r>
      <w:r>
        <w:rPr>
          <w:rFonts w:ascii="宋体" w:eastAsia="宋体" w:hAnsi="宋体" w:cs="微软雅黑" w:hint="eastAsia"/>
          <w:sz w:val="24"/>
          <w:szCs w:val="24"/>
        </w:rPr>
        <w:t>在上述规定期限内</w:t>
      </w:r>
      <w:r>
        <w:rPr>
          <w:rFonts w:ascii="宋体" w:eastAsia="宋体" w:hAnsi="宋体" w:cs="Malgun Gothic Semilight" w:hint="eastAsia"/>
          <w:sz w:val="24"/>
          <w:szCs w:val="24"/>
        </w:rPr>
        <w:t>，</w:t>
      </w:r>
      <w:r>
        <w:rPr>
          <w:rFonts w:ascii="宋体" w:eastAsia="宋体" w:hAnsi="宋体" w:cs="微软雅黑" w:hint="eastAsia"/>
          <w:sz w:val="24"/>
          <w:szCs w:val="24"/>
        </w:rPr>
        <w:t>基金管理人有权随时对通知事项进行复查</w:t>
      </w:r>
      <w:r>
        <w:rPr>
          <w:rFonts w:ascii="宋体" w:eastAsia="宋体" w:hAnsi="宋体" w:cs="Malgun Gothic Semilight" w:hint="eastAsia"/>
          <w:sz w:val="24"/>
          <w:szCs w:val="24"/>
        </w:rPr>
        <w:t>，</w:t>
      </w:r>
      <w:r>
        <w:rPr>
          <w:rFonts w:ascii="宋体" w:eastAsia="宋体" w:hAnsi="宋体" w:cs="微软雅黑" w:hint="eastAsia"/>
          <w:sz w:val="24"/>
          <w:szCs w:val="24"/>
        </w:rPr>
        <w:t>督促基金托管人改正</w:t>
      </w:r>
      <w:r>
        <w:rPr>
          <w:rFonts w:ascii="宋体" w:eastAsia="宋体" w:hAnsi="宋体" w:cs="Malgun Gothic Semilight" w:hint="eastAsia"/>
          <w:sz w:val="24"/>
          <w:szCs w:val="24"/>
        </w:rPr>
        <w:t>。</w:t>
      </w:r>
      <w:r>
        <w:rPr>
          <w:rFonts w:ascii="宋体" w:eastAsia="宋体" w:hAnsi="宋体" w:cs="微软雅黑" w:hint="eastAsia"/>
          <w:sz w:val="24"/>
          <w:szCs w:val="24"/>
        </w:rPr>
        <w:t>基金托管人应积极配合基金管理人的核查行为</w:t>
      </w:r>
      <w:r>
        <w:rPr>
          <w:rFonts w:ascii="宋体" w:eastAsia="宋体" w:hAnsi="宋体" w:cs="Malgun Gothic Semilight" w:hint="eastAsia"/>
          <w:sz w:val="24"/>
          <w:szCs w:val="24"/>
        </w:rPr>
        <w:t>，</w:t>
      </w:r>
      <w:r>
        <w:rPr>
          <w:rFonts w:ascii="宋体" w:eastAsia="宋体" w:hAnsi="宋体" w:cs="微软雅黑" w:hint="eastAsia"/>
          <w:sz w:val="24"/>
          <w:szCs w:val="24"/>
        </w:rPr>
        <w:t>包括但不限于</w:t>
      </w:r>
      <w:r>
        <w:rPr>
          <w:rFonts w:ascii="宋体" w:eastAsia="宋体" w:hAnsi="宋体" w:cs="Malgun Gothic Semilight" w:hint="eastAsia"/>
          <w:sz w:val="24"/>
          <w:szCs w:val="24"/>
        </w:rPr>
        <w:t>：</w:t>
      </w:r>
      <w:r>
        <w:rPr>
          <w:rFonts w:ascii="宋体" w:eastAsia="宋体" w:hAnsi="宋体" w:cs="微软雅黑" w:hint="eastAsia"/>
          <w:sz w:val="24"/>
          <w:szCs w:val="24"/>
        </w:rPr>
        <w:t>提交相关资料以</w:t>
      </w:r>
      <w:proofErr w:type="gramStart"/>
      <w:r>
        <w:rPr>
          <w:rFonts w:ascii="宋体" w:eastAsia="宋体" w:hAnsi="宋体" w:cs="微软雅黑" w:hint="eastAsia"/>
          <w:sz w:val="24"/>
          <w:szCs w:val="24"/>
        </w:rPr>
        <w:t>供基金</w:t>
      </w:r>
      <w:proofErr w:type="gramEnd"/>
      <w:r>
        <w:rPr>
          <w:rFonts w:ascii="宋体" w:eastAsia="宋体" w:hAnsi="宋体" w:cs="微软雅黑" w:hint="eastAsia"/>
          <w:sz w:val="24"/>
          <w:szCs w:val="24"/>
        </w:rPr>
        <w:t>管理人核查托管财产的完整性和真实性</w:t>
      </w:r>
      <w:r>
        <w:rPr>
          <w:rFonts w:ascii="宋体" w:eastAsia="宋体" w:hAnsi="宋体" w:cs="Malgun Gothic Semilight" w:hint="eastAsia"/>
          <w:sz w:val="24"/>
          <w:szCs w:val="24"/>
        </w:rPr>
        <w:t>，</w:t>
      </w:r>
      <w:r>
        <w:rPr>
          <w:rFonts w:ascii="宋体" w:eastAsia="宋体" w:hAnsi="宋体" w:cs="微软雅黑" w:hint="eastAsia"/>
          <w:sz w:val="24"/>
          <w:szCs w:val="24"/>
        </w:rPr>
        <w:t>在规定时间内答复基金管理人并改正</w:t>
      </w:r>
      <w:r>
        <w:rPr>
          <w:rFonts w:ascii="宋体" w:eastAsia="宋体" w:hAnsi="宋体" w:cs="Malgun Gothic Semilight" w:hint="eastAsia"/>
          <w:sz w:val="24"/>
          <w:szCs w:val="24"/>
        </w:rPr>
        <w:t>。</w:t>
      </w:r>
    </w:p>
    <w:p w14:paraId="75083C44"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三</w:t>
      </w:r>
      <w:r>
        <w:rPr>
          <w:rFonts w:ascii="宋体" w:eastAsia="宋体" w:hAnsi="宋体" w:cs="Malgun Gothic Semilight" w:hint="eastAsia"/>
          <w:sz w:val="24"/>
          <w:szCs w:val="24"/>
        </w:rPr>
        <w:t>）</w:t>
      </w:r>
      <w:r>
        <w:rPr>
          <w:rFonts w:ascii="宋体" w:eastAsia="宋体" w:hAnsi="宋体" w:cs="微软雅黑" w:hint="eastAsia"/>
          <w:sz w:val="24"/>
          <w:szCs w:val="24"/>
        </w:rPr>
        <w:t>基金管理人发现基金托管人有重大违规行为</w:t>
      </w:r>
      <w:r>
        <w:rPr>
          <w:rFonts w:ascii="宋体" w:eastAsia="宋体" w:hAnsi="宋体" w:cs="Malgun Gothic Semilight" w:hint="eastAsia"/>
          <w:sz w:val="24"/>
          <w:szCs w:val="24"/>
        </w:rPr>
        <w:t>，</w:t>
      </w:r>
      <w:r>
        <w:rPr>
          <w:rFonts w:ascii="宋体" w:eastAsia="宋体" w:hAnsi="宋体" w:cs="微软雅黑" w:hint="eastAsia"/>
          <w:sz w:val="24"/>
          <w:szCs w:val="24"/>
        </w:rPr>
        <w:t>应及时报告中国证监会</w:t>
      </w:r>
      <w:r>
        <w:rPr>
          <w:rFonts w:ascii="宋体" w:eastAsia="宋体" w:hAnsi="宋体" w:cs="Malgun Gothic Semilight" w:hint="eastAsia"/>
          <w:sz w:val="24"/>
          <w:szCs w:val="24"/>
        </w:rPr>
        <w:t>，</w:t>
      </w:r>
      <w:r>
        <w:rPr>
          <w:rFonts w:ascii="宋体" w:eastAsia="宋体" w:hAnsi="宋体" w:cs="微软雅黑" w:hint="eastAsia"/>
          <w:sz w:val="24"/>
          <w:szCs w:val="24"/>
        </w:rPr>
        <w:t>同时通知基金托管人限期纠正</w:t>
      </w:r>
      <w:r>
        <w:rPr>
          <w:rFonts w:ascii="宋体" w:eastAsia="宋体" w:hAnsi="宋体" w:cs="Malgun Gothic Semilight" w:hint="eastAsia"/>
          <w:sz w:val="24"/>
          <w:szCs w:val="24"/>
        </w:rPr>
        <w:t>，</w:t>
      </w:r>
      <w:r>
        <w:rPr>
          <w:rFonts w:ascii="宋体" w:eastAsia="宋体" w:hAnsi="宋体" w:cs="微软雅黑" w:hint="eastAsia"/>
          <w:sz w:val="24"/>
          <w:szCs w:val="24"/>
        </w:rPr>
        <w:t>并将纠正结果报告中国证监会</w:t>
      </w:r>
      <w:r>
        <w:rPr>
          <w:rFonts w:ascii="宋体" w:eastAsia="宋体" w:hAnsi="宋体" w:cs="Malgun Gothic Semilight" w:hint="eastAsia"/>
          <w:sz w:val="24"/>
          <w:szCs w:val="24"/>
        </w:rPr>
        <w:t>。</w:t>
      </w:r>
      <w:r>
        <w:rPr>
          <w:rFonts w:ascii="宋体" w:eastAsia="宋体" w:hAnsi="宋体" w:cs="微软雅黑" w:hint="eastAsia"/>
          <w:sz w:val="24"/>
          <w:szCs w:val="24"/>
        </w:rPr>
        <w:t>基金托管人无正当理由</w:t>
      </w:r>
      <w:r>
        <w:rPr>
          <w:rFonts w:ascii="宋体" w:eastAsia="宋体" w:hAnsi="宋体" w:cs="Malgun Gothic Semilight" w:hint="eastAsia"/>
          <w:sz w:val="24"/>
          <w:szCs w:val="24"/>
        </w:rPr>
        <w:t>，</w:t>
      </w:r>
      <w:r>
        <w:rPr>
          <w:rFonts w:ascii="宋体" w:eastAsia="宋体" w:hAnsi="宋体" w:cs="微软雅黑" w:hint="eastAsia"/>
          <w:sz w:val="24"/>
          <w:szCs w:val="24"/>
        </w:rPr>
        <w:t>拒绝</w:t>
      </w:r>
      <w:r>
        <w:rPr>
          <w:rFonts w:ascii="宋体" w:eastAsia="宋体" w:hAnsi="宋体" w:cs="Malgun Gothic Semilight" w:hint="eastAsia"/>
          <w:sz w:val="24"/>
          <w:szCs w:val="24"/>
        </w:rPr>
        <w:t>、</w:t>
      </w:r>
      <w:r>
        <w:rPr>
          <w:rFonts w:ascii="宋体" w:eastAsia="宋体" w:hAnsi="宋体" w:cs="微软雅黑" w:hint="eastAsia"/>
          <w:sz w:val="24"/>
          <w:szCs w:val="24"/>
        </w:rPr>
        <w:t>阻挠基金管理人根据本协议规定行使监督权</w:t>
      </w:r>
      <w:r>
        <w:rPr>
          <w:rFonts w:ascii="宋体" w:eastAsia="宋体" w:hAnsi="宋体" w:cs="Malgun Gothic Semilight" w:hint="eastAsia"/>
          <w:sz w:val="24"/>
          <w:szCs w:val="24"/>
        </w:rPr>
        <w:t>，</w:t>
      </w:r>
      <w:r>
        <w:rPr>
          <w:rFonts w:ascii="宋体" w:eastAsia="宋体" w:hAnsi="宋体" w:cs="微软雅黑" w:hint="eastAsia"/>
          <w:sz w:val="24"/>
          <w:szCs w:val="24"/>
        </w:rPr>
        <w:t>或采取拖延</w:t>
      </w:r>
      <w:r>
        <w:rPr>
          <w:rFonts w:ascii="宋体" w:eastAsia="宋体" w:hAnsi="宋体" w:cs="Malgun Gothic Semilight" w:hint="eastAsia"/>
          <w:sz w:val="24"/>
          <w:szCs w:val="24"/>
        </w:rPr>
        <w:t>、</w:t>
      </w:r>
      <w:r>
        <w:rPr>
          <w:rFonts w:ascii="宋体" w:eastAsia="宋体" w:hAnsi="宋体" w:cs="微软雅黑" w:hint="eastAsia"/>
          <w:sz w:val="24"/>
          <w:szCs w:val="24"/>
        </w:rPr>
        <w:t>欺诈等手段妨碍基金管理人进行有效监督</w:t>
      </w:r>
      <w:r>
        <w:rPr>
          <w:rFonts w:ascii="宋体" w:eastAsia="宋体" w:hAnsi="宋体" w:cs="Malgun Gothic Semilight" w:hint="eastAsia"/>
          <w:sz w:val="24"/>
          <w:szCs w:val="24"/>
        </w:rPr>
        <w:t>，</w:t>
      </w:r>
      <w:r>
        <w:rPr>
          <w:rFonts w:ascii="宋体" w:eastAsia="宋体" w:hAnsi="宋体" w:cs="微软雅黑" w:hint="eastAsia"/>
          <w:sz w:val="24"/>
          <w:szCs w:val="24"/>
        </w:rPr>
        <w:t>情节严重或经基金管理人提出警告仍不改正的</w:t>
      </w:r>
      <w:r>
        <w:rPr>
          <w:rFonts w:ascii="宋体" w:eastAsia="宋体" w:hAnsi="宋体" w:cs="Malgun Gothic Semilight" w:hint="eastAsia"/>
          <w:sz w:val="24"/>
          <w:szCs w:val="24"/>
        </w:rPr>
        <w:t>，</w:t>
      </w:r>
      <w:r>
        <w:rPr>
          <w:rFonts w:ascii="宋体" w:eastAsia="宋体" w:hAnsi="宋体" w:cs="微软雅黑" w:hint="eastAsia"/>
          <w:sz w:val="24"/>
          <w:szCs w:val="24"/>
        </w:rPr>
        <w:lastRenderedPageBreak/>
        <w:t>基金管理人应报告中国证监会</w:t>
      </w:r>
      <w:r>
        <w:rPr>
          <w:rFonts w:ascii="宋体" w:eastAsia="宋体" w:hAnsi="宋体" w:cs="Malgun Gothic Semilight" w:hint="eastAsia"/>
          <w:sz w:val="24"/>
          <w:szCs w:val="24"/>
        </w:rPr>
        <w:t>。</w:t>
      </w:r>
    </w:p>
    <w:p w14:paraId="57FCFC3B" w14:textId="77777777" w:rsidR="00F012EE" w:rsidRDefault="00F012EE">
      <w:pPr>
        <w:spacing w:line="360" w:lineRule="auto"/>
        <w:rPr>
          <w:rFonts w:ascii="宋体" w:eastAsia="宋体" w:hAnsi="宋体" w:cs="Times New Roman"/>
          <w:sz w:val="24"/>
          <w:szCs w:val="24"/>
        </w:rPr>
      </w:pPr>
    </w:p>
    <w:p w14:paraId="1F654345" w14:textId="77777777" w:rsidR="00F012EE" w:rsidRDefault="00477FBC">
      <w:pPr>
        <w:keepNext/>
        <w:keepLines/>
        <w:spacing w:before="260" w:after="260" w:line="360" w:lineRule="auto"/>
        <w:jc w:val="center"/>
        <w:outlineLvl w:val="1"/>
        <w:rPr>
          <w:rFonts w:ascii="宋体" w:eastAsia="宋体" w:hAnsi="宋体" w:cs="Times New Roman"/>
          <w:b/>
          <w:sz w:val="30"/>
          <w:szCs w:val="20"/>
        </w:rPr>
      </w:pPr>
      <w:bookmarkStart w:id="25" w:name="_Toc86727356"/>
      <w:bookmarkStart w:id="26" w:name="_Toc86225292"/>
      <w:bookmarkStart w:id="27" w:name="_Toc118972649"/>
      <w:bookmarkStart w:id="28" w:name="_Toc110830493"/>
      <w:bookmarkStart w:id="29" w:name="_Toc89163369"/>
      <w:bookmarkStart w:id="30" w:name="_Toc120435784"/>
      <w:bookmarkStart w:id="31" w:name="_Toc84133786"/>
      <w:bookmarkStart w:id="32" w:name="_Toc118212951"/>
      <w:bookmarkStart w:id="33" w:name="_Toc124325889"/>
      <w:bookmarkStart w:id="34" w:name="_Toc86223243"/>
      <w:bookmarkStart w:id="35" w:name="_Toc86737930"/>
      <w:bookmarkStart w:id="36" w:name="_Toc110761797"/>
      <w:bookmarkStart w:id="37" w:name="_Toc108512359"/>
      <w:bookmarkStart w:id="38" w:name="_Toc119402711"/>
      <w:bookmarkStart w:id="39" w:name="_Toc84234435"/>
      <w:bookmarkStart w:id="40" w:name="_Toc86649723"/>
      <w:bookmarkStart w:id="41" w:name="_Toc110765661"/>
      <w:bookmarkStart w:id="42" w:name="_Toc86726440"/>
      <w:bookmarkStart w:id="43" w:name="_Toc86204789"/>
      <w:bookmarkStart w:id="44" w:name="_Toc118774804"/>
      <w:bookmarkStart w:id="45" w:name="_Toc84234388"/>
      <w:r>
        <w:rPr>
          <w:rFonts w:ascii="宋体" w:eastAsia="宋体" w:hAnsi="宋体" w:cs="微软雅黑" w:hint="eastAsia"/>
          <w:b/>
          <w:sz w:val="30"/>
          <w:szCs w:val="20"/>
        </w:rPr>
        <w:t>五</w:t>
      </w:r>
      <w:r>
        <w:rPr>
          <w:rFonts w:ascii="宋体" w:eastAsia="宋体" w:hAnsi="宋体" w:cs="Malgun Gothic Semilight" w:hint="eastAsia"/>
          <w:b/>
          <w:sz w:val="30"/>
          <w:szCs w:val="20"/>
        </w:rPr>
        <w:t>、</w:t>
      </w:r>
      <w:r>
        <w:rPr>
          <w:rFonts w:ascii="宋体" w:eastAsia="宋体" w:hAnsi="宋体" w:cs="微软雅黑" w:hint="eastAsia"/>
          <w:b/>
          <w:sz w:val="30"/>
          <w:szCs w:val="20"/>
        </w:rPr>
        <w:t>基金财产的保管</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0AD26DC2"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一</w:t>
      </w:r>
      <w:r>
        <w:rPr>
          <w:rFonts w:ascii="宋体" w:eastAsia="宋体" w:hAnsi="宋体" w:cs="Malgun Gothic Semilight" w:hint="eastAsia"/>
          <w:sz w:val="24"/>
          <w:szCs w:val="24"/>
        </w:rPr>
        <w:t>）</w:t>
      </w:r>
      <w:r>
        <w:rPr>
          <w:rFonts w:ascii="宋体" w:eastAsia="宋体" w:hAnsi="宋体" w:cs="微软雅黑" w:hint="eastAsia"/>
          <w:sz w:val="24"/>
          <w:szCs w:val="24"/>
        </w:rPr>
        <w:t>基金财产保管的原则</w:t>
      </w:r>
    </w:p>
    <w:p w14:paraId="45C96E16"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1.</w:t>
      </w:r>
      <w:r>
        <w:rPr>
          <w:rFonts w:ascii="宋体" w:eastAsia="宋体" w:hAnsi="宋体" w:cs="微软雅黑" w:hint="eastAsia"/>
          <w:sz w:val="24"/>
          <w:szCs w:val="24"/>
        </w:rPr>
        <w:t>基金财产应独立于基金管理人</w:t>
      </w:r>
      <w:r>
        <w:rPr>
          <w:rFonts w:ascii="宋体" w:eastAsia="宋体" w:hAnsi="宋体" w:cs="Malgun Gothic Semilight" w:hint="eastAsia"/>
          <w:sz w:val="24"/>
          <w:szCs w:val="24"/>
        </w:rPr>
        <w:t>、</w:t>
      </w:r>
      <w:r>
        <w:rPr>
          <w:rFonts w:ascii="宋体" w:eastAsia="宋体" w:hAnsi="宋体" w:cs="微软雅黑" w:hint="eastAsia"/>
          <w:sz w:val="24"/>
          <w:szCs w:val="24"/>
        </w:rPr>
        <w:t>基金托管人和证券经纪机构的固有财产</w:t>
      </w:r>
      <w:r>
        <w:rPr>
          <w:rFonts w:ascii="宋体" w:eastAsia="宋体" w:hAnsi="宋体" w:cs="Malgun Gothic Semilight" w:hint="eastAsia"/>
          <w:sz w:val="24"/>
          <w:szCs w:val="24"/>
        </w:rPr>
        <w:t>。</w:t>
      </w:r>
    </w:p>
    <w:p w14:paraId="5B912E30"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微软雅黑" w:hint="eastAsia"/>
          <w:sz w:val="24"/>
          <w:szCs w:val="24"/>
        </w:rPr>
        <w:t>基金托管人应安全保管基金财产</w:t>
      </w:r>
      <w:r>
        <w:rPr>
          <w:rFonts w:ascii="宋体" w:eastAsia="宋体" w:hAnsi="宋体" w:cs="Malgun Gothic Semilight" w:hint="eastAsia"/>
          <w:sz w:val="24"/>
          <w:szCs w:val="24"/>
        </w:rPr>
        <w:t>。</w:t>
      </w:r>
    </w:p>
    <w:p w14:paraId="6BA5CC5D"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3.</w:t>
      </w:r>
      <w:r>
        <w:rPr>
          <w:rFonts w:ascii="宋体" w:eastAsia="宋体" w:hAnsi="宋体" w:cs="微软雅黑" w:hint="eastAsia"/>
          <w:sz w:val="24"/>
          <w:szCs w:val="24"/>
        </w:rPr>
        <w:t>基金托管人按照规定开设基金财产的资金账户和证券账户等投资所需账户</w:t>
      </w:r>
      <w:r>
        <w:rPr>
          <w:rFonts w:ascii="宋体" w:eastAsia="宋体" w:hAnsi="宋体" w:cs="Malgun Gothic Semilight" w:hint="eastAsia"/>
          <w:sz w:val="24"/>
          <w:szCs w:val="24"/>
        </w:rPr>
        <w:t>。</w:t>
      </w:r>
    </w:p>
    <w:p w14:paraId="529DFF53"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4.</w:t>
      </w:r>
      <w:r>
        <w:rPr>
          <w:rFonts w:ascii="宋体" w:eastAsia="宋体" w:hAnsi="宋体" w:cs="微软雅黑" w:hint="eastAsia"/>
          <w:sz w:val="24"/>
          <w:szCs w:val="24"/>
        </w:rPr>
        <w:t>基金托管人对所托管的不同基金财产分别设置账户</w:t>
      </w:r>
      <w:r>
        <w:rPr>
          <w:rFonts w:ascii="宋体" w:eastAsia="宋体" w:hAnsi="宋体" w:cs="Malgun Gothic Semilight" w:hint="eastAsia"/>
          <w:sz w:val="24"/>
          <w:szCs w:val="24"/>
        </w:rPr>
        <w:t>，</w:t>
      </w:r>
      <w:r>
        <w:rPr>
          <w:rFonts w:ascii="宋体" w:eastAsia="宋体" w:hAnsi="宋体" w:cs="微软雅黑" w:hint="eastAsia"/>
          <w:sz w:val="24"/>
          <w:szCs w:val="24"/>
        </w:rPr>
        <w:t>确保基金财产的完整与独立</w:t>
      </w:r>
      <w:r>
        <w:rPr>
          <w:rFonts w:ascii="宋体" w:eastAsia="宋体" w:hAnsi="宋体" w:cs="Malgun Gothic Semilight" w:hint="eastAsia"/>
          <w:sz w:val="24"/>
          <w:szCs w:val="24"/>
        </w:rPr>
        <w:t>。</w:t>
      </w:r>
    </w:p>
    <w:p w14:paraId="1258F097"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5.</w:t>
      </w:r>
      <w:r>
        <w:rPr>
          <w:rFonts w:ascii="宋体" w:eastAsia="宋体" w:hAnsi="宋体" w:cs="微软雅黑" w:hint="eastAsia"/>
          <w:sz w:val="24"/>
          <w:szCs w:val="24"/>
        </w:rPr>
        <w:t>基金托管人按照</w:t>
      </w:r>
      <w:r>
        <w:rPr>
          <w:rFonts w:ascii="宋体" w:eastAsia="宋体" w:hAnsi="宋体" w:cs="Malgun Gothic Semilight"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和本协议的约定保管基金财产</w:t>
      </w:r>
      <w:r>
        <w:rPr>
          <w:rFonts w:ascii="宋体" w:eastAsia="宋体" w:hAnsi="宋体" w:cs="Malgun Gothic Semilight" w:hint="eastAsia"/>
          <w:sz w:val="24"/>
          <w:szCs w:val="24"/>
        </w:rPr>
        <w:t>，</w:t>
      </w:r>
      <w:r>
        <w:rPr>
          <w:rFonts w:ascii="宋体" w:eastAsia="宋体" w:hAnsi="宋体" w:cs="微软雅黑" w:hint="eastAsia"/>
          <w:sz w:val="24"/>
          <w:szCs w:val="24"/>
        </w:rPr>
        <w:t>如有特殊情况双方可另行协商解决</w:t>
      </w:r>
      <w:r>
        <w:rPr>
          <w:rFonts w:ascii="宋体" w:eastAsia="宋体" w:hAnsi="宋体" w:cs="Malgun Gothic Semilight" w:hint="eastAsia"/>
          <w:sz w:val="24"/>
          <w:szCs w:val="24"/>
        </w:rPr>
        <w:t>。</w:t>
      </w:r>
      <w:r>
        <w:rPr>
          <w:rFonts w:ascii="宋体" w:eastAsia="宋体" w:hAnsi="宋体" w:cs="微软雅黑" w:hint="eastAsia"/>
          <w:sz w:val="24"/>
          <w:szCs w:val="24"/>
        </w:rPr>
        <w:t>基金托管人未经基金管理人的指令</w:t>
      </w:r>
      <w:r>
        <w:rPr>
          <w:rFonts w:ascii="宋体" w:eastAsia="宋体" w:hAnsi="宋体" w:cs="Malgun Gothic Semilight" w:hint="eastAsia"/>
          <w:sz w:val="24"/>
          <w:szCs w:val="24"/>
        </w:rPr>
        <w:t>，</w:t>
      </w:r>
      <w:r>
        <w:rPr>
          <w:rFonts w:ascii="宋体" w:eastAsia="宋体" w:hAnsi="宋体" w:cs="微软雅黑" w:hint="eastAsia"/>
          <w:sz w:val="24"/>
          <w:szCs w:val="24"/>
        </w:rPr>
        <w:t>不得自行运用</w:t>
      </w:r>
      <w:r>
        <w:rPr>
          <w:rFonts w:ascii="宋体" w:eastAsia="宋体" w:hAnsi="宋体" w:cs="Malgun Gothic Semilight" w:hint="eastAsia"/>
          <w:sz w:val="24"/>
          <w:szCs w:val="24"/>
        </w:rPr>
        <w:t>、</w:t>
      </w:r>
      <w:r>
        <w:rPr>
          <w:rFonts w:ascii="宋体" w:eastAsia="宋体" w:hAnsi="宋体" w:cs="微软雅黑" w:hint="eastAsia"/>
          <w:sz w:val="24"/>
          <w:szCs w:val="24"/>
        </w:rPr>
        <w:t>处分</w:t>
      </w:r>
      <w:r>
        <w:rPr>
          <w:rFonts w:ascii="宋体" w:eastAsia="宋体" w:hAnsi="宋体" w:cs="Malgun Gothic Semilight" w:hint="eastAsia"/>
          <w:sz w:val="24"/>
          <w:szCs w:val="24"/>
        </w:rPr>
        <w:t>、</w:t>
      </w:r>
      <w:r>
        <w:rPr>
          <w:rFonts w:ascii="宋体" w:eastAsia="宋体" w:hAnsi="宋体" w:cs="微软雅黑" w:hint="eastAsia"/>
          <w:sz w:val="24"/>
          <w:szCs w:val="24"/>
        </w:rPr>
        <w:t>分配本基金的任何资产</w:t>
      </w:r>
      <w:r>
        <w:rPr>
          <w:rFonts w:ascii="宋体" w:eastAsia="宋体" w:hAnsi="宋体" w:cs="Malgun Gothic Semilight" w:hint="eastAsia"/>
          <w:sz w:val="24"/>
          <w:szCs w:val="24"/>
        </w:rPr>
        <w:t>（</w:t>
      </w:r>
      <w:r>
        <w:rPr>
          <w:rFonts w:ascii="宋体" w:eastAsia="宋体" w:hAnsi="宋体" w:cs="微软雅黑" w:hint="eastAsia"/>
          <w:sz w:val="24"/>
          <w:szCs w:val="24"/>
        </w:rPr>
        <w:t>不包含托管人开户银行或交易</w:t>
      </w:r>
      <w:r>
        <w:rPr>
          <w:rFonts w:ascii="宋体" w:eastAsia="宋体" w:hAnsi="宋体" w:cs="Times New Roman" w:hint="eastAsia"/>
          <w:sz w:val="24"/>
          <w:szCs w:val="24"/>
        </w:rPr>
        <w:t>/</w:t>
      </w:r>
      <w:r>
        <w:rPr>
          <w:rFonts w:ascii="宋体" w:eastAsia="宋体" w:hAnsi="宋体" w:cs="微软雅黑" w:hint="eastAsia"/>
          <w:sz w:val="24"/>
          <w:szCs w:val="24"/>
        </w:rPr>
        <w:t>登记结算机构扣</w:t>
      </w:r>
      <w:proofErr w:type="gramStart"/>
      <w:r>
        <w:rPr>
          <w:rFonts w:ascii="宋体" w:eastAsia="宋体" w:hAnsi="宋体" w:cs="微软雅黑" w:hint="eastAsia"/>
          <w:sz w:val="24"/>
          <w:szCs w:val="24"/>
        </w:rPr>
        <w:t>收交易</w:t>
      </w:r>
      <w:proofErr w:type="gramEnd"/>
      <w:r>
        <w:rPr>
          <w:rFonts w:ascii="宋体" w:eastAsia="宋体" w:hAnsi="宋体" w:cs="微软雅黑" w:hint="eastAsia"/>
          <w:sz w:val="24"/>
          <w:szCs w:val="24"/>
        </w:rPr>
        <w:t>费</w:t>
      </w:r>
      <w:r>
        <w:rPr>
          <w:rFonts w:ascii="宋体" w:eastAsia="宋体" w:hAnsi="宋体" w:cs="Malgun Gothic Semilight" w:hint="eastAsia"/>
          <w:sz w:val="24"/>
          <w:szCs w:val="24"/>
        </w:rPr>
        <w:t>、</w:t>
      </w:r>
      <w:r>
        <w:rPr>
          <w:rFonts w:ascii="宋体" w:eastAsia="宋体" w:hAnsi="宋体" w:cs="微软雅黑" w:hint="eastAsia"/>
          <w:sz w:val="24"/>
          <w:szCs w:val="24"/>
        </w:rPr>
        <w:t>结算费和账户维护费等费用</w:t>
      </w:r>
      <w:r>
        <w:rPr>
          <w:rFonts w:ascii="宋体" w:eastAsia="宋体" w:hAnsi="宋体" w:cs="Malgun Gothic Semilight" w:hint="eastAsia"/>
          <w:sz w:val="24"/>
          <w:szCs w:val="24"/>
        </w:rPr>
        <w:t>）。</w:t>
      </w:r>
    </w:p>
    <w:p w14:paraId="791297BC"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6.</w:t>
      </w:r>
      <w:r>
        <w:rPr>
          <w:rFonts w:ascii="宋体" w:eastAsia="宋体" w:hAnsi="宋体" w:cs="微软雅黑" w:hint="eastAsia"/>
          <w:sz w:val="24"/>
          <w:szCs w:val="24"/>
        </w:rPr>
        <w:t>对于因为基金投资产生的应收资产</w:t>
      </w:r>
      <w:r>
        <w:rPr>
          <w:rFonts w:ascii="宋体" w:eastAsia="宋体" w:hAnsi="宋体" w:cs="Malgun Gothic Semilight" w:hint="eastAsia"/>
          <w:sz w:val="24"/>
          <w:szCs w:val="24"/>
        </w:rPr>
        <w:t>，</w:t>
      </w:r>
      <w:r>
        <w:rPr>
          <w:rFonts w:ascii="宋体" w:eastAsia="宋体" w:hAnsi="宋体" w:cs="微软雅黑" w:hint="eastAsia"/>
          <w:sz w:val="24"/>
          <w:szCs w:val="24"/>
        </w:rPr>
        <w:t>应由基金管理人负责与有关当事人确定到账日期并通知基金托管人</w:t>
      </w:r>
      <w:r>
        <w:rPr>
          <w:rFonts w:ascii="宋体" w:eastAsia="宋体" w:hAnsi="宋体" w:cs="Malgun Gothic Semilight" w:hint="eastAsia"/>
          <w:sz w:val="24"/>
          <w:szCs w:val="24"/>
        </w:rPr>
        <w:t>，</w:t>
      </w:r>
      <w:r>
        <w:rPr>
          <w:rFonts w:ascii="宋体" w:eastAsia="宋体" w:hAnsi="宋体" w:cs="微软雅黑" w:hint="eastAsia"/>
          <w:sz w:val="24"/>
          <w:szCs w:val="24"/>
        </w:rPr>
        <w:t>到账日基金财产没有到达基金账户的</w:t>
      </w:r>
      <w:r>
        <w:rPr>
          <w:rFonts w:ascii="宋体" w:eastAsia="宋体" w:hAnsi="宋体" w:cs="Malgun Gothic Semilight" w:hint="eastAsia"/>
          <w:sz w:val="24"/>
          <w:szCs w:val="24"/>
        </w:rPr>
        <w:t>，</w:t>
      </w:r>
      <w:r>
        <w:rPr>
          <w:rFonts w:ascii="宋体" w:eastAsia="宋体" w:hAnsi="宋体" w:cs="微软雅黑" w:hint="eastAsia"/>
          <w:sz w:val="24"/>
          <w:szCs w:val="24"/>
        </w:rPr>
        <w:t>基金托管人应及时通知基金管理人采取措施进行催收</w:t>
      </w:r>
      <w:r>
        <w:rPr>
          <w:rFonts w:ascii="宋体" w:eastAsia="宋体" w:hAnsi="宋体" w:cs="Malgun Gothic Semilight" w:hint="eastAsia"/>
          <w:sz w:val="24"/>
          <w:szCs w:val="24"/>
        </w:rPr>
        <w:t>。</w:t>
      </w:r>
      <w:r>
        <w:rPr>
          <w:rFonts w:ascii="宋体" w:eastAsia="宋体" w:hAnsi="宋体" w:cs="微软雅黑" w:hint="eastAsia"/>
          <w:sz w:val="24"/>
          <w:szCs w:val="24"/>
        </w:rPr>
        <w:t>由此给基金财产造成损失的</w:t>
      </w:r>
      <w:r>
        <w:rPr>
          <w:rFonts w:ascii="宋体" w:eastAsia="宋体" w:hAnsi="宋体" w:cs="Malgun Gothic Semilight" w:hint="eastAsia"/>
          <w:sz w:val="24"/>
          <w:szCs w:val="24"/>
        </w:rPr>
        <w:t>，</w:t>
      </w:r>
      <w:r>
        <w:rPr>
          <w:rFonts w:ascii="宋体" w:eastAsia="宋体" w:hAnsi="宋体" w:cs="微软雅黑" w:hint="eastAsia"/>
          <w:sz w:val="24"/>
          <w:szCs w:val="24"/>
        </w:rPr>
        <w:t>基金管理人应负责向有关当事人追偿基金财产的损失</w:t>
      </w:r>
      <w:r>
        <w:rPr>
          <w:rFonts w:ascii="宋体" w:eastAsia="宋体" w:hAnsi="宋体" w:cs="Malgun Gothic Semilight" w:hint="eastAsia"/>
          <w:sz w:val="24"/>
          <w:szCs w:val="24"/>
        </w:rPr>
        <w:t>，</w:t>
      </w:r>
      <w:r>
        <w:rPr>
          <w:rFonts w:ascii="宋体" w:eastAsia="宋体" w:hAnsi="宋体" w:cs="微软雅黑" w:hint="eastAsia"/>
          <w:sz w:val="24"/>
          <w:szCs w:val="24"/>
        </w:rPr>
        <w:t>基金托管人对此不承担任何责任，但</w:t>
      </w:r>
      <w:proofErr w:type="gramStart"/>
      <w:r>
        <w:rPr>
          <w:rFonts w:ascii="宋体" w:eastAsia="宋体" w:hAnsi="宋体" w:cs="微软雅黑" w:hint="eastAsia"/>
          <w:sz w:val="24"/>
          <w:szCs w:val="24"/>
        </w:rPr>
        <w:t>因予以</w:t>
      </w:r>
      <w:proofErr w:type="gramEnd"/>
      <w:r>
        <w:rPr>
          <w:rFonts w:ascii="宋体" w:eastAsia="宋体" w:hAnsi="宋体" w:cs="微软雅黑" w:hint="eastAsia"/>
          <w:sz w:val="24"/>
          <w:szCs w:val="24"/>
        </w:rPr>
        <w:t>必要协助和配合</w:t>
      </w:r>
      <w:r>
        <w:rPr>
          <w:rFonts w:ascii="宋体" w:eastAsia="宋体" w:hAnsi="宋体" w:cs="Malgun Gothic Semilight" w:hint="eastAsia"/>
          <w:sz w:val="24"/>
          <w:szCs w:val="24"/>
        </w:rPr>
        <w:t>。</w:t>
      </w:r>
    </w:p>
    <w:p w14:paraId="5954010E"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7.</w:t>
      </w:r>
      <w:r>
        <w:rPr>
          <w:rFonts w:ascii="宋体" w:eastAsia="宋体" w:hAnsi="宋体" w:cs="微软雅黑" w:hint="eastAsia"/>
          <w:sz w:val="24"/>
          <w:szCs w:val="24"/>
        </w:rPr>
        <w:t>除依据法律法规和</w:t>
      </w:r>
      <w:r>
        <w:rPr>
          <w:rFonts w:ascii="宋体" w:eastAsia="宋体" w:hAnsi="宋体" w:cs="Malgun Gothic Semilight"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的规定外</w:t>
      </w:r>
      <w:r>
        <w:rPr>
          <w:rFonts w:ascii="宋体" w:eastAsia="宋体" w:hAnsi="宋体" w:cs="Malgun Gothic Semilight" w:hint="eastAsia"/>
          <w:sz w:val="24"/>
          <w:szCs w:val="24"/>
        </w:rPr>
        <w:t>，</w:t>
      </w:r>
      <w:r>
        <w:rPr>
          <w:rFonts w:ascii="宋体" w:eastAsia="宋体" w:hAnsi="宋体" w:cs="微软雅黑" w:hint="eastAsia"/>
          <w:sz w:val="24"/>
          <w:szCs w:val="24"/>
        </w:rPr>
        <w:t>基金托管人不得委托第三人托管基金财产</w:t>
      </w:r>
      <w:r>
        <w:rPr>
          <w:rFonts w:ascii="宋体" w:eastAsia="宋体" w:hAnsi="宋体" w:cs="Malgun Gothic Semilight" w:hint="eastAsia"/>
          <w:sz w:val="24"/>
          <w:szCs w:val="24"/>
        </w:rPr>
        <w:t>。</w:t>
      </w:r>
    </w:p>
    <w:p w14:paraId="06B9565F"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二</w:t>
      </w:r>
      <w:r>
        <w:rPr>
          <w:rFonts w:ascii="宋体" w:eastAsia="宋体" w:hAnsi="宋体" w:cs="Malgun Gothic Semilight" w:hint="eastAsia"/>
          <w:sz w:val="24"/>
          <w:szCs w:val="24"/>
        </w:rPr>
        <w:t>）</w:t>
      </w:r>
      <w:r>
        <w:rPr>
          <w:rFonts w:ascii="宋体" w:eastAsia="宋体" w:hAnsi="宋体" w:cs="微软雅黑" w:hint="eastAsia"/>
          <w:sz w:val="24"/>
          <w:szCs w:val="24"/>
        </w:rPr>
        <w:t>基金募集期间及募集资金及股票的验资</w:t>
      </w:r>
    </w:p>
    <w:p w14:paraId="0F333DA7"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1.</w:t>
      </w:r>
      <w:r>
        <w:rPr>
          <w:rFonts w:ascii="宋体" w:eastAsia="宋体" w:hAnsi="宋体" w:cs="微软雅黑" w:hint="eastAsia"/>
          <w:sz w:val="24"/>
          <w:szCs w:val="24"/>
        </w:rPr>
        <w:t>基金募集期间募集的资金应存于基金管理人在基金托管人的营业机构开立的</w:t>
      </w:r>
      <w:r>
        <w:rPr>
          <w:rFonts w:ascii="宋体" w:eastAsia="宋体" w:hAnsi="宋体" w:cs="Malgun Gothic Semilight" w:hint="eastAsia"/>
          <w:sz w:val="24"/>
          <w:szCs w:val="24"/>
        </w:rPr>
        <w:t>“</w:t>
      </w:r>
      <w:r>
        <w:rPr>
          <w:rFonts w:ascii="宋体" w:eastAsia="宋体" w:hAnsi="宋体" w:cs="微软雅黑" w:hint="eastAsia"/>
          <w:sz w:val="24"/>
          <w:szCs w:val="24"/>
        </w:rPr>
        <w:t>基金募集专户</w:t>
      </w:r>
      <w:r>
        <w:rPr>
          <w:rFonts w:ascii="宋体" w:eastAsia="宋体" w:hAnsi="宋体" w:cs="Malgun Gothic Semilight" w:hint="eastAsia"/>
          <w:sz w:val="24"/>
          <w:szCs w:val="24"/>
        </w:rPr>
        <w:t>”。</w:t>
      </w:r>
      <w:r>
        <w:rPr>
          <w:rFonts w:ascii="宋体" w:eastAsia="宋体" w:hAnsi="宋体" w:cs="微软雅黑" w:hint="eastAsia"/>
          <w:sz w:val="24"/>
          <w:szCs w:val="24"/>
        </w:rPr>
        <w:t>该账户由基金管理人开立并管理</w:t>
      </w:r>
      <w:r>
        <w:rPr>
          <w:rFonts w:ascii="宋体" w:eastAsia="宋体" w:hAnsi="宋体" w:cs="Malgun Gothic Semilight" w:hint="eastAsia"/>
          <w:sz w:val="24"/>
          <w:szCs w:val="24"/>
        </w:rPr>
        <w:t>。</w:t>
      </w:r>
    </w:p>
    <w:p w14:paraId="3BD0D98E"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微软雅黑" w:hint="eastAsia"/>
          <w:sz w:val="24"/>
          <w:szCs w:val="24"/>
        </w:rPr>
        <w:t>基金募集期满或基金停止募集时</w:t>
      </w:r>
      <w:r>
        <w:rPr>
          <w:rFonts w:ascii="宋体" w:eastAsia="宋体" w:hAnsi="宋体" w:cs="Malgun Gothic Semilight" w:hint="eastAsia"/>
          <w:sz w:val="24"/>
          <w:szCs w:val="24"/>
        </w:rPr>
        <w:t>，</w:t>
      </w:r>
      <w:r>
        <w:rPr>
          <w:rFonts w:ascii="宋体" w:eastAsia="宋体" w:hAnsi="宋体" w:cs="微软雅黑" w:hint="eastAsia"/>
          <w:sz w:val="24"/>
          <w:szCs w:val="24"/>
        </w:rPr>
        <w:t>募集的基金份额总额</w:t>
      </w:r>
      <w:r>
        <w:rPr>
          <w:rFonts w:ascii="宋体" w:eastAsia="宋体" w:hAnsi="宋体" w:cs="Malgun Gothic Semilight" w:hint="eastAsia"/>
          <w:sz w:val="24"/>
          <w:szCs w:val="24"/>
        </w:rPr>
        <w:t>、</w:t>
      </w:r>
      <w:r>
        <w:rPr>
          <w:rFonts w:ascii="宋体" w:eastAsia="宋体" w:hAnsi="宋体" w:cs="微软雅黑" w:hint="eastAsia"/>
          <w:sz w:val="24"/>
          <w:szCs w:val="24"/>
        </w:rPr>
        <w:t>基金募集金额（含网下股票认购所募集的股票市值）</w:t>
      </w:r>
      <w:r>
        <w:rPr>
          <w:rFonts w:ascii="宋体" w:eastAsia="宋体" w:hAnsi="宋体" w:cs="Malgun Gothic Semilight" w:hint="eastAsia"/>
          <w:sz w:val="24"/>
          <w:szCs w:val="24"/>
        </w:rPr>
        <w:t>、</w:t>
      </w:r>
      <w:r>
        <w:rPr>
          <w:rFonts w:ascii="宋体" w:eastAsia="宋体" w:hAnsi="宋体" w:cs="微软雅黑" w:hint="eastAsia"/>
          <w:sz w:val="24"/>
          <w:szCs w:val="24"/>
        </w:rPr>
        <w:t>基金份额持有人人数符合</w:t>
      </w:r>
      <w:r>
        <w:rPr>
          <w:rFonts w:ascii="宋体" w:eastAsia="宋体" w:hAnsi="宋体" w:cs="Malgun Gothic Semilight" w:hint="eastAsia"/>
          <w:sz w:val="24"/>
          <w:szCs w:val="24"/>
        </w:rPr>
        <w:t>《</w:t>
      </w:r>
      <w:r>
        <w:rPr>
          <w:rFonts w:ascii="宋体" w:eastAsia="宋体" w:hAnsi="宋体" w:cs="微软雅黑" w:hint="eastAsia"/>
          <w:sz w:val="24"/>
          <w:szCs w:val="24"/>
        </w:rPr>
        <w:t>基金法</w:t>
      </w:r>
      <w:r>
        <w:rPr>
          <w:rFonts w:ascii="宋体" w:eastAsia="宋体" w:hAnsi="宋体" w:cs="Malgun Gothic Semilight" w:hint="eastAsia"/>
          <w:sz w:val="24"/>
          <w:szCs w:val="24"/>
        </w:rPr>
        <w:t>》、《</w:t>
      </w:r>
      <w:r>
        <w:rPr>
          <w:rFonts w:ascii="宋体" w:eastAsia="宋体" w:hAnsi="宋体" w:cs="微软雅黑" w:hint="eastAsia"/>
          <w:sz w:val="24"/>
          <w:szCs w:val="24"/>
        </w:rPr>
        <w:t>运作办法</w:t>
      </w:r>
      <w:r>
        <w:rPr>
          <w:rFonts w:ascii="宋体" w:eastAsia="宋体" w:hAnsi="宋体" w:cs="Malgun Gothic Semilight" w:hint="eastAsia"/>
          <w:sz w:val="24"/>
          <w:szCs w:val="24"/>
        </w:rPr>
        <w:t>》</w:t>
      </w:r>
      <w:r>
        <w:rPr>
          <w:rFonts w:ascii="宋体" w:eastAsia="宋体" w:hAnsi="宋体" w:cs="微软雅黑" w:hint="eastAsia"/>
          <w:sz w:val="24"/>
          <w:szCs w:val="24"/>
        </w:rPr>
        <w:t>等有关规定后</w:t>
      </w:r>
      <w:r>
        <w:rPr>
          <w:rFonts w:ascii="宋体" w:eastAsia="宋体" w:hAnsi="宋体" w:cs="Malgun Gothic Semilight" w:hint="eastAsia"/>
          <w:sz w:val="24"/>
          <w:szCs w:val="24"/>
        </w:rPr>
        <w:t>，</w:t>
      </w:r>
      <w:r>
        <w:rPr>
          <w:rFonts w:ascii="宋体" w:eastAsia="宋体" w:hAnsi="宋体" w:cs="微软雅黑" w:hint="eastAsia"/>
          <w:sz w:val="24"/>
          <w:szCs w:val="24"/>
        </w:rPr>
        <w:t>基金管理人应将属于基金财产的全部资金划入基金托管人开立的基金托管资金账户</w:t>
      </w:r>
      <w:r>
        <w:rPr>
          <w:rFonts w:ascii="宋体" w:eastAsia="宋体" w:hAnsi="宋体" w:cs="Malgun Gothic Semilight" w:hint="eastAsia"/>
          <w:sz w:val="24"/>
          <w:szCs w:val="24"/>
        </w:rPr>
        <w:t>；</w:t>
      </w:r>
      <w:r>
        <w:rPr>
          <w:rFonts w:ascii="宋体" w:eastAsia="宋体" w:hAnsi="宋体" w:cs="微软雅黑"/>
          <w:sz w:val="24"/>
          <w:szCs w:val="24"/>
        </w:rPr>
        <w:t>募集的股票将按照相关业务</w:t>
      </w:r>
      <w:r>
        <w:rPr>
          <w:rFonts w:ascii="宋体" w:eastAsia="宋体" w:hAnsi="宋体" w:cs="微软雅黑" w:hint="eastAsia"/>
          <w:sz w:val="24"/>
          <w:szCs w:val="24"/>
        </w:rPr>
        <w:t>规则予以冻结。同时由基金管理人在规定时间内聘请符合《中华人民共和国证券法》（以下简称“</w:t>
      </w:r>
      <w:r>
        <w:rPr>
          <w:rFonts w:ascii="宋体" w:eastAsia="宋体" w:hAnsi="宋体" w:cs="Malgun Gothic Semilight" w:hint="eastAsia"/>
          <w:sz w:val="24"/>
          <w:szCs w:val="24"/>
        </w:rPr>
        <w:t>《</w:t>
      </w:r>
      <w:r>
        <w:rPr>
          <w:rFonts w:ascii="宋体" w:eastAsia="宋体" w:hAnsi="宋体" w:cs="微软雅黑" w:hint="eastAsia"/>
          <w:sz w:val="24"/>
          <w:szCs w:val="24"/>
        </w:rPr>
        <w:t>证券法</w:t>
      </w:r>
      <w:r>
        <w:rPr>
          <w:rFonts w:ascii="宋体" w:eastAsia="宋体" w:hAnsi="宋体" w:cs="Malgun Gothic Semilight" w:hint="eastAsia"/>
          <w:sz w:val="24"/>
          <w:szCs w:val="24"/>
        </w:rPr>
        <w:t>》</w:t>
      </w:r>
      <w:r>
        <w:rPr>
          <w:rFonts w:ascii="宋体" w:eastAsia="宋体" w:hAnsi="宋体" w:cs="微软雅黑" w:hint="eastAsia"/>
          <w:sz w:val="24"/>
          <w:szCs w:val="24"/>
        </w:rPr>
        <w:t>”）</w:t>
      </w:r>
      <w:r>
        <w:rPr>
          <w:rFonts w:ascii="宋体" w:eastAsia="宋体" w:hAnsi="宋体" w:cs="微软雅黑" w:hint="eastAsia"/>
          <w:sz w:val="24"/>
          <w:szCs w:val="24"/>
        </w:rPr>
        <w:lastRenderedPageBreak/>
        <w:t>规定的会计师事务所进行验资</w:t>
      </w:r>
      <w:r>
        <w:rPr>
          <w:rFonts w:ascii="宋体" w:eastAsia="宋体" w:hAnsi="宋体" w:cs="Malgun Gothic Semilight" w:hint="eastAsia"/>
          <w:sz w:val="24"/>
          <w:szCs w:val="24"/>
        </w:rPr>
        <w:t>，</w:t>
      </w:r>
      <w:r>
        <w:rPr>
          <w:rFonts w:ascii="宋体" w:eastAsia="宋体" w:hAnsi="宋体" w:cs="微软雅黑" w:hint="eastAsia"/>
          <w:sz w:val="24"/>
          <w:szCs w:val="24"/>
        </w:rPr>
        <w:t>出具验资报告</w:t>
      </w:r>
      <w:r>
        <w:rPr>
          <w:rFonts w:ascii="宋体" w:eastAsia="宋体" w:hAnsi="宋体" w:cs="Malgun Gothic Semilight" w:hint="eastAsia"/>
          <w:sz w:val="24"/>
          <w:szCs w:val="24"/>
        </w:rPr>
        <w:t>。</w:t>
      </w:r>
      <w:r>
        <w:rPr>
          <w:rFonts w:ascii="宋体" w:eastAsia="宋体" w:hAnsi="宋体" w:cs="微软雅黑" w:hint="eastAsia"/>
          <w:sz w:val="24"/>
          <w:szCs w:val="24"/>
        </w:rPr>
        <w:t>出具的验资报告由参加验资的</w:t>
      </w:r>
      <w:r>
        <w:rPr>
          <w:rFonts w:ascii="宋体" w:eastAsia="宋体" w:hAnsi="宋体" w:cs="Arial" w:hint="eastAsia"/>
          <w:sz w:val="24"/>
          <w:szCs w:val="24"/>
        </w:rPr>
        <w:t>2</w:t>
      </w:r>
      <w:r>
        <w:rPr>
          <w:rFonts w:ascii="宋体" w:eastAsia="宋体" w:hAnsi="宋体" w:cs="微软雅黑" w:hint="eastAsia"/>
          <w:sz w:val="24"/>
          <w:szCs w:val="24"/>
        </w:rPr>
        <w:t>名或</w:t>
      </w:r>
      <w:r>
        <w:rPr>
          <w:rFonts w:ascii="宋体" w:eastAsia="宋体" w:hAnsi="宋体" w:cs="Arial" w:hint="eastAsia"/>
          <w:sz w:val="24"/>
          <w:szCs w:val="24"/>
        </w:rPr>
        <w:t>2</w:t>
      </w:r>
      <w:r>
        <w:rPr>
          <w:rFonts w:ascii="宋体" w:eastAsia="宋体" w:hAnsi="宋体" w:cs="微软雅黑" w:hint="eastAsia"/>
          <w:sz w:val="24"/>
          <w:szCs w:val="24"/>
        </w:rPr>
        <w:t>名以上中国注册会计师签字方为有效</w:t>
      </w:r>
      <w:r>
        <w:rPr>
          <w:rFonts w:ascii="宋体" w:eastAsia="宋体" w:hAnsi="宋体" w:cs="Malgun Gothic Semilight" w:hint="eastAsia"/>
          <w:sz w:val="24"/>
          <w:szCs w:val="24"/>
        </w:rPr>
        <w:t>。</w:t>
      </w:r>
    </w:p>
    <w:p w14:paraId="5636E4AA"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3.</w:t>
      </w:r>
      <w:proofErr w:type="gramStart"/>
      <w:r>
        <w:rPr>
          <w:rFonts w:ascii="宋体" w:eastAsia="宋体" w:hAnsi="宋体" w:cs="微软雅黑" w:hint="eastAsia"/>
          <w:sz w:val="24"/>
          <w:szCs w:val="24"/>
        </w:rPr>
        <w:t>若基金</w:t>
      </w:r>
      <w:proofErr w:type="gramEnd"/>
      <w:r>
        <w:rPr>
          <w:rFonts w:ascii="宋体" w:eastAsia="宋体" w:hAnsi="宋体" w:cs="微软雅黑" w:hint="eastAsia"/>
          <w:sz w:val="24"/>
          <w:szCs w:val="24"/>
        </w:rPr>
        <w:t>募集期限届满</w:t>
      </w:r>
      <w:r>
        <w:rPr>
          <w:rFonts w:ascii="宋体" w:eastAsia="宋体" w:hAnsi="宋体" w:cs="Malgun Gothic Semilight" w:hint="eastAsia"/>
          <w:sz w:val="24"/>
          <w:szCs w:val="24"/>
        </w:rPr>
        <w:t>，</w:t>
      </w:r>
      <w:r>
        <w:rPr>
          <w:rFonts w:ascii="宋体" w:eastAsia="宋体" w:hAnsi="宋体" w:cs="微软雅黑" w:hint="eastAsia"/>
          <w:sz w:val="24"/>
          <w:szCs w:val="24"/>
        </w:rPr>
        <w:t>未能达到</w:t>
      </w:r>
      <w:r>
        <w:rPr>
          <w:rFonts w:ascii="宋体" w:eastAsia="宋体" w:hAnsi="宋体" w:cs="Malgun Gothic Semilight"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生效的条件</w:t>
      </w:r>
      <w:r>
        <w:rPr>
          <w:rFonts w:ascii="宋体" w:eastAsia="宋体" w:hAnsi="宋体" w:cs="Malgun Gothic Semilight" w:hint="eastAsia"/>
          <w:sz w:val="24"/>
          <w:szCs w:val="24"/>
        </w:rPr>
        <w:t>，</w:t>
      </w:r>
      <w:r>
        <w:rPr>
          <w:rFonts w:ascii="宋体" w:eastAsia="宋体" w:hAnsi="宋体" w:cs="微软雅黑" w:hint="eastAsia"/>
          <w:sz w:val="24"/>
          <w:szCs w:val="24"/>
        </w:rPr>
        <w:t>由基金管理人按规定办理退款、股票解冻及返还等事宜，基金托管人提供必要的协助</w:t>
      </w:r>
      <w:r>
        <w:rPr>
          <w:rFonts w:ascii="宋体" w:eastAsia="宋体" w:hAnsi="宋体" w:cs="Malgun Gothic Semilight" w:hint="eastAsia"/>
          <w:sz w:val="24"/>
          <w:szCs w:val="24"/>
        </w:rPr>
        <w:t>。</w:t>
      </w:r>
    </w:p>
    <w:p w14:paraId="12EF43EC"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三</w:t>
      </w:r>
      <w:r>
        <w:rPr>
          <w:rFonts w:ascii="宋体" w:eastAsia="宋体" w:hAnsi="宋体" w:cs="Malgun Gothic Semilight" w:hint="eastAsia"/>
          <w:sz w:val="24"/>
          <w:szCs w:val="24"/>
        </w:rPr>
        <w:t>）</w:t>
      </w:r>
      <w:r>
        <w:rPr>
          <w:rFonts w:ascii="宋体" w:eastAsia="宋体" w:hAnsi="宋体" w:cs="微软雅黑" w:hint="eastAsia"/>
          <w:sz w:val="24"/>
          <w:szCs w:val="24"/>
        </w:rPr>
        <w:t>基金托管资金账户的开立和管理</w:t>
      </w:r>
    </w:p>
    <w:p w14:paraId="000D795F"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1.</w:t>
      </w:r>
      <w:r>
        <w:rPr>
          <w:rFonts w:ascii="宋体" w:eastAsia="宋体" w:hAnsi="宋体" w:cs="微软雅黑" w:hint="eastAsia"/>
          <w:sz w:val="24"/>
          <w:szCs w:val="24"/>
        </w:rPr>
        <w:t>基金托管人可以基金的名义在其营业机构开立基金的托管资金账户</w:t>
      </w:r>
      <w:r>
        <w:rPr>
          <w:rFonts w:ascii="宋体" w:eastAsia="宋体" w:hAnsi="宋体" w:cs="Malgun Gothic Semilight" w:hint="eastAsia"/>
          <w:sz w:val="24"/>
          <w:szCs w:val="24"/>
        </w:rPr>
        <w:t>，</w:t>
      </w:r>
      <w:r>
        <w:rPr>
          <w:rFonts w:ascii="宋体" w:eastAsia="宋体" w:hAnsi="宋体" w:cs="微软雅黑" w:hint="eastAsia"/>
          <w:sz w:val="24"/>
          <w:szCs w:val="24"/>
        </w:rPr>
        <w:t>并根据基金管理人合法合</w:t>
      </w:r>
      <w:proofErr w:type="gramStart"/>
      <w:r>
        <w:rPr>
          <w:rFonts w:ascii="宋体" w:eastAsia="宋体" w:hAnsi="宋体" w:cs="微软雅黑" w:hint="eastAsia"/>
          <w:sz w:val="24"/>
          <w:szCs w:val="24"/>
        </w:rPr>
        <w:t>规</w:t>
      </w:r>
      <w:proofErr w:type="gramEnd"/>
      <w:r>
        <w:rPr>
          <w:rFonts w:ascii="宋体" w:eastAsia="宋体" w:hAnsi="宋体" w:cs="微软雅黑" w:hint="eastAsia"/>
          <w:sz w:val="24"/>
          <w:szCs w:val="24"/>
        </w:rPr>
        <w:t>的指令办理资金收付</w:t>
      </w:r>
      <w:r>
        <w:rPr>
          <w:rFonts w:ascii="宋体" w:eastAsia="宋体" w:hAnsi="宋体" w:cs="Malgun Gothic Semilight" w:hint="eastAsia"/>
          <w:sz w:val="24"/>
          <w:szCs w:val="24"/>
        </w:rPr>
        <w:t>。户名原则上应当包含开户主体和产品名称字样。如法律法规或监管部门另有规定的，从其规定。</w:t>
      </w:r>
      <w:r>
        <w:rPr>
          <w:rFonts w:ascii="宋体" w:eastAsia="宋体" w:hAnsi="宋体" w:cs="微软雅黑" w:hint="eastAsia"/>
          <w:sz w:val="24"/>
          <w:szCs w:val="24"/>
        </w:rPr>
        <w:t>本基金的银行预留印鉴由基金托管人保管和使用</w:t>
      </w:r>
      <w:r>
        <w:rPr>
          <w:rFonts w:ascii="宋体" w:eastAsia="宋体" w:hAnsi="宋体" w:cs="Malgun Gothic Semilight" w:hint="eastAsia"/>
          <w:sz w:val="24"/>
          <w:szCs w:val="24"/>
        </w:rPr>
        <w:t>。</w:t>
      </w:r>
    </w:p>
    <w:p w14:paraId="3991F63C"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微软雅黑" w:hint="eastAsia"/>
          <w:sz w:val="24"/>
          <w:szCs w:val="24"/>
        </w:rPr>
        <w:t>基金托管资金账户的开立和使用</w:t>
      </w:r>
      <w:r>
        <w:rPr>
          <w:rFonts w:ascii="宋体" w:eastAsia="宋体" w:hAnsi="宋体" w:cs="Malgun Gothic Semilight" w:hint="eastAsia"/>
          <w:sz w:val="24"/>
          <w:szCs w:val="24"/>
        </w:rPr>
        <w:t>，</w:t>
      </w:r>
      <w:r>
        <w:rPr>
          <w:rFonts w:ascii="宋体" w:eastAsia="宋体" w:hAnsi="宋体" w:cs="微软雅黑" w:hint="eastAsia"/>
          <w:sz w:val="24"/>
          <w:szCs w:val="24"/>
        </w:rPr>
        <w:t>限于满足开展本基金业务的需要</w:t>
      </w:r>
      <w:r>
        <w:rPr>
          <w:rFonts w:ascii="宋体" w:eastAsia="宋体" w:hAnsi="宋体" w:cs="Malgun Gothic Semilight" w:hint="eastAsia"/>
          <w:sz w:val="24"/>
          <w:szCs w:val="24"/>
        </w:rPr>
        <w:t>。</w:t>
      </w:r>
      <w:r>
        <w:rPr>
          <w:rFonts w:ascii="宋体" w:eastAsia="宋体" w:hAnsi="宋体" w:cs="微软雅黑" w:hint="eastAsia"/>
          <w:sz w:val="24"/>
          <w:szCs w:val="24"/>
        </w:rPr>
        <w:t>基金托管人和基金管理人不得假借本基金的名义开立任何其他银行账户</w:t>
      </w:r>
      <w:r>
        <w:rPr>
          <w:rFonts w:ascii="宋体" w:eastAsia="宋体" w:hAnsi="宋体" w:cs="Malgun Gothic Semilight" w:hint="eastAsia"/>
          <w:sz w:val="24"/>
          <w:szCs w:val="24"/>
        </w:rPr>
        <w:t>；</w:t>
      </w:r>
      <w:r>
        <w:rPr>
          <w:rFonts w:ascii="宋体" w:eastAsia="宋体" w:hAnsi="宋体" w:cs="微软雅黑" w:hint="eastAsia"/>
          <w:sz w:val="24"/>
          <w:szCs w:val="24"/>
        </w:rPr>
        <w:t>亦不得使用基金的任何账户进行本基金业务以外的活动</w:t>
      </w:r>
      <w:r>
        <w:rPr>
          <w:rFonts w:ascii="宋体" w:eastAsia="宋体" w:hAnsi="宋体" w:cs="Malgun Gothic Semilight" w:hint="eastAsia"/>
          <w:sz w:val="24"/>
          <w:szCs w:val="24"/>
        </w:rPr>
        <w:t>。</w:t>
      </w:r>
    </w:p>
    <w:p w14:paraId="2FA040BA"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3.</w:t>
      </w:r>
      <w:r>
        <w:rPr>
          <w:rFonts w:ascii="宋体" w:eastAsia="宋体" w:hAnsi="宋体" w:cs="微软雅黑" w:hint="eastAsia"/>
          <w:sz w:val="24"/>
          <w:szCs w:val="24"/>
        </w:rPr>
        <w:t>基金托管资金账户的开立和管理应符合银行业监督管理机构的有关规定</w:t>
      </w:r>
      <w:r>
        <w:rPr>
          <w:rFonts w:ascii="宋体" w:eastAsia="宋体" w:hAnsi="宋体" w:cs="Malgun Gothic Semilight" w:hint="eastAsia"/>
          <w:sz w:val="24"/>
          <w:szCs w:val="24"/>
        </w:rPr>
        <w:t>。</w:t>
      </w:r>
    </w:p>
    <w:p w14:paraId="31DFECBF" w14:textId="77777777" w:rsidR="00F012EE" w:rsidRDefault="00477FBC">
      <w:pPr>
        <w:adjustRightInd w:val="0"/>
        <w:snapToGrid w:val="0"/>
        <w:spacing w:line="360" w:lineRule="auto"/>
        <w:ind w:firstLine="480"/>
        <w:rPr>
          <w:rFonts w:ascii="宋体" w:eastAsia="宋体" w:hAnsi="宋体" w:cs="微软雅黑"/>
          <w:sz w:val="24"/>
          <w:szCs w:val="24"/>
        </w:rPr>
      </w:pPr>
      <w:r>
        <w:rPr>
          <w:rFonts w:ascii="宋体" w:eastAsia="宋体" w:hAnsi="宋体" w:cs="Arial" w:hint="eastAsia"/>
          <w:sz w:val="24"/>
          <w:szCs w:val="24"/>
        </w:rPr>
        <w:t>4.</w:t>
      </w:r>
      <w:r>
        <w:rPr>
          <w:rFonts w:ascii="宋体" w:eastAsia="宋体" w:hAnsi="宋体" w:cs="微软雅黑" w:hint="eastAsia"/>
          <w:sz w:val="24"/>
          <w:szCs w:val="24"/>
        </w:rPr>
        <w:t>在符合法律法规规定的条件下</w:t>
      </w:r>
      <w:r>
        <w:rPr>
          <w:rFonts w:ascii="宋体" w:eastAsia="宋体" w:hAnsi="宋体" w:cs="Malgun Gothic Semilight" w:hint="eastAsia"/>
          <w:sz w:val="24"/>
          <w:szCs w:val="24"/>
        </w:rPr>
        <w:t>，</w:t>
      </w:r>
      <w:r>
        <w:rPr>
          <w:rFonts w:ascii="宋体" w:eastAsia="宋体" w:hAnsi="宋体" w:cs="微软雅黑" w:hint="eastAsia"/>
          <w:sz w:val="24"/>
          <w:szCs w:val="24"/>
        </w:rPr>
        <w:t>基金托管人可以通过基金托管人专用账户办理基金资产的支付。</w:t>
      </w:r>
    </w:p>
    <w:p w14:paraId="768A38AB" w14:textId="77777777" w:rsidR="00F012EE" w:rsidRDefault="00477FBC">
      <w:pPr>
        <w:adjustRightInd w:val="0"/>
        <w:snapToGrid w:val="0"/>
        <w:spacing w:line="360" w:lineRule="auto"/>
        <w:ind w:firstLine="480"/>
        <w:rPr>
          <w:rFonts w:ascii="宋体" w:eastAsia="宋体" w:hAnsi="宋体" w:cs="微软雅黑"/>
          <w:sz w:val="24"/>
          <w:szCs w:val="24"/>
        </w:rPr>
      </w:pPr>
      <w:r>
        <w:rPr>
          <w:rFonts w:ascii="宋体" w:eastAsia="宋体" w:hAnsi="宋体" w:cs="Arial"/>
          <w:sz w:val="24"/>
          <w:szCs w:val="24"/>
        </w:rPr>
        <w:t>5</w:t>
      </w:r>
      <w:r>
        <w:rPr>
          <w:rFonts w:ascii="宋体" w:eastAsia="宋体" w:hAnsi="宋体" w:cs="Arial" w:hint="eastAsia"/>
          <w:sz w:val="24"/>
          <w:szCs w:val="24"/>
        </w:rPr>
        <w:t>.</w:t>
      </w:r>
      <w:r>
        <w:rPr>
          <w:rFonts w:ascii="宋体" w:eastAsia="宋体" w:hAnsi="宋体" w:cs="微软雅黑" w:hint="eastAsia"/>
          <w:sz w:val="24"/>
          <w:szCs w:val="24"/>
        </w:rPr>
        <w:t>基金管理人应于基金清算后及时完成收益兑付</w:t>
      </w:r>
      <w:r>
        <w:rPr>
          <w:rFonts w:ascii="宋体" w:eastAsia="宋体" w:hAnsi="宋体" w:cs="Malgun Gothic Semilight" w:hint="eastAsia"/>
          <w:sz w:val="24"/>
          <w:szCs w:val="24"/>
        </w:rPr>
        <w:t>、</w:t>
      </w:r>
      <w:r>
        <w:rPr>
          <w:rFonts w:ascii="宋体" w:eastAsia="宋体" w:hAnsi="宋体" w:cs="微软雅黑" w:hint="eastAsia"/>
          <w:sz w:val="24"/>
          <w:szCs w:val="24"/>
        </w:rPr>
        <w:t>费用结清及其他应收应付款项资金划转，在确保后续不再发生款项进出后的10个工作日内向托管人发出销户申请。</w:t>
      </w:r>
    </w:p>
    <w:p w14:paraId="2FACFDCB"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四</w:t>
      </w:r>
      <w:r>
        <w:rPr>
          <w:rFonts w:ascii="宋体" w:eastAsia="宋体" w:hAnsi="宋体" w:cs="Malgun Gothic Semilight" w:hint="eastAsia"/>
          <w:sz w:val="24"/>
          <w:szCs w:val="24"/>
        </w:rPr>
        <w:t>）</w:t>
      </w:r>
      <w:r>
        <w:rPr>
          <w:rFonts w:ascii="宋体" w:eastAsia="宋体" w:hAnsi="宋体" w:cs="微软雅黑" w:hint="eastAsia"/>
          <w:sz w:val="24"/>
          <w:szCs w:val="24"/>
        </w:rPr>
        <w:t>基金证券账户和证券资金账户的开立和管理</w:t>
      </w:r>
    </w:p>
    <w:p w14:paraId="1A913063"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w:t>
      </w:r>
      <w:r>
        <w:rPr>
          <w:rFonts w:ascii="宋体" w:eastAsia="宋体" w:hAnsi="宋体" w:cs="微软雅黑" w:hint="eastAsia"/>
          <w:sz w:val="24"/>
          <w:szCs w:val="24"/>
        </w:rPr>
        <w:t>基金托管人在中国证券登记结算有限责任公司为基金开立基金托管人与基金联名的证券账户</w:t>
      </w:r>
      <w:r>
        <w:rPr>
          <w:rFonts w:ascii="宋体" w:eastAsia="宋体" w:hAnsi="宋体" w:cs="Malgun Gothic Semilight" w:hint="eastAsia"/>
          <w:sz w:val="24"/>
          <w:szCs w:val="24"/>
        </w:rPr>
        <w:t>。</w:t>
      </w:r>
    </w:p>
    <w:p w14:paraId="4EF9FF0F"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微软雅黑" w:hint="eastAsia"/>
          <w:sz w:val="24"/>
          <w:szCs w:val="24"/>
        </w:rPr>
        <w:t>基金证券账户的开立和使用</w:t>
      </w:r>
      <w:r>
        <w:rPr>
          <w:rFonts w:ascii="宋体" w:eastAsia="宋体" w:hAnsi="宋体" w:cs="Malgun Gothic Semilight" w:hint="eastAsia"/>
          <w:sz w:val="24"/>
          <w:szCs w:val="24"/>
        </w:rPr>
        <w:t>，</w:t>
      </w:r>
      <w:r>
        <w:rPr>
          <w:rFonts w:ascii="宋体" w:eastAsia="宋体" w:hAnsi="宋体" w:cs="微软雅黑" w:hint="eastAsia"/>
          <w:sz w:val="24"/>
          <w:szCs w:val="24"/>
        </w:rPr>
        <w:t>仅限于满足开展本基金业务的需要</w:t>
      </w:r>
      <w:r>
        <w:rPr>
          <w:rFonts w:ascii="宋体" w:eastAsia="宋体" w:hAnsi="宋体" w:cs="Malgun Gothic Semilight" w:hint="eastAsia"/>
          <w:sz w:val="24"/>
          <w:szCs w:val="24"/>
        </w:rPr>
        <w:t>。</w:t>
      </w:r>
      <w:r>
        <w:rPr>
          <w:rFonts w:ascii="宋体" w:eastAsia="宋体" w:hAnsi="宋体" w:cs="微软雅黑" w:hint="eastAsia"/>
          <w:sz w:val="24"/>
          <w:szCs w:val="24"/>
        </w:rPr>
        <w:t>基金托管人和基金管理人不得出借或未经对方同意擅自转让基金的任何证券账户</w:t>
      </w:r>
      <w:r>
        <w:rPr>
          <w:rFonts w:ascii="宋体" w:eastAsia="宋体" w:hAnsi="宋体" w:cs="Malgun Gothic Semilight" w:hint="eastAsia"/>
          <w:sz w:val="24"/>
          <w:szCs w:val="24"/>
        </w:rPr>
        <w:t>，</w:t>
      </w:r>
      <w:r>
        <w:rPr>
          <w:rFonts w:ascii="宋体" w:eastAsia="宋体" w:hAnsi="宋体" w:cs="微软雅黑" w:hint="eastAsia"/>
          <w:sz w:val="24"/>
          <w:szCs w:val="24"/>
        </w:rPr>
        <w:t>亦不得使用基金的任何账户进行本基金业务以外的活动</w:t>
      </w:r>
      <w:r>
        <w:rPr>
          <w:rFonts w:ascii="宋体" w:eastAsia="宋体" w:hAnsi="宋体" w:cs="Malgun Gothic Semilight" w:hint="eastAsia"/>
          <w:sz w:val="24"/>
          <w:szCs w:val="24"/>
        </w:rPr>
        <w:t>。</w:t>
      </w:r>
    </w:p>
    <w:p w14:paraId="67BACC05"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3.</w:t>
      </w:r>
      <w:r>
        <w:rPr>
          <w:rFonts w:ascii="宋体" w:eastAsia="宋体" w:hAnsi="宋体" w:cs="微软雅黑" w:hint="eastAsia"/>
          <w:sz w:val="24"/>
          <w:szCs w:val="24"/>
        </w:rPr>
        <w:t>基金证券账户的开立和证券账户卡的保管由基金托管人负责</w:t>
      </w:r>
      <w:r>
        <w:rPr>
          <w:rFonts w:ascii="宋体" w:eastAsia="宋体" w:hAnsi="宋体" w:cs="Malgun Gothic Semilight" w:hint="eastAsia"/>
          <w:sz w:val="24"/>
          <w:szCs w:val="24"/>
        </w:rPr>
        <w:t>，</w:t>
      </w:r>
      <w:r>
        <w:rPr>
          <w:rFonts w:ascii="宋体" w:eastAsia="宋体" w:hAnsi="宋体" w:cs="微软雅黑" w:hint="eastAsia"/>
          <w:sz w:val="24"/>
          <w:szCs w:val="24"/>
        </w:rPr>
        <w:t>账户资产的管理和运用由基金管理人负责</w:t>
      </w:r>
      <w:r>
        <w:rPr>
          <w:rFonts w:ascii="宋体" w:eastAsia="宋体" w:hAnsi="宋体" w:cs="Malgun Gothic Semilight" w:hint="eastAsia"/>
          <w:sz w:val="24"/>
          <w:szCs w:val="24"/>
        </w:rPr>
        <w:t>。</w:t>
      </w:r>
    </w:p>
    <w:p w14:paraId="0431D966"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证券账户开户费由基金管理人先行垫付</w:t>
      </w:r>
      <w:r>
        <w:rPr>
          <w:rFonts w:ascii="宋体" w:eastAsia="宋体" w:hAnsi="宋体" w:cs="Arial" w:hint="eastAsia"/>
          <w:sz w:val="24"/>
          <w:szCs w:val="24"/>
        </w:rPr>
        <w:t>，</w:t>
      </w:r>
      <w:r>
        <w:rPr>
          <w:rFonts w:ascii="宋体" w:eastAsia="宋体" w:hAnsi="宋体" w:cs="微软雅黑" w:hint="eastAsia"/>
          <w:sz w:val="24"/>
          <w:szCs w:val="24"/>
        </w:rPr>
        <w:t>待基金启始运营后</w:t>
      </w:r>
      <w:r>
        <w:rPr>
          <w:rFonts w:ascii="宋体" w:eastAsia="宋体" w:hAnsi="宋体" w:cs="Arial" w:hint="eastAsia"/>
          <w:sz w:val="24"/>
          <w:szCs w:val="24"/>
        </w:rPr>
        <w:t>，</w:t>
      </w:r>
      <w:r>
        <w:rPr>
          <w:rFonts w:ascii="宋体" w:eastAsia="宋体" w:hAnsi="宋体" w:cs="微软雅黑" w:hint="eastAsia"/>
          <w:sz w:val="24"/>
          <w:szCs w:val="24"/>
        </w:rPr>
        <w:t>基金管理人可向基金托管人发送划款指令</w:t>
      </w:r>
      <w:r>
        <w:rPr>
          <w:rFonts w:ascii="宋体" w:eastAsia="宋体" w:hAnsi="宋体" w:cs="Arial" w:hint="eastAsia"/>
          <w:sz w:val="24"/>
          <w:szCs w:val="24"/>
        </w:rPr>
        <w:t>，</w:t>
      </w:r>
      <w:r>
        <w:rPr>
          <w:rFonts w:ascii="宋体" w:eastAsia="宋体" w:hAnsi="宋体" w:cs="微软雅黑" w:hint="eastAsia"/>
          <w:sz w:val="24"/>
          <w:szCs w:val="24"/>
        </w:rPr>
        <w:t>将代垫开户费从本基金托管资金账户中扣还基金管理人</w:t>
      </w:r>
      <w:r>
        <w:rPr>
          <w:rFonts w:ascii="宋体" w:eastAsia="宋体" w:hAnsi="宋体" w:cs="Malgun Gothic Semilight" w:hint="eastAsia"/>
          <w:sz w:val="24"/>
          <w:szCs w:val="24"/>
        </w:rPr>
        <w:t>。</w:t>
      </w:r>
    </w:p>
    <w:p w14:paraId="076DE205"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4.</w:t>
      </w:r>
      <w:r>
        <w:rPr>
          <w:rFonts w:ascii="宋体" w:eastAsia="宋体" w:hAnsi="宋体" w:cs="微软雅黑" w:hint="eastAsia"/>
          <w:sz w:val="24"/>
          <w:szCs w:val="24"/>
        </w:rPr>
        <w:t>基金管理人为基金财产在证券经纪机构开立证券资金账户</w:t>
      </w:r>
      <w:r>
        <w:rPr>
          <w:rFonts w:ascii="宋体" w:eastAsia="宋体" w:hAnsi="宋体" w:cs="Malgun Gothic Semilight" w:hint="eastAsia"/>
          <w:sz w:val="24"/>
          <w:szCs w:val="24"/>
        </w:rPr>
        <w:t>，</w:t>
      </w:r>
      <w:r>
        <w:rPr>
          <w:rFonts w:ascii="宋体" w:eastAsia="宋体" w:hAnsi="宋体" w:cs="微软雅黑" w:hint="eastAsia"/>
          <w:sz w:val="24"/>
          <w:szCs w:val="24"/>
        </w:rPr>
        <w:t>用于基金财产</w:t>
      </w:r>
      <w:r>
        <w:rPr>
          <w:rFonts w:ascii="宋体" w:eastAsia="宋体" w:hAnsi="宋体" w:cs="微软雅黑" w:hint="eastAsia"/>
          <w:sz w:val="24"/>
          <w:szCs w:val="24"/>
        </w:rPr>
        <w:lastRenderedPageBreak/>
        <w:t>证券交易结算资金的存管</w:t>
      </w:r>
      <w:r>
        <w:rPr>
          <w:rFonts w:ascii="宋体" w:eastAsia="宋体" w:hAnsi="宋体" w:cs="Malgun Gothic Semilight" w:hint="eastAsia"/>
          <w:sz w:val="24"/>
          <w:szCs w:val="24"/>
        </w:rPr>
        <w:t>、</w:t>
      </w:r>
      <w:r>
        <w:rPr>
          <w:rFonts w:ascii="宋体" w:eastAsia="宋体" w:hAnsi="宋体" w:cs="微软雅黑" w:hint="eastAsia"/>
          <w:sz w:val="24"/>
          <w:szCs w:val="24"/>
        </w:rPr>
        <w:t>记载交易结算资金的变动明细以及场内证券交易清算</w:t>
      </w:r>
      <w:r>
        <w:rPr>
          <w:rFonts w:ascii="宋体" w:eastAsia="宋体" w:hAnsi="宋体" w:cs="Malgun Gothic Semilight" w:hint="eastAsia"/>
          <w:sz w:val="24"/>
          <w:szCs w:val="24"/>
        </w:rPr>
        <w:t>，</w:t>
      </w:r>
      <w:r>
        <w:rPr>
          <w:rFonts w:ascii="宋体" w:eastAsia="宋体" w:hAnsi="宋体" w:cs="微软雅黑" w:hint="eastAsia"/>
          <w:sz w:val="24"/>
          <w:szCs w:val="24"/>
        </w:rPr>
        <w:t>并与基金托管人开立的基金托管资金账户建立第三方存管关系</w:t>
      </w:r>
      <w:r>
        <w:rPr>
          <w:rFonts w:ascii="宋体" w:eastAsia="宋体" w:hAnsi="宋体" w:cs="Malgun Gothic Semilight" w:hint="eastAsia"/>
          <w:sz w:val="24"/>
          <w:szCs w:val="24"/>
        </w:rPr>
        <w:t>。</w:t>
      </w:r>
    </w:p>
    <w:p w14:paraId="1D8483A1"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交易所证券交易资金采用第三方存管模式</w:t>
      </w:r>
      <w:r>
        <w:rPr>
          <w:rFonts w:ascii="宋体" w:eastAsia="宋体" w:hAnsi="宋体" w:cs="Malgun Gothic Semilight" w:hint="eastAsia"/>
          <w:sz w:val="24"/>
          <w:szCs w:val="24"/>
        </w:rPr>
        <w:t>，</w:t>
      </w:r>
      <w:r>
        <w:rPr>
          <w:rFonts w:ascii="宋体" w:eastAsia="宋体" w:hAnsi="宋体" w:cs="微软雅黑" w:hint="eastAsia"/>
          <w:sz w:val="24"/>
          <w:szCs w:val="24"/>
        </w:rPr>
        <w:t>即用于证券交易结算资金全额存放在基金管理人为基金开立的证券资金账户中</w:t>
      </w:r>
      <w:r>
        <w:rPr>
          <w:rFonts w:ascii="宋体" w:eastAsia="宋体" w:hAnsi="宋体" w:cs="Malgun Gothic Semilight" w:hint="eastAsia"/>
          <w:sz w:val="24"/>
          <w:szCs w:val="24"/>
        </w:rPr>
        <w:t>，</w:t>
      </w:r>
      <w:r>
        <w:rPr>
          <w:rFonts w:ascii="宋体" w:eastAsia="宋体" w:hAnsi="宋体" w:cs="微软雅黑" w:hint="eastAsia"/>
          <w:sz w:val="24"/>
          <w:szCs w:val="24"/>
        </w:rPr>
        <w:t>场内的证券交易资金清算由基金管理人所选择的证券经纪机构负责</w:t>
      </w:r>
      <w:r>
        <w:rPr>
          <w:rFonts w:ascii="宋体" w:eastAsia="宋体" w:hAnsi="宋体" w:cs="Malgun Gothic Semilight" w:hint="eastAsia"/>
          <w:sz w:val="24"/>
          <w:szCs w:val="24"/>
        </w:rPr>
        <w:t>，</w:t>
      </w:r>
      <w:r>
        <w:rPr>
          <w:rFonts w:ascii="宋体" w:eastAsia="宋体" w:hAnsi="宋体" w:cs="微软雅黑" w:hint="eastAsia"/>
          <w:sz w:val="24"/>
          <w:szCs w:val="24"/>
        </w:rPr>
        <w:t>证券资金账户内的资金</w:t>
      </w:r>
      <w:r>
        <w:rPr>
          <w:rFonts w:ascii="宋体" w:eastAsia="宋体" w:hAnsi="宋体" w:cs="Malgun Gothic Semilight" w:hint="eastAsia"/>
          <w:sz w:val="24"/>
          <w:szCs w:val="24"/>
        </w:rPr>
        <w:t>，</w:t>
      </w:r>
      <w:r>
        <w:rPr>
          <w:rFonts w:ascii="宋体" w:eastAsia="宋体" w:hAnsi="宋体" w:cs="微软雅黑" w:hint="eastAsia"/>
          <w:sz w:val="24"/>
          <w:szCs w:val="24"/>
        </w:rPr>
        <w:t>只能通过证银转账方式将资金划转至基金托管资金账户</w:t>
      </w:r>
      <w:r>
        <w:rPr>
          <w:rFonts w:ascii="宋体" w:eastAsia="宋体" w:hAnsi="宋体" w:cs="Malgun Gothic Semilight" w:hint="eastAsia"/>
          <w:sz w:val="24"/>
          <w:szCs w:val="24"/>
        </w:rPr>
        <w:t>，</w:t>
      </w:r>
      <w:r>
        <w:rPr>
          <w:rFonts w:ascii="宋体" w:eastAsia="宋体" w:hAnsi="宋体" w:cs="微软雅黑" w:hint="eastAsia"/>
          <w:sz w:val="24"/>
          <w:szCs w:val="24"/>
        </w:rPr>
        <w:t>不得将资金划转至任何其他银行账户</w:t>
      </w:r>
      <w:r>
        <w:rPr>
          <w:rFonts w:ascii="宋体" w:eastAsia="宋体" w:hAnsi="宋体" w:cs="Malgun Gothic Semilight" w:hint="eastAsia"/>
          <w:sz w:val="24"/>
          <w:szCs w:val="24"/>
        </w:rPr>
        <w:t>。</w:t>
      </w:r>
      <w:r>
        <w:rPr>
          <w:rFonts w:ascii="宋体" w:eastAsia="宋体" w:hAnsi="宋体" w:cs="微软雅黑" w:hint="eastAsia"/>
          <w:sz w:val="24"/>
          <w:szCs w:val="24"/>
        </w:rPr>
        <w:t>第三方存管对应关系一经确定</w:t>
      </w:r>
      <w:r>
        <w:rPr>
          <w:rFonts w:ascii="宋体" w:eastAsia="宋体" w:hAnsi="宋体" w:cs="Malgun Gothic Semilight" w:hint="eastAsia"/>
          <w:sz w:val="24"/>
          <w:szCs w:val="24"/>
        </w:rPr>
        <w:t>，</w:t>
      </w:r>
      <w:r>
        <w:rPr>
          <w:rFonts w:ascii="宋体" w:eastAsia="宋体" w:hAnsi="宋体" w:cs="微软雅黑" w:hint="eastAsia"/>
          <w:sz w:val="24"/>
          <w:szCs w:val="24"/>
        </w:rPr>
        <w:t>不得更改</w:t>
      </w:r>
      <w:r>
        <w:rPr>
          <w:rFonts w:ascii="宋体" w:eastAsia="宋体" w:hAnsi="宋体" w:cs="Malgun Gothic Semilight" w:hint="eastAsia"/>
          <w:sz w:val="24"/>
          <w:szCs w:val="24"/>
        </w:rPr>
        <w:t>，</w:t>
      </w:r>
      <w:r>
        <w:rPr>
          <w:rFonts w:ascii="宋体" w:eastAsia="宋体" w:hAnsi="宋体" w:cs="微软雅黑" w:hint="eastAsia"/>
          <w:sz w:val="24"/>
          <w:szCs w:val="24"/>
        </w:rPr>
        <w:t>如果必须更改</w:t>
      </w:r>
      <w:r>
        <w:rPr>
          <w:rFonts w:ascii="宋体" w:eastAsia="宋体" w:hAnsi="宋体" w:cs="Malgun Gothic Semilight" w:hint="eastAsia"/>
          <w:sz w:val="24"/>
          <w:szCs w:val="24"/>
        </w:rPr>
        <w:t>，</w:t>
      </w:r>
      <w:r>
        <w:rPr>
          <w:rFonts w:ascii="宋体" w:eastAsia="宋体" w:hAnsi="宋体" w:cs="微软雅黑" w:hint="eastAsia"/>
          <w:sz w:val="24"/>
          <w:szCs w:val="24"/>
        </w:rPr>
        <w:t>应由基金管理人发起</w:t>
      </w:r>
      <w:r>
        <w:rPr>
          <w:rFonts w:ascii="宋体" w:eastAsia="宋体" w:hAnsi="宋体" w:cs="Malgun Gothic Semilight" w:hint="eastAsia"/>
          <w:sz w:val="24"/>
          <w:szCs w:val="24"/>
        </w:rPr>
        <w:t>，</w:t>
      </w:r>
      <w:r>
        <w:rPr>
          <w:rFonts w:ascii="宋体" w:eastAsia="宋体" w:hAnsi="宋体" w:cs="微软雅黑" w:hint="eastAsia"/>
          <w:sz w:val="24"/>
          <w:szCs w:val="24"/>
        </w:rPr>
        <w:t>经过基金托管人书面确认后</w:t>
      </w:r>
      <w:r>
        <w:rPr>
          <w:rFonts w:ascii="宋体" w:eastAsia="宋体" w:hAnsi="宋体" w:cs="Malgun Gothic Semilight" w:hint="eastAsia"/>
          <w:sz w:val="24"/>
          <w:szCs w:val="24"/>
        </w:rPr>
        <w:t>，</w:t>
      </w:r>
      <w:r>
        <w:rPr>
          <w:rFonts w:ascii="宋体" w:eastAsia="宋体" w:hAnsi="宋体" w:cs="微软雅黑" w:hint="eastAsia"/>
          <w:sz w:val="24"/>
          <w:szCs w:val="24"/>
        </w:rPr>
        <w:t>重新建立第三方存管对应关系</w:t>
      </w:r>
      <w:r>
        <w:rPr>
          <w:rFonts w:ascii="宋体" w:eastAsia="宋体" w:hAnsi="宋体" w:cs="Malgun Gothic Semilight" w:hint="eastAsia"/>
          <w:sz w:val="24"/>
          <w:szCs w:val="24"/>
        </w:rPr>
        <w:t>。</w:t>
      </w:r>
      <w:r>
        <w:rPr>
          <w:rFonts w:ascii="宋体" w:eastAsia="宋体" w:hAnsi="宋体" w:cs="微软雅黑" w:hint="eastAsia"/>
          <w:sz w:val="24"/>
          <w:szCs w:val="24"/>
        </w:rPr>
        <w:t>基金托管人和基金管理人不得出借或转让证券账户</w:t>
      </w:r>
      <w:r>
        <w:rPr>
          <w:rFonts w:ascii="宋体" w:eastAsia="宋体" w:hAnsi="宋体" w:cs="Malgun Gothic Semilight" w:hint="eastAsia"/>
          <w:sz w:val="24"/>
          <w:szCs w:val="24"/>
        </w:rPr>
        <w:t>、</w:t>
      </w:r>
      <w:r>
        <w:rPr>
          <w:rFonts w:ascii="宋体" w:eastAsia="宋体" w:hAnsi="宋体" w:cs="微软雅黑" w:hint="eastAsia"/>
          <w:sz w:val="24"/>
          <w:szCs w:val="24"/>
        </w:rPr>
        <w:t>证券资金账户</w:t>
      </w:r>
      <w:r>
        <w:rPr>
          <w:rFonts w:ascii="宋体" w:eastAsia="宋体" w:hAnsi="宋体" w:cs="Malgun Gothic Semilight" w:hint="eastAsia"/>
          <w:sz w:val="24"/>
          <w:szCs w:val="24"/>
        </w:rPr>
        <w:t>，</w:t>
      </w:r>
      <w:r>
        <w:rPr>
          <w:rFonts w:ascii="宋体" w:eastAsia="宋体" w:hAnsi="宋体" w:cs="微软雅黑" w:hint="eastAsia"/>
          <w:sz w:val="24"/>
          <w:szCs w:val="24"/>
        </w:rPr>
        <w:t>亦不得使用证券账户或证券资金账户进行本基金业务以外的活动</w:t>
      </w:r>
      <w:r>
        <w:rPr>
          <w:rFonts w:ascii="宋体" w:eastAsia="宋体" w:hAnsi="宋体" w:cs="Malgun Gothic Semilight" w:hint="eastAsia"/>
          <w:sz w:val="24"/>
          <w:szCs w:val="24"/>
        </w:rPr>
        <w:t>。</w:t>
      </w:r>
      <w:r>
        <w:rPr>
          <w:rFonts w:ascii="宋体" w:eastAsia="宋体" w:hAnsi="宋体" w:cs="微软雅黑" w:hint="eastAsia"/>
          <w:sz w:val="24"/>
          <w:szCs w:val="24"/>
        </w:rPr>
        <w:t>基金管理人承诺证券资金账户为主资金账户</w:t>
      </w:r>
      <w:r>
        <w:rPr>
          <w:rFonts w:ascii="宋体" w:eastAsia="宋体" w:hAnsi="宋体" w:cs="Malgun Gothic Semilight" w:hint="eastAsia"/>
          <w:sz w:val="24"/>
          <w:szCs w:val="24"/>
        </w:rPr>
        <w:t>，</w:t>
      </w:r>
      <w:r>
        <w:rPr>
          <w:rFonts w:ascii="宋体" w:eastAsia="宋体" w:hAnsi="宋体" w:cs="微软雅黑" w:hint="eastAsia"/>
          <w:sz w:val="24"/>
          <w:szCs w:val="24"/>
        </w:rPr>
        <w:t>不开立任何辅助资金账户</w:t>
      </w:r>
      <w:r>
        <w:rPr>
          <w:rFonts w:ascii="宋体" w:eastAsia="宋体" w:hAnsi="宋体" w:cs="Malgun Gothic Semilight" w:hint="eastAsia"/>
          <w:sz w:val="24"/>
          <w:szCs w:val="24"/>
        </w:rPr>
        <w:t>；</w:t>
      </w:r>
      <w:r>
        <w:rPr>
          <w:rFonts w:ascii="宋体" w:eastAsia="宋体" w:hAnsi="宋体" w:cs="微软雅黑" w:hint="eastAsia"/>
          <w:sz w:val="24"/>
          <w:szCs w:val="24"/>
        </w:rPr>
        <w:t>不为证券资金账户另行开立托管资金账户以外的其他银行账户</w:t>
      </w:r>
      <w:r>
        <w:rPr>
          <w:rFonts w:ascii="宋体" w:eastAsia="宋体" w:hAnsi="宋体" w:cs="Malgun Gothic Semilight" w:hint="eastAsia"/>
          <w:sz w:val="24"/>
          <w:szCs w:val="24"/>
        </w:rPr>
        <w:t>。</w:t>
      </w:r>
      <w:r>
        <w:rPr>
          <w:rFonts w:ascii="宋体" w:eastAsia="宋体" w:hAnsi="宋体" w:cs="微软雅黑" w:hint="eastAsia"/>
          <w:sz w:val="24"/>
          <w:szCs w:val="24"/>
        </w:rPr>
        <w:t>基金托管人不负责办理场内的证券交易资金清算</w:t>
      </w:r>
      <w:r>
        <w:rPr>
          <w:rFonts w:ascii="宋体" w:eastAsia="宋体" w:hAnsi="宋体" w:cs="Arial" w:hint="eastAsia"/>
          <w:sz w:val="24"/>
          <w:szCs w:val="24"/>
        </w:rPr>
        <w:t>，</w:t>
      </w:r>
      <w:r>
        <w:rPr>
          <w:rFonts w:ascii="宋体" w:eastAsia="宋体" w:hAnsi="宋体" w:cs="微软雅黑" w:hint="eastAsia"/>
          <w:sz w:val="24"/>
          <w:szCs w:val="24"/>
        </w:rPr>
        <w:t>也不负责保管证券资金账户内存放的资金</w:t>
      </w:r>
      <w:r>
        <w:rPr>
          <w:rFonts w:ascii="宋体" w:eastAsia="宋体" w:hAnsi="宋体" w:cs="Arial" w:hint="eastAsia"/>
          <w:sz w:val="24"/>
          <w:szCs w:val="24"/>
        </w:rPr>
        <w:t>。</w:t>
      </w:r>
    </w:p>
    <w:p w14:paraId="7FBA7899"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5.</w:t>
      </w:r>
      <w:r>
        <w:rPr>
          <w:rFonts w:ascii="宋体" w:eastAsia="宋体" w:hAnsi="宋体" w:cs="微软雅黑" w:hint="eastAsia"/>
          <w:sz w:val="24"/>
          <w:szCs w:val="24"/>
        </w:rPr>
        <w:t>账户注销时</w:t>
      </w:r>
      <w:r>
        <w:rPr>
          <w:rFonts w:ascii="宋体" w:eastAsia="宋体" w:hAnsi="宋体" w:cs="Malgun Gothic Semilight" w:hint="eastAsia"/>
          <w:sz w:val="24"/>
          <w:szCs w:val="24"/>
        </w:rPr>
        <w:t>，</w:t>
      </w:r>
      <w:r>
        <w:rPr>
          <w:rFonts w:ascii="宋体" w:eastAsia="宋体" w:hAnsi="宋体" w:cs="微软雅黑" w:hint="eastAsia"/>
          <w:sz w:val="24"/>
          <w:szCs w:val="24"/>
        </w:rPr>
        <w:t>在遵守中国证券登记结算有限责任公司的相关规定下</w:t>
      </w:r>
      <w:r>
        <w:rPr>
          <w:rFonts w:ascii="宋体" w:eastAsia="宋体" w:hAnsi="宋体" w:cs="Malgun Gothic Semilight" w:hint="eastAsia"/>
          <w:sz w:val="24"/>
          <w:szCs w:val="24"/>
        </w:rPr>
        <w:t>，</w:t>
      </w:r>
      <w:r>
        <w:rPr>
          <w:rFonts w:ascii="宋体" w:eastAsia="宋体" w:hAnsi="宋体" w:cs="微软雅黑" w:hint="eastAsia"/>
          <w:sz w:val="24"/>
          <w:szCs w:val="24"/>
        </w:rPr>
        <w:t>由基金管理人和基金托管人协商确认主要办理人</w:t>
      </w:r>
      <w:r>
        <w:rPr>
          <w:rFonts w:ascii="宋体" w:eastAsia="宋体" w:hAnsi="宋体" w:cs="Malgun Gothic Semilight" w:hint="eastAsia"/>
          <w:sz w:val="24"/>
          <w:szCs w:val="24"/>
        </w:rPr>
        <w:t>。</w:t>
      </w:r>
      <w:r>
        <w:rPr>
          <w:rFonts w:ascii="宋体" w:eastAsia="宋体" w:hAnsi="宋体" w:cs="微软雅黑" w:hint="eastAsia"/>
          <w:sz w:val="24"/>
          <w:szCs w:val="24"/>
        </w:rPr>
        <w:t>账户注销期间</w:t>
      </w:r>
      <w:r>
        <w:rPr>
          <w:rFonts w:ascii="宋体" w:eastAsia="宋体" w:hAnsi="宋体" w:cs="Malgun Gothic Semilight" w:hint="eastAsia"/>
          <w:sz w:val="24"/>
          <w:szCs w:val="24"/>
        </w:rPr>
        <w:t>，</w:t>
      </w:r>
      <w:r>
        <w:rPr>
          <w:rFonts w:ascii="宋体" w:eastAsia="宋体" w:hAnsi="宋体" w:cs="微软雅黑" w:hint="eastAsia"/>
          <w:sz w:val="24"/>
          <w:szCs w:val="24"/>
        </w:rPr>
        <w:t>主要办理人如需另一方提供配合的</w:t>
      </w:r>
      <w:r>
        <w:rPr>
          <w:rFonts w:ascii="宋体" w:eastAsia="宋体" w:hAnsi="宋体" w:cs="Malgun Gothic Semilight" w:hint="eastAsia"/>
          <w:sz w:val="24"/>
          <w:szCs w:val="24"/>
        </w:rPr>
        <w:t>，</w:t>
      </w:r>
      <w:r>
        <w:rPr>
          <w:rFonts w:ascii="宋体" w:eastAsia="宋体" w:hAnsi="宋体" w:cs="微软雅黑" w:hint="eastAsia"/>
          <w:sz w:val="24"/>
          <w:szCs w:val="24"/>
        </w:rPr>
        <w:t>另一方应予以配合</w:t>
      </w:r>
      <w:r>
        <w:rPr>
          <w:rFonts w:ascii="宋体" w:eastAsia="宋体" w:hAnsi="宋体" w:cs="Malgun Gothic Semilight" w:hint="eastAsia"/>
          <w:sz w:val="24"/>
          <w:szCs w:val="24"/>
        </w:rPr>
        <w:t>。</w:t>
      </w:r>
    </w:p>
    <w:p w14:paraId="2FB17FDE"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6.</w:t>
      </w:r>
      <w:r>
        <w:rPr>
          <w:rFonts w:ascii="宋体" w:eastAsia="宋体" w:hAnsi="宋体" w:cs="微软雅黑" w:hint="eastAsia"/>
          <w:sz w:val="24"/>
          <w:szCs w:val="24"/>
        </w:rPr>
        <w:t>若中国证监会或其他监管机构在本托管协议订立日之后允许基金从事其他投资品种的投资业务</w:t>
      </w:r>
      <w:r>
        <w:rPr>
          <w:rFonts w:ascii="宋体" w:eastAsia="宋体" w:hAnsi="宋体" w:cs="Malgun Gothic Semilight" w:hint="eastAsia"/>
          <w:sz w:val="24"/>
          <w:szCs w:val="24"/>
        </w:rPr>
        <w:t>，</w:t>
      </w:r>
      <w:r>
        <w:rPr>
          <w:rFonts w:ascii="宋体" w:eastAsia="宋体" w:hAnsi="宋体" w:cs="微软雅黑" w:hint="eastAsia"/>
          <w:sz w:val="24"/>
          <w:szCs w:val="24"/>
        </w:rPr>
        <w:t>涉及相关账户的开立</w:t>
      </w:r>
      <w:r>
        <w:rPr>
          <w:rFonts w:ascii="宋体" w:eastAsia="宋体" w:hAnsi="宋体" w:cs="Malgun Gothic Semilight" w:hint="eastAsia"/>
          <w:sz w:val="24"/>
          <w:szCs w:val="24"/>
        </w:rPr>
        <w:t>、</w:t>
      </w:r>
      <w:r>
        <w:rPr>
          <w:rFonts w:ascii="宋体" w:eastAsia="宋体" w:hAnsi="宋体" w:cs="微软雅黑" w:hint="eastAsia"/>
          <w:sz w:val="24"/>
          <w:szCs w:val="24"/>
        </w:rPr>
        <w:t>使用的</w:t>
      </w:r>
      <w:r>
        <w:rPr>
          <w:rFonts w:ascii="宋体" w:eastAsia="宋体" w:hAnsi="宋体" w:cs="Malgun Gothic Semilight" w:hint="eastAsia"/>
          <w:sz w:val="24"/>
          <w:szCs w:val="24"/>
        </w:rPr>
        <w:t>，</w:t>
      </w:r>
      <w:r>
        <w:rPr>
          <w:rFonts w:ascii="宋体" w:eastAsia="宋体" w:hAnsi="宋体" w:cs="微软雅黑" w:hint="eastAsia"/>
          <w:sz w:val="24"/>
          <w:szCs w:val="24"/>
        </w:rPr>
        <w:t>若无相关规定</w:t>
      </w:r>
      <w:r>
        <w:rPr>
          <w:rFonts w:ascii="宋体" w:eastAsia="宋体" w:hAnsi="宋体" w:cs="Malgun Gothic Semilight" w:hint="eastAsia"/>
          <w:sz w:val="24"/>
          <w:szCs w:val="24"/>
        </w:rPr>
        <w:t>，</w:t>
      </w:r>
      <w:proofErr w:type="gramStart"/>
      <w:r>
        <w:rPr>
          <w:rFonts w:ascii="宋体" w:eastAsia="宋体" w:hAnsi="宋体" w:cs="微软雅黑" w:hint="eastAsia"/>
          <w:sz w:val="24"/>
          <w:szCs w:val="24"/>
        </w:rPr>
        <w:t>则基金</w:t>
      </w:r>
      <w:proofErr w:type="gramEnd"/>
      <w:r>
        <w:rPr>
          <w:rFonts w:ascii="宋体" w:eastAsia="宋体" w:hAnsi="宋体" w:cs="微软雅黑" w:hint="eastAsia"/>
          <w:sz w:val="24"/>
          <w:szCs w:val="24"/>
        </w:rPr>
        <w:t>托管人比照上述关于账户开立</w:t>
      </w:r>
      <w:r>
        <w:rPr>
          <w:rFonts w:ascii="宋体" w:eastAsia="宋体" w:hAnsi="宋体" w:cs="Malgun Gothic Semilight" w:hint="eastAsia"/>
          <w:sz w:val="24"/>
          <w:szCs w:val="24"/>
        </w:rPr>
        <w:t>、</w:t>
      </w:r>
      <w:r>
        <w:rPr>
          <w:rFonts w:ascii="宋体" w:eastAsia="宋体" w:hAnsi="宋体" w:cs="微软雅黑" w:hint="eastAsia"/>
          <w:sz w:val="24"/>
          <w:szCs w:val="24"/>
        </w:rPr>
        <w:t>使用的规定执行</w:t>
      </w:r>
      <w:r>
        <w:rPr>
          <w:rFonts w:ascii="宋体" w:eastAsia="宋体" w:hAnsi="宋体" w:cs="Malgun Gothic Semilight" w:hint="eastAsia"/>
          <w:sz w:val="24"/>
          <w:szCs w:val="24"/>
        </w:rPr>
        <w:t>。</w:t>
      </w:r>
    </w:p>
    <w:p w14:paraId="47832BE8"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五</w:t>
      </w:r>
      <w:r>
        <w:rPr>
          <w:rFonts w:ascii="宋体" w:eastAsia="宋体" w:hAnsi="宋体" w:cs="Malgun Gothic Semilight" w:hint="eastAsia"/>
          <w:sz w:val="24"/>
          <w:szCs w:val="24"/>
        </w:rPr>
        <w:t>）</w:t>
      </w:r>
      <w:r>
        <w:rPr>
          <w:rFonts w:ascii="宋体" w:eastAsia="宋体" w:hAnsi="宋体" w:cs="微软雅黑" w:hint="eastAsia"/>
          <w:sz w:val="24"/>
          <w:szCs w:val="24"/>
        </w:rPr>
        <w:t>银行间账户的开设和管理</w:t>
      </w:r>
    </w:p>
    <w:p w14:paraId="0E384F55"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生效后</w:t>
      </w:r>
      <w:r>
        <w:rPr>
          <w:rFonts w:ascii="宋体" w:eastAsia="宋体" w:hAnsi="宋体" w:cs="Malgun Gothic Semilight" w:hint="eastAsia"/>
          <w:sz w:val="24"/>
          <w:szCs w:val="24"/>
        </w:rPr>
        <w:t>，</w:t>
      </w:r>
      <w:r>
        <w:rPr>
          <w:rFonts w:ascii="宋体" w:eastAsia="宋体" w:hAnsi="宋体" w:cs="微软雅黑" w:hint="eastAsia"/>
          <w:sz w:val="24"/>
          <w:szCs w:val="24"/>
        </w:rPr>
        <w:t>基金管理人负责以基金的名义申请并取得进入全国银行间同业拆借市场的交易资格</w:t>
      </w:r>
      <w:r>
        <w:rPr>
          <w:rFonts w:ascii="宋体" w:eastAsia="宋体" w:hAnsi="宋体" w:cs="Malgun Gothic Semilight" w:hint="eastAsia"/>
          <w:sz w:val="24"/>
          <w:szCs w:val="24"/>
        </w:rPr>
        <w:t>，</w:t>
      </w:r>
      <w:r>
        <w:rPr>
          <w:rFonts w:ascii="宋体" w:eastAsia="宋体" w:hAnsi="宋体" w:cs="微软雅黑" w:hint="eastAsia"/>
          <w:sz w:val="24"/>
          <w:szCs w:val="24"/>
        </w:rPr>
        <w:t>并代表基金进行交易</w:t>
      </w:r>
      <w:r>
        <w:rPr>
          <w:rFonts w:ascii="宋体" w:eastAsia="宋体" w:hAnsi="宋体" w:cs="Malgun Gothic Semilight" w:hint="eastAsia"/>
          <w:sz w:val="24"/>
          <w:szCs w:val="24"/>
        </w:rPr>
        <w:t>；</w:t>
      </w:r>
      <w:r>
        <w:rPr>
          <w:rFonts w:ascii="宋体" w:eastAsia="宋体" w:hAnsi="宋体" w:cs="微软雅黑" w:hint="eastAsia"/>
          <w:sz w:val="24"/>
          <w:szCs w:val="24"/>
        </w:rPr>
        <w:t>基金托管人根据中国人民银行</w:t>
      </w:r>
      <w:r>
        <w:rPr>
          <w:rFonts w:ascii="宋体" w:eastAsia="宋体" w:hAnsi="宋体" w:cs="Malgun Gothic Semilight" w:hint="eastAsia"/>
          <w:sz w:val="24"/>
          <w:szCs w:val="24"/>
        </w:rPr>
        <w:t>、</w:t>
      </w:r>
      <w:r>
        <w:rPr>
          <w:rFonts w:ascii="宋体" w:eastAsia="宋体" w:hAnsi="宋体" w:cs="微软雅黑" w:hint="eastAsia"/>
          <w:sz w:val="24"/>
          <w:szCs w:val="24"/>
        </w:rPr>
        <w:t>银行间市场登记结算机构的有关规定</w:t>
      </w:r>
      <w:r>
        <w:rPr>
          <w:rFonts w:ascii="宋体" w:eastAsia="宋体" w:hAnsi="宋体" w:cs="Malgun Gothic Semilight" w:hint="eastAsia"/>
          <w:sz w:val="24"/>
          <w:szCs w:val="24"/>
        </w:rPr>
        <w:t>，</w:t>
      </w:r>
      <w:r>
        <w:rPr>
          <w:rFonts w:ascii="宋体" w:eastAsia="宋体" w:hAnsi="宋体" w:cs="微软雅黑" w:hint="eastAsia"/>
          <w:sz w:val="24"/>
          <w:szCs w:val="24"/>
        </w:rPr>
        <w:t>在银行间市场登记结算机构开立债券托管账户和资金结算专户</w:t>
      </w:r>
      <w:r>
        <w:rPr>
          <w:rFonts w:ascii="宋体" w:eastAsia="宋体" w:hAnsi="宋体" w:cs="Malgun Gothic Semilight" w:hint="eastAsia"/>
          <w:sz w:val="24"/>
          <w:szCs w:val="24"/>
        </w:rPr>
        <w:t>，</w:t>
      </w:r>
      <w:r>
        <w:rPr>
          <w:rFonts w:ascii="宋体" w:eastAsia="宋体" w:hAnsi="宋体" w:cs="微软雅黑" w:hint="eastAsia"/>
          <w:sz w:val="24"/>
          <w:szCs w:val="24"/>
        </w:rPr>
        <w:t>并代表基金进行银行间市场债券的结算</w:t>
      </w:r>
      <w:r>
        <w:rPr>
          <w:rFonts w:ascii="宋体" w:eastAsia="宋体" w:hAnsi="宋体" w:cs="Malgun Gothic Semilight" w:hint="eastAsia"/>
          <w:sz w:val="24"/>
          <w:szCs w:val="24"/>
        </w:rPr>
        <w:t>。基金管理人代表基金签订全国银行间债券市场债券回购主协议。</w:t>
      </w:r>
    </w:p>
    <w:p w14:paraId="21482082"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六</w:t>
      </w:r>
      <w:r>
        <w:rPr>
          <w:rFonts w:ascii="宋体" w:eastAsia="宋体" w:hAnsi="宋体" w:cs="Arial" w:hint="eastAsia"/>
          <w:sz w:val="24"/>
          <w:szCs w:val="24"/>
        </w:rPr>
        <w:t>）</w:t>
      </w:r>
      <w:r>
        <w:rPr>
          <w:rFonts w:ascii="宋体" w:eastAsia="宋体" w:hAnsi="宋体" w:cs="微软雅黑" w:hint="eastAsia"/>
          <w:sz w:val="24"/>
          <w:szCs w:val="24"/>
        </w:rPr>
        <w:t>其他账户的开立和管理</w:t>
      </w:r>
    </w:p>
    <w:p w14:paraId="6713F0A5"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w:t>
      </w:r>
      <w:r>
        <w:rPr>
          <w:rFonts w:ascii="宋体" w:eastAsia="宋体" w:hAnsi="宋体" w:cs="微软雅黑" w:hint="eastAsia"/>
          <w:sz w:val="24"/>
          <w:szCs w:val="24"/>
        </w:rPr>
        <w:t>在本托管协议订立日之后</w:t>
      </w:r>
      <w:r>
        <w:rPr>
          <w:rFonts w:ascii="宋体" w:eastAsia="宋体" w:hAnsi="宋体" w:cs="Malgun Gothic Semilight" w:hint="eastAsia"/>
          <w:sz w:val="24"/>
          <w:szCs w:val="24"/>
        </w:rPr>
        <w:t>，</w:t>
      </w:r>
      <w:r>
        <w:rPr>
          <w:rFonts w:ascii="宋体" w:eastAsia="宋体" w:hAnsi="宋体" w:cs="微软雅黑" w:hint="eastAsia"/>
          <w:sz w:val="24"/>
          <w:szCs w:val="24"/>
        </w:rPr>
        <w:t>本基金被允许从事符合法律法规规定和</w:t>
      </w:r>
      <w:r>
        <w:rPr>
          <w:rFonts w:ascii="宋体" w:eastAsia="宋体" w:hAnsi="宋体" w:cs="Malgun Gothic Semilight"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约定的其他投资品种的投资业务时</w:t>
      </w:r>
      <w:r>
        <w:rPr>
          <w:rFonts w:ascii="宋体" w:eastAsia="宋体" w:hAnsi="宋体" w:cs="Malgun Gothic Semilight" w:hint="eastAsia"/>
          <w:sz w:val="24"/>
          <w:szCs w:val="24"/>
        </w:rPr>
        <w:t>，</w:t>
      </w:r>
      <w:r>
        <w:rPr>
          <w:rFonts w:ascii="宋体" w:eastAsia="宋体" w:hAnsi="宋体" w:cs="微软雅黑" w:hint="eastAsia"/>
          <w:sz w:val="24"/>
          <w:szCs w:val="24"/>
        </w:rPr>
        <w:t>如果涉及相关账户的开设和使用</w:t>
      </w:r>
      <w:r>
        <w:rPr>
          <w:rFonts w:ascii="宋体" w:eastAsia="宋体" w:hAnsi="宋体" w:cs="Malgun Gothic Semilight" w:hint="eastAsia"/>
          <w:sz w:val="24"/>
          <w:szCs w:val="24"/>
        </w:rPr>
        <w:t>，</w:t>
      </w:r>
      <w:r>
        <w:rPr>
          <w:rFonts w:ascii="宋体" w:eastAsia="宋体" w:hAnsi="宋体" w:cs="微软雅黑" w:hint="eastAsia"/>
          <w:sz w:val="24"/>
          <w:szCs w:val="24"/>
        </w:rPr>
        <w:t>由基金管理人协助托管人根据有关法律法规的规定和</w:t>
      </w:r>
      <w:r>
        <w:rPr>
          <w:rFonts w:ascii="宋体" w:eastAsia="宋体" w:hAnsi="宋体" w:cs="Malgun Gothic Semilight"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的约定</w:t>
      </w:r>
      <w:r>
        <w:rPr>
          <w:rFonts w:ascii="宋体" w:eastAsia="宋体" w:hAnsi="宋体" w:cs="Malgun Gothic Semilight" w:hint="eastAsia"/>
          <w:sz w:val="24"/>
          <w:szCs w:val="24"/>
        </w:rPr>
        <w:t>，</w:t>
      </w:r>
      <w:r>
        <w:rPr>
          <w:rFonts w:ascii="宋体" w:eastAsia="宋体" w:hAnsi="宋体" w:cs="微软雅黑" w:hint="eastAsia"/>
          <w:sz w:val="24"/>
          <w:szCs w:val="24"/>
        </w:rPr>
        <w:t>开立有关账户</w:t>
      </w:r>
      <w:r>
        <w:rPr>
          <w:rFonts w:ascii="宋体" w:eastAsia="宋体" w:hAnsi="宋体" w:cs="Malgun Gothic Semilight" w:hint="eastAsia"/>
          <w:sz w:val="24"/>
          <w:szCs w:val="24"/>
        </w:rPr>
        <w:t>。</w:t>
      </w:r>
      <w:r>
        <w:rPr>
          <w:rFonts w:ascii="宋体" w:eastAsia="宋体" w:hAnsi="宋体" w:cs="微软雅黑" w:hint="eastAsia"/>
          <w:sz w:val="24"/>
          <w:szCs w:val="24"/>
        </w:rPr>
        <w:t>该账户按有关规则使用并管理</w:t>
      </w:r>
      <w:r>
        <w:rPr>
          <w:rFonts w:ascii="宋体" w:eastAsia="宋体" w:hAnsi="宋体" w:cs="Malgun Gothic Semilight" w:hint="eastAsia"/>
          <w:sz w:val="24"/>
          <w:szCs w:val="24"/>
        </w:rPr>
        <w:t>。</w:t>
      </w:r>
    </w:p>
    <w:p w14:paraId="0303C67B"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lastRenderedPageBreak/>
        <w:t>2.</w:t>
      </w:r>
      <w:r>
        <w:rPr>
          <w:rFonts w:ascii="宋体" w:eastAsia="宋体" w:hAnsi="宋体" w:cs="微软雅黑" w:hint="eastAsia"/>
          <w:sz w:val="24"/>
          <w:szCs w:val="24"/>
        </w:rPr>
        <w:t>法律法规等有关规定对相关账户的开立和管理另有规定的</w:t>
      </w:r>
      <w:r>
        <w:rPr>
          <w:rFonts w:ascii="宋体" w:eastAsia="宋体" w:hAnsi="宋体" w:cs="Malgun Gothic Semilight" w:hint="eastAsia"/>
          <w:sz w:val="24"/>
          <w:szCs w:val="24"/>
        </w:rPr>
        <w:t>，</w:t>
      </w:r>
      <w:r>
        <w:rPr>
          <w:rFonts w:ascii="宋体" w:eastAsia="宋体" w:hAnsi="宋体" w:cs="微软雅黑" w:hint="eastAsia"/>
          <w:sz w:val="24"/>
          <w:szCs w:val="24"/>
        </w:rPr>
        <w:t>从其规定办理</w:t>
      </w:r>
      <w:r>
        <w:rPr>
          <w:rFonts w:ascii="宋体" w:eastAsia="宋体" w:hAnsi="宋体" w:cs="Malgun Gothic Semilight" w:hint="eastAsia"/>
          <w:sz w:val="24"/>
          <w:szCs w:val="24"/>
        </w:rPr>
        <w:t>。</w:t>
      </w:r>
    </w:p>
    <w:p w14:paraId="42E21CAC"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七</w:t>
      </w:r>
      <w:r>
        <w:rPr>
          <w:rFonts w:ascii="宋体" w:eastAsia="宋体" w:hAnsi="宋体" w:cs="Arial" w:hint="eastAsia"/>
          <w:sz w:val="24"/>
          <w:szCs w:val="24"/>
        </w:rPr>
        <w:t>）</w:t>
      </w:r>
      <w:r>
        <w:rPr>
          <w:rFonts w:ascii="宋体" w:eastAsia="宋体" w:hAnsi="宋体" w:cs="微软雅黑" w:hint="eastAsia"/>
          <w:sz w:val="24"/>
          <w:szCs w:val="24"/>
        </w:rPr>
        <w:t>基金财产投资的有关有价凭证等的保管</w:t>
      </w:r>
    </w:p>
    <w:p w14:paraId="7772D0F8" w14:textId="77777777" w:rsidR="00F012EE" w:rsidRDefault="00477FBC">
      <w:pPr>
        <w:adjustRightInd w:val="0"/>
        <w:snapToGrid w:val="0"/>
        <w:spacing w:line="360" w:lineRule="auto"/>
        <w:ind w:firstLineChars="200" w:firstLine="480"/>
        <w:rPr>
          <w:rFonts w:ascii="宋体" w:eastAsia="宋体" w:hAnsi="宋体" w:cs="Arial"/>
          <w:szCs w:val="24"/>
        </w:rPr>
      </w:pPr>
      <w:r>
        <w:rPr>
          <w:rFonts w:ascii="宋体" w:eastAsia="宋体" w:hAnsi="宋体" w:cs="微软雅黑" w:hint="eastAsia"/>
          <w:sz w:val="24"/>
          <w:szCs w:val="24"/>
        </w:rPr>
        <w:t>基金财产投资的有关实物证券</w:t>
      </w:r>
      <w:r>
        <w:rPr>
          <w:rFonts w:ascii="宋体" w:eastAsia="宋体" w:hAnsi="宋体" w:cs="Malgun Gothic Semilight" w:hint="eastAsia"/>
          <w:sz w:val="24"/>
          <w:szCs w:val="24"/>
        </w:rPr>
        <w:t>、</w:t>
      </w:r>
      <w:r>
        <w:rPr>
          <w:rFonts w:ascii="宋体" w:eastAsia="宋体" w:hAnsi="宋体" w:cs="微软雅黑" w:hint="eastAsia"/>
          <w:sz w:val="24"/>
          <w:szCs w:val="24"/>
        </w:rPr>
        <w:t>银行存款开户证实书等有价凭证由基金托管人存放于基金托管人的保管库</w:t>
      </w:r>
      <w:r>
        <w:rPr>
          <w:rFonts w:ascii="宋体" w:eastAsia="宋体" w:hAnsi="宋体" w:cs="Malgun Gothic Semilight" w:hint="eastAsia"/>
          <w:sz w:val="24"/>
          <w:szCs w:val="24"/>
        </w:rPr>
        <w:t>，</w:t>
      </w:r>
      <w:r>
        <w:rPr>
          <w:rFonts w:ascii="宋体" w:eastAsia="宋体" w:hAnsi="宋体" w:cs="微软雅黑" w:hint="eastAsia"/>
          <w:sz w:val="24"/>
          <w:szCs w:val="24"/>
        </w:rPr>
        <w:t>也可存入法律法规有关规定允许的</w:t>
      </w:r>
      <w:proofErr w:type="gramStart"/>
      <w:r>
        <w:rPr>
          <w:rFonts w:ascii="宋体" w:eastAsia="宋体" w:hAnsi="宋体" w:cs="微软雅黑" w:hint="eastAsia"/>
          <w:sz w:val="24"/>
          <w:szCs w:val="24"/>
        </w:rPr>
        <w:t>各类代保管</w:t>
      </w:r>
      <w:proofErr w:type="gramEnd"/>
      <w:r>
        <w:rPr>
          <w:rFonts w:ascii="宋体" w:eastAsia="宋体" w:hAnsi="宋体" w:cs="微软雅黑" w:hint="eastAsia"/>
          <w:sz w:val="24"/>
          <w:szCs w:val="24"/>
        </w:rPr>
        <w:t>库</w:t>
      </w:r>
      <w:r>
        <w:rPr>
          <w:rFonts w:ascii="宋体" w:eastAsia="宋体" w:hAnsi="宋体" w:cs="Malgun Gothic Semilight" w:hint="eastAsia"/>
          <w:sz w:val="24"/>
          <w:szCs w:val="24"/>
        </w:rPr>
        <w:t>，</w:t>
      </w:r>
      <w:r>
        <w:rPr>
          <w:rFonts w:ascii="宋体" w:eastAsia="宋体" w:hAnsi="宋体" w:cs="微软雅黑" w:hint="eastAsia"/>
          <w:sz w:val="24"/>
          <w:szCs w:val="24"/>
        </w:rPr>
        <w:t>保管凭证由基金托管人持有</w:t>
      </w:r>
      <w:r>
        <w:rPr>
          <w:rFonts w:ascii="宋体" w:eastAsia="宋体" w:hAnsi="宋体" w:cs="Malgun Gothic Semilight" w:hint="eastAsia"/>
          <w:sz w:val="24"/>
          <w:szCs w:val="24"/>
        </w:rPr>
        <w:t>。</w:t>
      </w:r>
      <w:r>
        <w:rPr>
          <w:rFonts w:ascii="宋体" w:eastAsia="宋体" w:hAnsi="宋体" w:cs="微软雅黑" w:hint="eastAsia"/>
          <w:sz w:val="24"/>
          <w:szCs w:val="24"/>
        </w:rPr>
        <w:t>实物证券</w:t>
      </w:r>
      <w:r>
        <w:rPr>
          <w:rFonts w:ascii="宋体" w:eastAsia="宋体" w:hAnsi="宋体" w:cs="Malgun Gothic Semilight" w:hint="eastAsia"/>
          <w:sz w:val="24"/>
          <w:szCs w:val="24"/>
        </w:rPr>
        <w:t>、</w:t>
      </w:r>
      <w:r>
        <w:rPr>
          <w:rFonts w:ascii="宋体" w:eastAsia="宋体" w:hAnsi="宋体" w:cs="微软雅黑" w:hint="eastAsia"/>
          <w:sz w:val="24"/>
          <w:szCs w:val="24"/>
        </w:rPr>
        <w:t>银行定期存款证实书等有价凭证的购买和转让</w:t>
      </w:r>
      <w:r>
        <w:rPr>
          <w:rFonts w:ascii="宋体" w:eastAsia="宋体" w:hAnsi="宋体" w:cs="Malgun Gothic Semilight" w:hint="eastAsia"/>
          <w:sz w:val="24"/>
          <w:szCs w:val="24"/>
        </w:rPr>
        <w:t>，</w:t>
      </w:r>
      <w:r>
        <w:rPr>
          <w:rFonts w:ascii="宋体" w:eastAsia="宋体" w:hAnsi="宋体" w:cs="微软雅黑" w:hint="eastAsia"/>
          <w:sz w:val="24"/>
          <w:szCs w:val="24"/>
        </w:rPr>
        <w:t>按基金管理人和基金托管人双方约定办理</w:t>
      </w:r>
      <w:r>
        <w:rPr>
          <w:rFonts w:ascii="宋体" w:eastAsia="宋体" w:hAnsi="宋体" w:cs="Malgun Gothic Semilight" w:hint="eastAsia"/>
          <w:sz w:val="24"/>
          <w:szCs w:val="24"/>
        </w:rPr>
        <w:t>。</w:t>
      </w:r>
      <w:r>
        <w:rPr>
          <w:rFonts w:ascii="宋体" w:eastAsia="宋体" w:hAnsi="宋体" w:cs="微软雅黑" w:hint="eastAsia"/>
          <w:sz w:val="24"/>
          <w:szCs w:val="24"/>
        </w:rPr>
        <w:t>基金托管人对由基金托管人以外机构实际有效控制或保管的资产不承担任何责任</w:t>
      </w:r>
      <w:r>
        <w:rPr>
          <w:rFonts w:ascii="宋体" w:eastAsia="宋体" w:hAnsi="宋体" w:cs="Malgun Gothic Semilight" w:hint="eastAsia"/>
          <w:sz w:val="24"/>
          <w:szCs w:val="24"/>
        </w:rPr>
        <w:t>。</w:t>
      </w:r>
    </w:p>
    <w:p w14:paraId="0AC7ACD0"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八</w:t>
      </w:r>
      <w:r>
        <w:rPr>
          <w:rFonts w:ascii="宋体" w:eastAsia="宋体" w:hAnsi="宋体" w:cs="Arial" w:hint="eastAsia"/>
          <w:sz w:val="24"/>
          <w:szCs w:val="24"/>
        </w:rPr>
        <w:t>）</w:t>
      </w:r>
      <w:r>
        <w:rPr>
          <w:rFonts w:ascii="宋体" w:eastAsia="宋体" w:hAnsi="宋体" w:cs="微软雅黑" w:hint="eastAsia"/>
          <w:sz w:val="24"/>
          <w:szCs w:val="24"/>
        </w:rPr>
        <w:t>与基金财产有关的重大合同的保管</w:t>
      </w:r>
    </w:p>
    <w:p w14:paraId="293D5EA3" w14:textId="1A1CF240"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由基金管理人代表基金签署的</w:t>
      </w:r>
      <w:r>
        <w:rPr>
          <w:rFonts w:ascii="宋体" w:eastAsia="宋体" w:hAnsi="宋体" w:cs="Malgun Gothic Semilight" w:hint="eastAsia"/>
          <w:sz w:val="24"/>
          <w:szCs w:val="24"/>
        </w:rPr>
        <w:t>、</w:t>
      </w:r>
      <w:r>
        <w:rPr>
          <w:rFonts w:ascii="宋体" w:eastAsia="宋体" w:hAnsi="宋体" w:cs="微软雅黑" w:hint="eastAsia"/>
          <w:sz w:val="24"/>
          <w:szCs w:val="24"/>
        </w:rPr>
        <w:t>与基金有关的重大合同的原件分别由基金管理人</w:t>
      </w:r>
      <w:r>
        <w:rPr>
          <w:rFonts w:ascii="宋体" w:eastAsia="宋体" w:hAnsi="宋体" w:cs="Malgun Gothic Semilight" w:hint="eastAsia"/>
          <w:sz w:val="24"/>
          <w:szCs w:val="24"/>
        </w:rPr>
        <w:t>、</w:t>
      </w:r>
      <w:r>
        <w:rPr>
          <w:rFonts w:ascii="宋体" w:eastAsia="宋体" w:hAnsi="宋体" w:cs="微软雅黑" w:hint="eastAsia"/>
          <w:sz w:val="24"/>
          <w:szCs w:val="24"/>
        </w:rPr>
        <w:t>基金托管人保管</w:t>
      </w:r>
      <w:r>
        <w:rPr>
          <w:rFonts w:ascii="宋体" w:eastAsia="宋体" w:hAnsi="宋体" w:cs="Malgun Gothic Semilight" w:hint="eastAsia"/>
          <w:sz w:val="24"/>
          <w:szCs w:val="24"/>
        </w:rPr>
        <w:t>。</w:t>
      </w:r>
      <w:r>
        <w:rPr>
          <w:rFonts w:ascii="宋体" w:eastAsia="宋体" w:hAnsi="宋体" w:cs="微软雅黑" w:hint="eastAsia"/>
          <w:sz w:val="24"/>
          <w:szCs w:val="24"/>
        </w:rPr>
        <w:t>除本协议另有规定外</w:t>
      </w:r>
      <w:r>
        <w:rPr>
          <w:rFonts w:ascii="宋体" w:eastAsia="宋体" w:hAnsi="宋体" w:cs="Malgun Gothic Semilight" w:hint="eastAsia"/>
          <w:sz w:val="24"/>
          <w:szCs w:val="24"/>
        </w:rPr>
        <w:t>，</w:t>
      </w:r>
      <w:r>
        <w:rPr>
          <w:rFonts w:ascii="宋体" w:eastAsia="宋体" w:hAnsi="宋体" w:cs="微软雅黑" w:hint="eastAsia"/>
          <w:sz w:val="24"/>
          <w:szCs w:val="24"/>
        </w:rPr>
        <w:t>基金管理人在代表基金签署与基金有关的重大合同时应尽量保证基金一方持有两份以上的正本</w:t>
      </w:r>
      <w:r>
        <w:rPr>
          <w:rFonts w:ascii="宋体" w:eastAsia="宋体" w:hAnsi="宋体" w:cs="Malgun Gothic Semilight" w:hint="eastAsia"/>
          <w:sz w:val="24"/>
          <w:szCs w:val="24"/>
        </w:rPr>
        <w:t>，</w:t>
      </w:r>
      <w:r>
        <w:rPr>
          <w:rFonts w:ascii="宋体" w:eastAsia="宋体" w:hAnsi="宋体" w:cs="微软雅黑" w:hint="eastAsia"/>
          <w:sz w:val="24"/>
          <w:szCs w:val="24"/>
        </w:rPr>
        <w:t>以保证基金管理人和基金托管人至少各持有一份正本的原件</w:t>
      </w:r>
      <w:r>
        <w:rPr>
          <w:rFonts w:ascii="宋体" w:eastAsia="宋体" w:hAnsi="宋体" w:cs="Malgun Gothic Semilight" w:hint="eastAsia"/>
          <w:sz w:val="24"/>
          <w:szCs w:val="24"/>
        </w:rPr>
        <w:t>。</w:t>
      </w:r>
      <w:r>
        <w:rPr>
          <w:rFonts w:ascii="宋体" w:eastAsia="宋体" w:hAnsi="宋体" w:cs="微软雅黑" w:hint="eastAsia"/>
          <w:sz w:val="24"/>
          <w:szCs w:val="24"/>
        </w:rPr>
        <w:t>基金管理人应在重大合同签署后及时将重大合同以传真或其它经双方认可的方式发送给基金托管人</w:t>
      </w:r>
      <w:r>
        <w:rPr>
          <w:rFonts w:ascii="宋体" w:eastAsia="宋体" w:hAnsi="宋体" w:cs="Malgun Gothic Semilight" w:hint="eastAsia"/>
          <w:sz w:val="24"/>
          <w:szCs w:val="24"/>
        </w:rPr>
        <w:t>，</w:t>
      </w:r>
      <w:r>
        <w:rPr>
          <w:rFonts w:ascii="宋体" w:eastAsia="宋体" w:hAnsi="宋体" w:cs="微软雅黑" w:hint="eastAsia"/>
          <w:sz w:val="24"/>
          <w:szCs w:val="24"/>
        </w:rPr>
        <w:t>并在三十个工作日内将正本送达基金托管人处</w:t>
      </w:r>
      <w:r>
        <w:rPr>
          <w:rFonts w:ascii="宋体" w:eastAsia="宋体" w:hAnsi="宋体" w:cs="Malgun Gothic Semilight" w:hint="eastAsia"/>
          <w:sz w:val="24"/>
          <w:szCs w:val="24"/>
        </w:rPr>
        <w:t>。</w:t>
      </w:r>
      <w:r>
        <w:rPr>
          <w:rFonts w:ascii="宋体" w:eastAsia="宋体" w:hAnsi="宋体" w:cs="微软雅黑" w:hint="eastAsia"/>
          <w:sz w:val="24"/>
          <w:szCs w:val="24"/>
        </w:rPr>
        <w:t>重大合同的保管期限按照法律法规的规定执行</w:t>
      </w:r>
      <w:r>
        <w:rPr>
          <w:rFonts w:ascii="宋体" w:eastAsia="宋体" w:hAnsi="宋体" w:cs="Arial" w:hint="eastAsia"/>
          <w:sz w:val="24"/>
          <w:szCs w:val="24"/>
        </w:rPr>
        <w:t>。</w:t>
      </w:r>
    </w:p>
    <w:p w14:paraId="4EE1447A"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对于无法取得二份以上的正本的，基金管理人应向基金托管人提供加盖公章或授权业务章的合同复印件或扫描件，未经双方协商或未在合同约定范围内，合同原件不得转移。</w:t>
      </w:r>
    </w:p>
    <w:p w14:paraId="330CDC88" w14:textId="77777777" w:rsidR="00F012EE" w:rsidRDefault="00F012EE">
      <w:pPr>
        <w:spacing w:line="360" w:lineRule="auto"/>
        <w:rPr>
          <w:rFonts w:ascii="宋体" w:eastAsia="宋体" w:hAnsi="宋体" w:cs="Times New Roman"/>
          <w:sz w:val="24"/>
          <w:szCs w:val="24"/>
        </w:rPr>
      </w:pPr>
    </w:p>
    <w:p w14:paraId="0F750994" w14:textId="77777777" w:rsidR="00F012EE" w:rsidRDefault="00477FBC">
      <w:pPr>
        <w:keepNext/>
        <w:keepLines/>
        <w:spacing w:before="260" w:after="260" w:line="360" w:lineRule="auto"/>
        <w:jc w:val="center"/>
        <w:outlineLvl w:val="1"/>
        <w:rPr>
          <w:rFonts w:ascii="宋体" w:eastAsia="宋体" w:hAnsi="宋体" w:cs="Times New Roman"/>
          <w:b/>
          <w:sz w:val="30"/>
          <w:szCs w:val="20"/>
        </w:rPr>
      </w:pPr>
      <w:bookmarkStart w:id="46" w:name="_Toc110765662"/>
      <w:bookmarkStart w:id="47" w:name="_Toc84234389"/>
      <w:bookmarkStart w:id="48" w:name="_Toc86225293"/>
      <w:bookmarkStart w:id="49" w:name="_Toc86223244"/>
      <w:bookmarkStart w:id="50" w:name="_Toc118774805"/>
      <w:bookmarkStart w:id="51" w:name="_Toc84133787"/>
      <w:bookmarkStart w:id="52" w:name="_Toc86204790"/>
      <w:bookmarkStart w:id="53" w:name="_Toc118972650"/>
      <w:bookmarkStart w:id="54" w:name="_Toc124325890"/>
      <w:bookmarkStart w:id="55" w:name="_Toc108512360"/>
      <w:bookmarkStart w:id="56" w:name="_Toc110830494"/>
      <w:bookmarkStart w:id="57" w:name="_Toc84234436"/>
      <w:bookmarkStart w:id="58" w:name="_Toc110761798"/>
      <w:bookmarkStart w:id="59" w:name="_Toc119402712"/>
      <w:bookmarkStart w:id="60" w:name="_Toc86737931"/>
      <w:bookmarkStart w:id="61" w:name="_Toc118212952"/>
      <w:bookmarkStart w:id="62" w:name="_Toc86649724"/>
      <w:bookmarkStart w:id="63" w:name="_Toc86727357"/>
      <w:bookmarkStart w:id="64" w:name="_Toc86726441"/>
      <w:bookmarkStart w:id="65" w:name="_Toc89163370"/>
      <w:bookmarkStart w:id="66" w:name="_Toc120435785"/>
      <w:r>
        <w:rPr>
          <w:rFonts w:ascii="宋体" w:eastAsia="宋体" w:hAnsi="宋体" w:cs="微软雅黑" w:hint="eastAsia"/>
          <w:b/>
          <w:sz w:val="30"/>
          <w:szCs w:val="20"/>
        </w:rPr>
        <w:t>六</w:t>
      </w:r>
      <w:r>
        <w:rPr>
          <w:rFonts w:ascii="宋体" w:eastAsia="宋体" w:hAnsi="宋体" w:cs="Malgun Gothic Semilight" w:hint="eastAsia"/>
          <w:b/>
          <w:sz w:val="30"/>
          <w:szCs w:val="20"/>
        </w:rPr>
        <w:t>、</w:t>
      </w:r>
      <w:r>
        <w:rPr>
          <w:rFonts w:ascii="宋体" w:eastAsia="宋体" w:hAnsi="宋体" w:cs="微软雅黑" w:hint="eastAsia"/>
          <w:b/>
          <w:sz w:val="30"/>
          <w:szCs w:val="20"/>
        </w:rPr>
        <w:t>指令的发送</w:t>
      </w:r>
      <w:r>
        <w:rPr>
          <w:rFonts w:ascii="宋体" w:eastAsia="宋体" w:hAnsi="宋体" w:cs="Malgun Gothic Semilight" w:hint="eastAsia"/>
          <w:b/>
          <w:sz w:val="30"/>
          <w:szCs w:val="20"/>
        </w:rPr>
        <w:t>、</w:t>
      </w:r>
      <w:r>
        <w:rPr>
          <w:rFonts w:ascii="宋体" w:eastAsia="宋体" w:hAnsi="宋体" w:cs="微软雅黑" w:hint="eastAsia"/>
          <w:b/>
          <w:sz w:val="30"/>
          <w:szCs w:val="20"/>
        </w:rPr>
        <w:t>确认及执行</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17FD20C6" w14:textId="77777777" w:rsidR="00F012EE" w:rsidRDefault="00477FBC">
      <w:pPr>
        <w:adjustRightInd w:val="0"/>
        <w:snapToGrid w:val="0"/>
        <w:spacing w:line="360" w:lineRule="auto"/>
        <w:ind w:firstLine="480"/>
        <w:rPr>
          <w:rFonts w:ascii="宋体" w:eastAsia="宋体" w:hAnsi="宋体" w:cs="微软雅黑"/>
          <w:sz w:val="24"/>
          <w:szCs w:val="24"/>
        </w:rPr>
      </w:pPr>
      <w:r>
        <w:rPr>
          <w:rFonts w:ascii="宋体" w:eastAsia="宋体" w:hAnsi="宋体" w:cs="微软雅黑" w:hint="eastAsia"/>
          <w:sz w:val="24"/>
          <w:szCs w:val="24"/>
        </w:rPr>
        <w:t>基金管理人在运用基金财产开展场内证券交易前，基金管理人通过基金托管资金账户与证券资金账户已建立的第三方存管系统在基金托管资金账户与证券资金账户之间划款，</w:t>
      </w:r>
      <w:proofErr w:type="gramStart"/>
      <w:r>
        <w:rPr>
          <w:rFonts w:ascii="宋体" w:eastAsia="宋体" w:hAnsi="宋体" w:cs="微软雅黑" w:hint="eastAsia"/>
          <w:sz w:val="24"/>
          <w:szCs w:val="24"/>
        </w:rPr>
        <w:t>即银证互</w:t>
      </w:r>
      <w:proofErr w:type="gramEnd"/>
      <w:r>
        <w:rPr>
          <w:rFonts w:ascii="宋体" w:eastAsia="宋体" w:hAnsi="宋体" w:cs="微软雅黑" w:hint="eastAsia"/>
          <w:sz w:val="24"/>
          <w:szCs w:val="24"/>
        </w:rPr>
        <w:t>转。</w:t>
      </w:r>
    </w:p>
    <w:p w14:paraId="64DF13A2"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微软雅黑" w:hint="eastAsia"/>
          <w:sz w:val="24"/>
          <w:szCs w:val="24"/>
        </w:rPr>
        <w:t>基金管理人在运用基金财产时向基金托管人发送</w:t>
      </w:r>
      <w:proofErr w:type="gramStart"/>
      <w:r>
        <w:rPr>
          <w:rFonts w:ascii="宋体" w:eastAsia="宋体" w:hAnsi="宋体" w:cs="微软雅黑" w:hint="eastAsia"/>
          <w:sz w:val="24"/>
          <w:szCs w:val="24"/>
        </w:rPr>
        <w:t>银证互转</w:t>
      </w:r>
      <w:proofErr w:type="gramEnd"/>
      <w:r>
        <w:rPr>
          <w:rFonts w:ascii="宋体" w:eastAsia="宋体" w:hAnsi="宋体" w:cs="微软雅黑" w:hint="eastAsia"/>
          <w:sz w:val="24"/>
          <w:szCs w:val="24"/>
        </w:rPr>
        <w:t>、资金划拨及其他款项付款指令</w:t>
      </w:r>
      <w:r>
        <w:rPr>
          <w:rFonts w:ascii="宋体" w:eastAsia="宋体" w:hAnsi="宋体" w:cs="Malgun Gothic Semilight" w:hint="eastAsia"/>
          <w:sz w:val="24"/>
          <w:szCs w:val="24"/>
        </w:rPr>
        <w:t>，</w:t>
      </w:r>
      <w:r>
        <w:rPr>
          <w:rFonts w:ascii="宋体" w:eastAsia="宋体" w:hAnsi="宋体" w:cs="微软雅黑" w:hint="eastAsia"/>
          <w:sz w:val="24"/>
          <w:szCs w:val="24"/>
        </w:rPr>
        <w:t>基金托管人执行基金管理人的指令</w:t>
      </w:r>
      <w:r>
        <w:rPr>
          <w:rFonts w:ascii="宋体" w:eastAsia="宋体" w:hAnsi="宋体" w:cs="Malgun Gothic Semilight" w:hint="eastAsia"/>
          <w:sz w:val="24"/>
          <w:szCs w:val="24"/>
        </w:rPr>
        <w:t>、</w:t>
      </w:r>
      <w:r>
        <w:rPr>
          <w:rFonts w:ascii="宋体" w:eastAsia="宋体" w:hAnsi="宋体" w:cs="微软雅黑" w:hint="eastAsia"/>
          <w:sz w:val="24"/>
          <w:szCs w:val="24"/>
        </w:rPr>
        <w:t>办理基金名下的资金往来等有关事项</w:t>
      </w:r>
      <w:r>
        <w:rPr>
          <w:rFonts w:ascii="宋体" w:eastAsia="宋体" w:hAnsi="宋体" w:cs="Malgun Gothic Semilight" w:hint="eastAsia"/>
          <w:sz w:val="24"/>
          <w:szCs w:val="24"/>
        </w:rPr>
        <w:t>。</w:t>
      </w:r>
    </w:p>
    <w:p w14:paraId="5D012789"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一</w:t>
      </w:r>
      <w:r>
        <w:rPr>
          <w:rFonts w:ascii="宋体" w:eastAsia="宋体" w:hAnsi="宋体" w:cs="Malgun Gothic Semilight" w:hint="eastAsia"/>
          <w:sz w:val="24"/>
          <w:szCs w:val="24"/>
        </w:rPr>
        <w:t>）</w:t>
      </w:r>
      <w:r>
        <w:rPr>
          <w:rFonts w:ascii="宋体" w:eastAsia="宋体" w:hAnsi="宋体" w:cs="微软雅黑" w:hint="eastAsia"/>
          <w:sz w:val="24"/>
          <w:szCs w:val="24"/>
        </w:rPr>
        <w:t>基金管理人对发送指令人员的书面授权</w:t>
      </w:r>
    </w:p>
    <w:p w14:paraId="10568C03" w14:textId="4E464387" w:rsidR="00F012EE" w:rsidRPr="00807A46" w:rsidRDefault="00477FBC">
      <w:pPr>
        <w:adjustRightInd w:val="0"/>
        <w:snapToGrid w:val="0"/>
        <w:spacing w:line="360" w:lineRule="auto"/>
        <w:ind w:firstLine="480"/>
        <w:rPr>
          <w:rFonts w:ascii="宋体" w:eastAsia="宋体" w:hAnsi="宋体" w:cs="微软雅黑"/>
          <w:sz w:val="24"/>
          <w:szCs w:val="24"/>
        </w:rPr>
      </w:pPr>
      <w:r w:rsidRPr="00807A46">
        <w:rPr>
          <w:rFonts w:ascii="宋体" w:eastAsia="宋体" w:hAnsi="宋体" w:cs="微软雅黑" w:hint="eastAsia"/>
          <w:sz w:val="24"/>
          <w:szCs w:val="24"/>
        </w:rPr>
        <w:t>本合同签署生效后，</w:t>
      </w:r>
      <w:r w:rsidR="00807A46">
        <w:rPr>
          <w:rFonts w:ascii="宋体" w:eastAsia="宋体" w:hAnsi="宋体" w:cs="微软雅黑" w:hint="eastAsia"/>
          <w:sz w:val="24"/>
          <w:szCs w:val="24"/>
        </w:rPr>
        <w:t>基金</w:t>
      </w:r>
      <w:r w:rsidRPr="00807A46">
        <w:rPr>
          <w:rFonts w:ascii="宋体" w:eastAsia="宋体" w:hAnsi="宋体" w:cs="微软雅黑" w:hint="eastAsia"/>
          <w:sz w:val="24"/>
          <w:szCs w:val="24"/>
        </w:rPr>
        <w:t>管理人应向</w:t>
      </w:r>
      <w:r w:rsidR="00807A46">
        <w:rPr>
          <w:rFonts w:ascii="宋体" w:eastAsia="宋体" w:hAnsi="宋体" w:cs="微软雅黑" w:hint="eastAsia"/>
          <w:sz w:val="24"/>
          <w:szCs w:val="24"/>
        </w:rPr>
        <w:t>基金</w:t>
      </w:r>
      <w:r w:rsidRPr="00807A46">
        <w:rPr>
          <w:rFonts w:ascii="宋体" w:eastAsia="宋体" w:hAnsi="宋体" w:cs="微软雅黑" w:hint="eastAsia"/>
          <w:sz w:val="24"/>
          <w:szCs w:val="24"/>
        </w:rPr>
        <w:t>托管人提供授权代表签字与印鉴样本通知书（以下简称“授权文件”），内容包括被授权人名单、预留印鉴及被授权</w:t>
      </w:r>
      <w:r w:rsidRPr="00807A46">
        <w:rPr>
          <w:rFonts w:ascii="宋体" w:eastAsia="宋体" w:hAnsi="宋体" w:cs="微软雅黑" w:hint="eastAsia"/>
          <w:sz w:val="24"/>
          <w:szCs w:val="24"/>
        </w:rPr>
        <w:lastRenderedPageBreak/>
        <w:t>人签字样本，授权文件应注明被授权人相应的权限，授权文件应加盖单位公章。</w:t>
      </w:r>
    </w:p>
    <w:p w14:paraId="63460F60" w14:textId="6107A7DF" w:rsidR="00F012EE" w:rsidRPr="00807A46" w:rsidRDefault="00807A46">
      <w:pPr>
        <w:adjustRightInd w:val="0"/>
        <w:snapToGrid w:val="0"/>
        <w:spacing w:line="360" w:lineRule="auto"/>
        <w:ind w:firstLine="480"/>
        <w:rPr>
          <w:rFonts w:ascii="宋体" w:eastAsia="宋体" w:hAnsi="宋体" w:cs="微软雅黑"/>
          <w:sz w:val="24"/>
          <w:szCs w:val="24"/>
        </w:rPr>
      </w:pPr>
      <w:r>
        <w:rPr>
          <w:rFonts w:ascii="宋体" w:eastAsia="宋体" w:hAnsi="宋体" w:cs="微软雅黑" w:hint="eastAsia"/>
          <w:sz w:val="24"/>
          <w:szCs w:val="24"/>
        </w:rPr>
        <w:t>基金</w:t>
      </w:r>
      <w:r w:rsidR="00477FBC" w:rsidRPr="00807A46">
        <w:rPr>
          <w:rFonts w:ascii="宋体" w:eastAsia="宋体" w:hAnsi="宋体" w:cs="微软雅黑" w:hint="eastAsia"/>
          <w:sz w:val="24"/>
          <w:szCs w:val="24"/>
        </w:rPr>
        <w:t>管理人应将“授权文件”原件在生效前寄送</w:t>
      </w:r>
      <w:r>
        <w:rPr>
          <w:rFonts w:ascii="宋体" w:eastAsia="宋体" w:hAnsi="宋体" w:cs="微软雅黑" w:hint="eastAsia"/>
          <w:sz w:val="24"/>
          <w:szCs w:val="24"/>
        </w:rPr>
        <w:t>基金</w:t>
      </w:r>
      <w:r w:rsidR="00477FBC" w:rsidRPr="00807A46">
        <w:rPr>
          <w:rFonts w:ascii="宋体" w:eastAsia="宋体" w:hAnsi="宋体" w:cs="微软雅黑" w:hint="eastAsia"/>
          <w:sz w:val="24"/>
          <w:szCs w:val="24"/>
        </w:rPr>
        <w:t>托管人，</w:t>
      </w:r>
      <w:r>
        <w:rPr>
          <w:rFonts w:ascii="宋体" w:eastAsia="宋体" w:hAnsi="宋体" w:cs="微软雅黑" w:hint="eastAsia"/>
          <w:sz w:val="24"/>
          <w:szCs w:val="24"/>
        </w:rPr>
        <w:t>基金</w:t>
      </w:r>
      <w:r w:rsidR="00477FBC" w:rsidRPr="00807A46">
        <w:rPr>
          <w:rFonts w:ascii="宋体" w:eastAsia="宋体" w:hAnsi="宋体" w:cs="微软雅黑" w:hint="eastAsia"/>
          <w:sz w:val="24"/>
          <w:szCs w:val="24"/>
        </w:rPr>
        <w:t>托管人在收到授权文件原件并经</w:t>
      </w:r>
      <w:r>
        <w:rPr>
          <w:rFonts w:ascii="宋体" w:eastAsia="宋体" w:hAnsi="宋体" w:cs="微软雅黑" w:hint="eastAsia"/>
          <w:sz w:val="24"/>
          <w:szCs w:val="24"/>
        </w:rPr>
        <w:t>基金</w:t>
      </w:r>
      <w:r w:rsidR="00477FBC" w:rsidRPr="00807A46">
        <w:rPr>
          <w:rFonts w:ascii="宋体" w:eastAsia="宋体" w:hAnsi="宋体" w:cs="微软雅黑" w:hint="eastAsia"/>
          <w:sz w:val="24"/>
          <w:szCs w:val="24"/>
        </w:rPr>
        <w:t>管理人确认后，授权文件即生效。如果授权文件中载明具体生效时间的，该生效时间不得早于</w:t>
      </w:r>
      <w:r>
        <w:rPr>
          <w:rFonts w:ascii="宋体" w:eastAsia="宋体" w:hAnsi="宋体" w:cs="微软雅黑" w:hint="eastAsia"/>
          <w:sz w:val="24"/>
          <w:szCs w:val="24"/>
        </w:rPr>
        <w:t>基金</w:t>
      </w:r>
      <w:r w:rsidR="00477FBC" w:rsidRPr="00807A46">
        <w:rPr>
          <w:rFonts w:ascii="宋体" w:eastAsia="宋体" w:hAnsi="宋体" w:cs="微软雅黑" w:hint="eastAsia"/>
          <w:sz w:val="24"/>
          <w:szCs w:val="24"/>
        </w:rPr>
        <w:t>托管人收到授权文件并经确认的时点。如早于，则以</w:t>
      </w:r>
      <w:r>
        <w:rPr>
          <w:rFonts w:ascii="宋体" w:eastAsia="宋体" w:hAnsi="宋体" w:cs="微软雅黑" w:hint="eastAsia"/>
          <w:sz w:val="24"/>
          <w:szCs w:val="24"/>
        </w:rPr>
        <w:t>基金</w:t>
      </w:r>
      <w:r w:rsidR="00477FBC" w:rsidRPr="00807A46">
        <w:rPr>
          <w:rFonts w:ascii="宋体" w:eastAsia="宋体" w:hAnsi="宋体" w:cs="微软雅黑" w:hint="eastAsia"/>
          <w:sz w:val="24"/>
          <w:szCs w:val="24"/>
        </w:rPr>
        <w:t>托管人收到授权文件并经确认的时点为授权文件的生效时间。</w:t>
      </w:r>
    </w:p>
    <w:p w14:paraId="11C8D03C" w14:textId="18B2CE40" w:rsidR="00F012EE" w:rsidRPr="00807A46" w:rsidRDefault="00477FBC">
      <w:pPr>
        <w:adjustRightInd w:val="0"/>
        <w:snapToGrid w:val="0"/>
        <w:spacing w:line="360" w:lineRule="auto"/>
        <w:ind w:firstLine="480"/>
        <w:rPr>
          <w:rFonts w:ascii="宋体" w:eastAsia="宋体" w:hAnsi="宋体" w:cs="微软雅黑"/>
          <w:sz w:val="24"/>
          <w:szCs w:val="24"/>
        </w:rPr>
      </w:pPr>
      <w:r w:rsidRPr="00807A46">
        <w:rPr>
          <w:rFonts w:ascii="宋体" w:eastAsia="宋体" w:hAnsi="宋体" w:cs="微软雅黑" w:hint="eastAsia"/>
          <w:sz w:val="24"/>
          <w:szCs w:val="24"/>
        </w:rPr>
        <w:t>特殊情况下，经</w:t>
      </w:r>
      <w:r w:rsidR="00807A46">
        <w:rPr>
          <w:rFonts w:ascii="宋体" w:eastAsia="宋体" w:hAnsi="宋体" w:cs="微软雅黑" w:hint="eastAsia"/>
          <w:sz w:val="24"/>
          <w:szCs w:val="24"/>
        </w:rPr>
        <w:t>基金</w:t>
      </w:r>
      <w:r w:rsidRPr="00807A46">
        <w:rPr>
          <w:rFonts w:ascii="宋体" w:eastAsia="宋体" w:hAnsi="宋体" w:cs="微软雅黑" w:hint="eastAsia"/>
          <w:sz w:val="24"/>
          <w:szCs w:val="24"/>
        </w:rPr>
        <w:t>托管人同意，</w:t>
      </w:r>
      <w:r w:rsidR="00807A46">
        <w:rPr>
          <w:rFonts w:ascii="宋体" w:eastAsia="宋体" w:hAnsi="宋体" w:cs="微软雅黑" w:hint="eastAsia"/>
          <w:sz w:val="24"/>
          <w:szCs w:val="24"/>
        </w:rPr>
        <w:t>基金</w:t>
      </w:r>
      <w:r w:rsidRPr="00807A46">
        <w:rPr>
          <w:rFonts w:ascii="宋体" w:eastAsia="宋体" w:hAnsi="宋体" w:cs="微软雅黑" w:hint="eastAsia"/>
          <w:sz w:val="24"/>
          <w:szCs w:val="24"/>
        </w:rPr>
        <w:t>管理人可至少提前一个工作日将授权文件以邮件发送扫描件的方式先行通知</w:t>
      </w:r>
      <w:r w:rsidR="00807A46">
        <w:rPr>
          <w:rFonts w:ascii="宋体" w:eastAsia="宋体" w:hAnsi="宋体" w:cs="微软雅黑" w:hint="eastAsia"/>
          <w:sz w:val="24"/>
          <w:szCs w:val="24"/>
        </w:rPr>
        <w:t>基金</w:t>
      </w:r>
      <w:r w:rsidRPr="00807A46">
        <w:rPr>
          <w:rFonts w:ascii="宋体" w:eastAsia="宋体" w:hAnsi="宋体" w:cs="微软雅黑" w:hint="eastAsia"/>
          <w:sz w:val="24"/>
          <w:szCs w:val="24"/>
        </w:rPr>
        <w:t>托管人并确认生效。授权文件原件应在邮件发送后</w:t>
      </w:r>
      <w:r w:rsidRPr="00807A46">
        <w:rPr>
          <w:rFonts w:ascii="宋体" w:eastAsia="宋体" w:hAnsi="宋体" w:cs="微软雅黑"/>
          <w:sz w:val="24"/>
          <w:szCs w:val="24"/>
        </w:rPr>
        <w:t>7个工作日内送达</w:t>
      </w:r>
      <w:r w:rsidR="00807A46">
        <w:rPr>
          <w:rFonts w:ascii="宋体" w:eastAsia="宋体" w:hAnsi="宋体" w:cs="微软雅黑" w:hint="eastAsia"/>
          <w:sz w:val="24"/>
          <w:szCs w:val="24"/>
        </w:rPr>
        <w:t>基金</w:t>
      </w:r>
      <w:r w:rsidRPr="00807A46">
        <w:rPr>
          <w:rFonts w:ascii="宋体" w:eastAsia="宋体" w:hAnsi="宋体" w:cs="微软雅黑"/>
          <w:sz w:val="24"/>
          <w:szCs w:val="24"/>
        </w:rPr>
        <w:t>托管人。授权文件生效之后，原件送达之前，</w:t>
      </w:r>
      <w:r w:rsidR="00807A46">
        <w:rPr>
          <w:rFonts w:ascii="宋体" w:eastAsia="宋体" w:hAnsi="宋体" w:cs="微软雅黑" w:hint="eastAsia"/>
          <w:sz w:val="24"/>
          <w:szCs w:val="24"/>
        </w:rPr>
        <w:t>基金</w:t>
      </w:r>
      <w:r w:rsidRPr="00807A46">
        <w:rPr>
          <w:rFonts w:ascii="宋体" w:eastAsia="宋体" w:hAnsi="宋体" w:cs="微软雅黑"/>
          <w:sz w:val="24"/>
          <w:szCs w:val="24"/>
        </w:rPr>
        <w:t>托管人按照新授权文件扫描</w:t>
      </w:r>
      <w:proofErr w:type="gramStart"/>
      <w:r w:rsidRPr="00807A46">
        <w:rPr>
          <w:rFonts w:ascii="宋体" w:eastAsia="宋体" w:hAnsi="宋体" w:cs="微软雅黑"/>
          <w:sz w:val="24"/>
          <w:szCs w:val="24"/>
        </w:rPr>
        <w:t>件内容</w:t>
      </w:r>
      <w:proofErr w:type="gramEnd"/>
      <w:r w:rsidRPr="00807A46">
        <w:rPr>
          <w:rFonts w:ascii="宋体" w:eastAsia="宋体" w:hAnsi="宋体" w:cs="微软雅黑"/>
          <w:sz w:val="24"/>
          <w:szCs w:val="24"/>
        </w:rPr>
        <w:t>执行有关业务，如果授权文件原件与</w:t>
      </w:r>
      <w:r w:rsidR="00807A46">
        <w:rPr>
          <w:rFonts w:ascii="宋体" w:eastAsia="宋体" w:hAnsi="宋体" w:cs="微软雅黑" w:hint="eastAsia"/>
          <w:sz w:val="24"/>
          <w:szCs w:val="24"/>
        </w:rPr>
        <w:t>基金</w:t>
      </w:r>
      <w:r w:rsidRPr="00807A46">
        <w:rPr>
          <w:rFonts w:ascii="宋体" w:eastAsia="宋体" w:hAnsi="宋体" w:cs="微软雅黑"/>
          <w:sz w:val="24"/>
          <w:szCs w:val="24"/>
        </w:rPr>
        <w:t>托管人收到的扫描件不同，由此产生的责任由</w:t>
      </w:r>
      <w:r w:rsidR="00807A46">
        <w:rPr>
          <w:rFonts w:ascii="宋体" w:eastAsia="宋体" w:hAnsi="宋体" w:cs="微软雅黑" w:hint="eastAsia"/>
          <w:sz w:val="24"/>
          <w:szCs w:val="24"/>
        </w:rPr>
        <w:t>基金</w:t>
      </w:r>
      <w:r w:rsidRPr="00807A46">
        <w:rPr>
          <w:rFonts w:ascii="宋体" w:eastAsia="宋体" w:hAnsi="宋体" w:cs="微软雅黑"/>
          <w:sz w:val="24"/>
          <w:szCs w:val="24"/>
        </w:rPr>
        <w:t>管理人承担。</w:t>
      </w:r>
    </w:p>
    <w:p w14:paraId="5FE95906" w14:textId="763F197C" w:rsidR="00F012EE" w:rsidRPr="00807A46" w:rsidRDefault="00807A46">
      <w:pPr>
        <w:adjustRightInd w:val="0"/>
        <w:snapToGrid w:val="0"/>
        <w:spacing w:line="360" w:lineRule="auto"/>
        <w:ind w:firstLine="480"/>
        <w:rPr>
          <w:rFonts w:ascii="宋体" w:eastAsia="宋体" w:hAnsi="宋体" w:cs="微软雅黑"/>
          <w:sz w:val="24"/>
          <w:szCs w:val="24"/>
        </w:rPr>
      </w:pPr>
      <w:r>
        <w:rPr>
          <w:rFonts w:ascii="宋体" w:eastAsia="宋体" w:hAnsi="宋体" w:cs="微软雅黑" w:hint="eastAsia"/>
          <w:sz w:val="24"/>
          <w:szCs w:val="24"/>
        </w:rPr>
        <w:t>基金</w:t>
      </w:r>
      <w:r w:rsidR="00477FBC" w:rsidRPr="00807A46">
        <w:rPr>
          <w:rFonts w:ascii="宋体" w:eastAsia="宋体" w:hAnsi="宋体" w:cs="微软雅黑" w:hint="eastAsia"/>
          <w:sz w:val="24"/>
          <w:szCs w:val="24"/>
        </w:rPr>
        <w:t>管理人更换被授权人、更改或终止对被授权人的授权、变更预留印鉴应按上述要求提供新的授权文件。在授权变更生效前，</w:t>
      </w:r>
      <w:r>
        <w:rPr>
          <w:rFonts w:ascii="宋体" w:eastAsia="宋体" w:hAnsi="宋体" w:cs="微软雅黑" w:hint="eastAsia"/>
          <w:sz w:val="24"/>
          <w:szCs w:val="24"/>
        </w:rPr>
        <w:t>基金</w:t>
      </w:r>
      <w:r w:rsidR="00477FBC" w:rsidRPr="00807A46">
        <w:rPr>
          <w:rFonts w:ascii="宋体" w:eastAsia="宋体" w:hAnsi="宋体" w:cs="微软雅黑" w:hint="eastAsia"/>
          <w:sz w:val="24"/>
          <w:szCs w:val="24"/>
        </w:rPr>
        <w:t>托管人仍应按原授权文件执行指令，</w:t>
      </w:r>
      <w:r>
        <w:rPr>
          <w:rFonts w:ascii="宋体" w:eastAsia="宋体" w:hAnsi="宋体" w:cs="微软雅黑" w:hint="eastAsia"/>
          <w:sz w:val="24"/>
          <w:szCs w:val="24"/>
        </w:rPr>
        <w:t>基金</w:t>
      </w:r>
      <w:r w:rsidR="00477FBC" w:rsidRPr="00807A46">
        <w:rPr>
          <w:rFonts w:ascii="宋体" w:eastAsia="宋体" w:hAnsi="宋体" w:cs="微软雅黑" w:hint="eastAsia"/>
          <w:sz w:val="24"/>
          <w:szCs w:val="24"/>
        </w:rPr>
        <w:t>管理人不得否认其效力。</w:t>
      </w:r>
    </w:p>
    <w:p w14:paraId="16F9A2F0" w14:textId="0C835DB2" w:rsidR="00F012EE" w:rsidRDefault="00807A46">
      <w:pPr>
        <w:adjustRightInd w:val="0"/>
        <w:snapToGrid w:val="0"/>
        <w:spacing w:line="360" w:lineRule="auto"/>
        <w:ind w:firstLine="480"/>
        <w:rPr>
          <w:rFonts w:ascii="宋体" w:eastAsia="宋体" w:hAnsi="宋体" w:cs="Arial"/>
          <w:sz w:val="24"/>
          <w:szCs w:val="24"/>
        </w:rPr>
      </w:pPr>
      <w:r>
        <w:rPr>
          <w:rFonts w:ascii="宋体" w:eastAsia="宋体" w:hAnsi="宋体" w:cs="微软雅黑" w:hint="eastAsia"/>
          <w:sz w:val="24"/>
          <w:szCs w:val="24"/>
        </w:rPr>
        <w:t>基金</w:t>
      </w:r>
      <w:r w:rsidR="00477FBC" w:rsidRPr="00807A46">
        <w:rPr>
          <w:rFonts w:ascii="宋体" w:eastAsia="宋体" w:hAnsi="宋体" w:cs="微软雅黑" w:hint="eastAsia"/>
          <w:sz w:val="24"/>
          <w:szCs w:val="24"/>
        </w:rPr>
        <w:t>托管人更换接受</w:t>
      </w:r>
      <w:r>
        <w:rPr>
          <w:rFonts w:ascii="宋体" w:eastAsia="宋体" w:hAnsi="宋体" w:cs="微软雅黑" w:hint="eastAsia"/>
          <w:sz w:val="24"/>
          <w:szCs w:val="24"/>
        </w:rPr>
        <w:t>基金</w:t>
      </w:r>
      <w:r w:rsidR="00477FBC" w:rsidRPr="00807A46">
        <w:rPr>
          <w:rFonts w:ascii="宋体" w:eastAsia="宋体" w:hAnsi="宋体" w:cs="微软雅黑" w:hint="eastAsia"/>
          <w:sz w:val="24"/>
          <w:szCs w:val="24"/>
        </w:rPr>
        <w:t>管理人指令的传真号或邮箱地址，应提前通知</w:t>
      </w:r>
      <w:r>
        <w:rPr>
          <w:rFonts w:ascii="宋体" w:eastAsia="宋体" w:hAnsi="宋体" w:cs="微软雅黑" w:hint="eastAsia"/>
          <w:sz w:val="24"/>
          <w:szCs w:val="24"/>
        </w:rPr>
        <w:t>基金</w:t>
      </w:r>
      <w:r w:rsidR="00477FBC" w:rsidRPr="00807A46">
        <w:rPr>
          <w:rFonts w:ascii="宋体" w:eastAsia="宋体" w:hAnsi="宋体" w:cs="微软雅黑" w:hint="eastAsia"/>
          <w:sz w:val="24"/>
          <w:szCs w:val="24"/>
        </w:rPr>
        <w:t>管理人。</w:t>
      </w:r>
      <w:r w:rsidR="00477FBC">
        <w:rPr>
          <w:rFonts w:ascii="宋体" w:eastAsia="宋体" w:hAnsi="宋体" w:cs="微软雅黑" w:hint="eastAsia"/>
          <w:sz w:val="24"/>
          <w:szCs w:val="24"/>
        </w:rPr>
        <w:t>基金管理人和基金托管人对授权文件负有保密义务</w:t>
      </w:r>
      <w:r w:rsidR="00477FBC">
        <w:rPr>
          <w:rFonts w:ascii="宋体" w:eastAsia="宋体" w:hAnsi="宋体" w:cs="Malgun Gothic Semilight" w:hint="eastAsia"/>
          <w:sz w:val="24"/>
          <w:szCs w:val="24"/>
        </w:rPr>
        <w:t>，</w:t>
      </w:r>
      <w:r w:rsidR="00477FBC">
        <w:rPr>
          <w:rFonts w:ascii="宋体" w:eastAsia="宋体" w:hAnsi="宋体" w:cs="微软雅黑" w:hint="eastAsia"/>
          <w:sz w:val="24"/>
          <w:szCs w:val="24"/>
        </w:rPr>
        <w:t>其内容不得向被授权人及相关操作人员以外的任何人泄露</w:t>
      </w:r>
      <w:r w:rsidR="00477FBC">
        <w:rPr>
          <w:rFonts w:ascii="宋体" w:eastAsia="宋体" w:hAnsi="宋体" w:cs="Malgun Gothic Semilight" w:hint="eastAsia"/>
          <w:sz w:val="24"/>
          <w:szCs w:val="24"/>
        </w:rPr>
        <w:t>，</w:t>
      </w:r>
      <w:r w:rsidR="00477FBC">
        <w:rPr>
          <w:rFonts w:ascii="宋体" w:eastAsia="宋体" w:hAnsi="宋体" w:cs="微软雅黑" w:hint="eastAsia"/>
          <w:sz w:val="24"/>
          <w:szCs w:val="24"/>
        </w:rPr>
        <w:t>但法律法规另有规定或有权机关另有要求的除外</w:t>
      </w:r>
      <w:r w:rsidR="00477FBC">
        <w:rPr>
          <w:rFonts w:ascii="宋体" w:eastAsia="宋体" w:hAnsi="宋体" w:cs="Malgun Gothic Semilight" w:hint="eastAsia"/>
          <w:sz w:val="24"/>
          <w:szCs w:val="24"/>
        </w:rPr>
        <w:t>。</w:t>
      </w:r>
    </w:p>
    <w:p w14:paraId="01EC92FB"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二</w:t>
      </w:r>
      <w:r>
        <w:rPr>
          <w:rFonts w:ascii="宋体" w:eastAsia="宋体" w:hAnsi="宋体" w:cs="Malgun Gothic Semilight" w:hint="eastAsia"/>
          <w:sz w:val="24"/>
          <w:szCs w:val="24"/>
        </w:rPr>
        <w:t>）</w:t>
      </w:r>
      <w:r>
        <w:rPr>
          <w:rFonts w:ascii="宋体" w:eastAsia="宋体" w:hAnsi="宋体" w:cs="微软雅黑" w:hint="eastAsia"/>
          <w:sz w:val="24"/>
          <w:szCs w:val="24"/>
        </w:rPr>
        <w:t>指令的内容</w:t>
      </w:r>
    </w:p>
    <w:p w14:paraId="6BCF46BA"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1.</w:t>
      </w:r>
      <w:r>
        <w:rPr>
          <w:rFonts w:ascii="宋体" w:eastAsia="宋体" w:hAnsi="宋体" w:cs="微软雅黑" w:hint="eastAsia"/>
          <w:sz w:val="24"/>
          <w:szCs w:val="24"/>
        </w:rPr>
        <w:t>指令包括付款指令以及其他资金划拨指令等</w:t>
      </w:r>
      <w:r>
        <w:rPr>
          <w:rFonts w:ascii="宋体" w:eastAsia="宋体" w:hAnsi="宋体" w:cs="Malgun Gothic Semilight" w:hint="eastAsia"/>
          <w:sz w:val="24"/>
          <w:szCs w:val="24"/>
        </w:rPr>
        <w:t>。</w:t>
      </w:r>
    </w:p>
    <w:p w14:paraId="09D93979"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微软雅黑" w:hint="eastAsia"/>
          <w:sz w:val="24"/>
          <w:szCs w:val="24"/>
        </w:rPr>
        <w:t>基金管理人发给基金托管人的指令应写明款项事由</w:t>
      </w:r>
      <w:r>
        <w:rPr>
          <w:rFonts w:ascii="宋体" w:eastAsia="宋体" w:hAnsi="宋体" w:cs="Malgun Gothic Semilight" w:hint="eastAsia"/>
          <w:sz w:val="24"/>
          <w:szCs w:val="24"/>
        </w:rPr>
        <w:t>、</w:t>
      </w:r>
      <w:r>
        <w:rPr>
          <w:rFonts w:ascii="宋体" w:eastAsia="宋体" w:hAnsi="宋体" w:cs="微软雅黑" w:hint="eastAsia"/>
          <w:sz w:val="24"/>
          <w:szCs w:val="24"/>
        </w:rPr>
        <w:t>支付时间</w:t>
      </w:r>
      <w:r>
        <w:rPr>
          <w:rFonts w:ascii="宋体" w:eastAsia="宋体" w:hAnsi="宋体" w:cs="Malgun Gothic Semilight" w:hint="eastAsia"/>
          <w:sz w:val="24"/>
          <w:szCs w:val="24"/>
        </w:rPr>
        <w:t>、</w:t>
      </w:r>
      <w:r>
        <w:rPr>
          <w:rFonts w:ascii="宋体" w:eastAsia="宋体" w:hAnsi="宋体" w:cs="微软雅黑" w:hint="eastAsia"/>
          <w:sz w:val="24"/>
          <w:szCs w:val="24"/>
        </w:rPr>
        <w:t>到账时间</w:t>
      </w:r>
      <w:r>
        <w:rPr>
          <w:rFonts w:ascii="宋体" w:eastAsia="宋体" w:hAnsi="宋体" w:cs="Malgun Gothic Semilight" w:hint="eastAsia"/>
          <w:sz w:val="24"/>
          <w:szCs w:val="24"/>
        </w:rPr>
        <w:t>、</w:t>
      </w:r>
      <w:r>
        <w:rPr>
          <w:rFonts w:ascii="宋体" w:eastAsia="宋体" w:hAnsi="宋体" w:cs="微软雅黑" w:hint="eastAsia"/>
          <w:sz w:val="24"/>
          <w:szCs w:val="24"/>
        </w:rPr>
        <w:t>金额</w:t>
      </w:r>
      <w:r>
        <w:rPr>
          <w:rFonts w:ascii="宋体" w:eastAsia="宋体" w:hAnsi="宋体" w:cs="Malgun Gothic Semilight" w:hint="eastAsia"/>
          <w:sz w:val="24"/>
          <w:szCs w:val="24"/>
        </w:rPr>
        <w:t>、</w:t>
      </w:r>
      <w:r>
        <w:rPr>
          <w:rFonts w:ascii="宋体" w:eastAsia="宋体" w:hAnsi="宋体" w:cs="微软雅黑" w:hint="eastAsia"/>
          <w:sz w:val="24"/>
          <w:szCs w:val="24"/>
        </w:rPr>
        <w:t>收付款账户等</w:t>
      </w:r>
      <w:r>
        <w:rPr>
          <w:rFonts w:ascii="宋体" w:eastAsia="宋体" w:hAnsi="宋体" w:cs="Malgun Gothic Semilight" w:hint="eastAsia"/>
          <w:sz w:val="24"/>
          <w:szCs w:val="24"/>
        </w:rPr>
        <w:t>，</w:t>
      </w:r>
      <w:r>
        <w:rPr>
          <w:rFonts w:ascii="宋体" w:eastAsia="宋体" w:hAnsi="宋体" w:cs="微软雅黑" w:hint="eastAsia"/>
          <w:sz w:val="24"/>
          <w:szCs w:val="24"/>
        </w:rPr>
        <w:t>加盖预留印鉴并由被授权人签字</w:t>
      </w:r>
      <w:r>
        <w:rPr>
          <w:rFonts w:ascii="宋体" w:eastAsia="宋体" w:hAnsi="宋体" w:cs="Malgun Gothic Semilight" w:hint="eastAsia"/>
          <w:sz w:val="24"/>
          <w:szCs w:val="24"/>
        </w:rPr>
        <w:t>。</w:t>
      </w:r>
    </w:p>
    <w:p w14:paraId="6D7E90B9"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三</w:t>
      </w:r>
      <w:r>
        <w:rPr>
          <w:rFonts w:ascii="宋体" w:eastAsia="宋体" w:hAnsi="宋体" w:cs="Malgun Gothic Semilight" w:hint="eastAsia"/>
          <w:sz w:val="24"/>
          <w:szCs w:val="24"/>
        </w:rPr>
        <w:t>）</w:t>
      </w:r>
      <w:r>
        <w:rPr>
          <w:rFonts w:ascii="宋体" w:eastAsia="宋体" w:hAnsi="宋体" w:cs="微软雅黑" w:hint="eastAsia"/>
          <w:sz w:val="24"/>
          <w:szCs w:val="24"/>
        </w:rPr>
        <w:t>指令的发送</w:t>
      </w:r>
      <w:r>
        <w:rPr>
          <w:rFonts w:ascii="宋体" w:eastAsia="宋体" w:hAnsi="宋体" w:cs="Malgun Gothic Semilight" w:hint="eastAsia"/>
          <w:sz w:val="24"/>
          <w:szCs w:val="24"/>
        </w:rPr>
        <w:t>、</w:t>
      </w:r>
      <w:r>
        <w:rPr>
          <w:rFonts w:ascii="宋体" w:eastAsia="宋体" w:hAnsi="宋体" w:cs="微软雅黑" w:hint="eastAsia"/>
          <w:sz w:val="24"/>
          <w:szCs w:val="24"/>
        </w:rPr>
        <w:t>确认及执行的时间和程序</w:t>
      </w:r>
    </w:p>
    <w:p w14:paraId="2B830B22"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1.</w:t>
      </w:r>
      <w:r>
        <w:rPr>
          <w:rFonts w:ascii="宋体" w:eastAsia="宋体" w:hAnsi="宋体" w:cs="微软雅黑" w:hint="eastAsia"/>
          <w:sz w:val="24"/>
          <w:szCs w:val="24"/>
        </w:rPr>
        <w:t>指令的发送</w:t>
      </w:r>
    </w:p>
    <w:p w14:paraId="5D4EEFFE"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微软雅黑" w:hint="eastAsia"/>
          <w:sz w:val="24"/>
          <w:szCs w:val="24"/>
        </w:rPr>
        <w:t>基金管理人发送指令应采用传真方式或双方协商一致的其他方式</w:t>
      </w:r>
      <w:r>
        <w:rPr>
          <w:rFonts w:ascii="宋体" w:eastAsia="宋体" w:hAnsi="宋体" w:cs="Malgun Gothic Semilight" w:hint="eastAsia"/>
          <w:sz w:val="24"/>
          <w:szCs w:val="24"/>
        </w:rPr>
        <w:t>。</w:t>
      </w:r>
    </w:p>
    <w:p w14:paraId="3859B88B"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微软雅黑" w:hint="eastAsia"/>
          <w:sz w:val="24"/>
          <w:szCs w:val="24"/>
        </w:rPr>
        <w:t>基金管理人应按照法律法规和</w:t>
      </w:r>
      <w:r>
        <w:rPr>
          <w:rFonts w:ascii="宋体" w:eastAsia="宋体" w:hAnsi="宋体" w:cs="Malgun Gothic Semilight"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的规定</w:t>
      </w:r>
      <w:r>
        <w:rPr>
          <w:rFonts w:ascii="宋体" w:eastAsia="宋体" w:hAnsi="宋体" w:cs="Malgun Gothic Semilight" w:hint="eastAsia"/>
          <w:sz w:val="24"/>
          <w:szCs w:val="24"/>
        </w:rPr>
        <w:t>，</w:t>
      </w:r>
      <w:r>
        <w:rPr>
          <w:rFonts w:ascii="宋体" w:eastAsia="宋体" w:hAnsi="宋体" w:cs="微软雅黑" w:hint="eastAsia"/>
          <w:sz w:val="24"/>
          <w:szCs w:val="24"/>
        </w:rPr>
        <w:t>在其合法的经营权限和交易权限内发送指令</w:t>
      </w:r>
      <w:r>
        <w:rPr>
          <w:rFonts w:ascii="宋体" w:eastAsia="宋体" w:hAnsi="宋体" w:cs="Malgun Gothic Semilight" w:hint="eastAsia"/>
          <w:sz w:val="24"/>
          <w:szCs w:val="24"/>
        </w:rPr>
        <w:t>；</w:t>
      </w:r>
      <w:r>
        <w:rPr>
          <w:rFonts w:ascii="宋体" w:eastAsia="宋体" w:hAnsi="宋体" w:cs="微软雅黑" w:hint="eastAsia"/>
          <w:sz w:val="24"/>
          <w:szCs w:val="24"/>
        </w:rPr>
        <w:t>被授权人应严格按照其授权权限发送指令</w:t>
      </w:r>
      <w:r>
        <w:rPr>
          <w:rFonts w:ascii="宋体" w:eastAsia="宋体" w:hAnsi="宋体" w:cs="Malgun Gothic Semilight" w:hint="eastAsia"/>
          <w:sz w:val="24"/>
          <w:szCs w:val="24"/>
        </w:rPr>
        <w:t>。</w:t>
      </w:r>
      <w:r>
        <w:rPr>
          <w:rFonts w:ascii="宋体" w:eastAsia="宋体" w:hAnsi="宋体" w:cs="微软雅黑" w:hint="eastAsia"/>
          <w:sz w:val="24"/>
          <w:szCs w:val="24"/>
        </w:rPr>
        <w:t>对于被授权人依约定程序发出的指令</w:t>
      </w:r>
      <w:r>
        <w:rPr>
          <w:rFonts w:ascii="宋体" w:eastAsia="宋体" w:hAnsi="宋体" w:cs="Malgun Gothic Semilight" w:hint="eastAsia"/>
          <w:sz w:val="24"/>
          <w:szCs w:val="24"/>
        </w:rPr>
        <w:t>，</w:t>
      </w:r>
      <w:r>
        <w:rPr>
          <w:rFonts w:ascii="宋体" w:eastAsia="宋体" w:hAnsi="宋体" w:cs="微软雅黑" w:hint="eastAsia"/>
          <w:sz w:val="24"/>
          <w:szCs w:val="24"/>
        </w:rPr>
        <w:t>基金管理人不得否认其效力</w:t>
      </w:r>
      <w:r>
        <w:rPr>
          <w:rFonts w:ascii="宋体" w:eastAsia="宋体" w:hAnsi="宋体" w:cs="Malgun Gothic Semilight" w:hint="eastAsia"/>
          <w:sz w:val="24"/>
          <w:szCs w:val="24"/>
        </w:rPr>
        <w:t>。</w:t>
      </w:r>
      <w:r>
        <w:rPr>
          <w:rFonts w:ascii="宋体" w:eastAsia="宋体" w:hAnsi="宋体" w:cs="微软雅黑" w:hint="eastAsia"/>
          <w:sz w:val="24"/>
          <w:szCs w:val="24"/>
        </w:rPr>
        <w:t>但如果基金管理人已经撤销或更改对被授权人的授权</w:t>
      </w:r>
      <w:r>
        <w:rPr>
          <w:rFonts w:ascii="宋体" w:eastAsia="宋体" w:hAnsi="宋体" w:cs="Malgun Gothic Semilight" w:hint="eastAsia"/>
          <w:sz w:val="24"/>
          <w:szCs w:val="24"/>
        </w:rPr>
        <w:t>，</w:t>
      </w:r>
      <w:r>
        <w:rPr>
          <w:rFonts w:ascii="宋体" w:eastAsia="宋体" w:hAnsi="宋体" w:cs="微软雅黑" w:hint="eastAsia"/>
          <w:sz w:val="24"/>
          <w:szCs w:val="24"/>
        </w:rPr>
        <w:t>并且基金托管人根据本协议确认后</w:t>
      </w:r>
      <w:r>
        <w:rPr>
          <w:rFonts w:ascii="宋体" w:eastAsia="宋体" w:hAnsi="宋体" w:cs="Malgun Gothic Semilight" w:hint="eastAsia"/>
          <w:sz w:val="24"/>
          <w:szCs w:val="24"/>
        </w:rPr>
        <w:t>，</w:t>
      </w:r>
      <w:r>
        <w:rPr>
          <w:rFonts w:ascii="宋体" w:eastAsia="宋体" w:hAnsi="宋体" w:cs="微软雅黑" w:hint="eastAsia"/>
          <w:sz w:val="24"/>
          <w:szCs w:val="24"/>
        </w:rPr>
        <w:t>则对于此后该被授权人无权发送的指令</w:t>
      </w:r>
      <w:r>
        <w:rPr>
          <w:rFonts w:ascii="宋体" w:eastAsia="宋体" w:hAnsi="宋体" w:cs="Malgun Gothic Semilight" w:hint="eastAsia"/>
          <w:sz w:val="24"/>
          <w:szCs w:val="24"/>
        </w:rPr>
        <w:t>，</w:t>
      </w:r>
      <w:r>
        <w:rPr>
          <w:rFonts w:ascii="宋体" w:eastAsia="宋体" w:hAnsi="宋体" w:cs="微软雅黑" w:hint="eastAsia"/>
          <w:sz w:val="24"/>
          <w:szCs w:val="24"/>
        </w:rPr>
        <w:t>或超权限发送的指令</w:t>
      </w:r>
      <w:r>
        <w:rPr>
          <w:rFonts w:ascii="宋体" w:eastAsia="宋体" w:hAnsi="宋体" w:cs="Malgun Gothic Semilight" w:hint="eastAsia"/>
          <w:sz w:val="24"/>
          <w:szCs w:val="24"/>
        </w:rPr>
        <w:t>，</w:t>
      </w:r>
      <w:r>
        <w:rPr>
          <w:rFonts w:ascii="宋体" w:eastAsia="宋体" w:hAnsi="宋体" w:cs="微软雅黑" w:hint="eastAsia"/>
          <w:sz w:val="24"/>
          <w:szCs w:val="24"/>
        </w:rPr>
        <w:t>基金管理人不承担责任</w:t>
      </w:r>
      <w:r>
        <w:rPr>
          <w:rFonts w:ascii="宋体" w:eastAsia="宋体" w:hAnsi="宋体" w:cs="Malgun Gothic Semilight" w:hint="eastAsia"/>
          <w:sz w:val="24"/>
          <w:szCs w:val="24"/>
        </w:rPr>
        <w:t>，</w:t>
      </w:r>
      <w:r>
        <w:rPr>
          <w:rFonts w:ascii="宋体" w:eastAsia="宋体" w:hAnsi="宋体" w:cs="微软雅黑" w:hint="eastAsia"/>
          <w:sz w:val="24"/>
          <w:szCs w:val="24"/>
        </w:rPr>
        <w:t>授权已更改但未经基金托管人确认的情况除外</w:t>
      </w:r>
      <w:r>
        <w:rPr>
          <w:rFonts w:ascii="宋体" w:eastAsia="宋体" w:hAnsi="宋体" w:cs="Malgun Gothic Semilight" w:hint="eastAsia"/>
          <w:sz w:val="24"/>
          <w:szCs w:val="24"/>
        </w:rPr>
        <w:t>。</w:t>
      </w:r>
    </w:p>
    <w:p w14:paraId="65097B18"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微软雅黑" w:hint="eastAsia"/>
          <w:sz w:val="24"/>
          <w:szCs w:val="24"/>
        </w:rPr>
        <w:lastRenderedPageBreak/>
        <w:t>指令发出后</w:t>
      </w:r>
      <w:r>
        <w:rPr>
          <w:rFonts w:ascii="宋体" w:eastAsia="宋体" w:hAnsi="宋体" w:cs="Malgun Gothic Semilight" w:hint="eastAsia"/>
          <w:sz w:val="24"/>
          <w:szCs w:val="24"/>
        </w:rPr>
        <w:t>，</w:t>
      </w:r>
      <w:r>
        <w:rPr>
          <w:rFonts w:ascii="宋体" w:eastAsia="宋体" w:hAnsi="宋体" w:cs="微软雅黑" w:hint="eastAsia"/>
          <w:sz w:val="24"/>
          <w:szCs w:val="24"/>
        </w:rPr>
        <w:t>基金管理人应及时以电话方式向基金托管人确认</w:t>
      </w:r>
      <w:r>
        <w:rPr>
          <w:rFonts w:ascii="宋体" w:eastAsia="宋体" w:hAnsi="宋体" w:cs="Malgun Gothic Semilight" w:hint="eastAsia"/>
          <w:sz w:val="24"/>
          <w:szCs w:val="24"/>
        </w:rPr>
        <w:t>。</w:t>
      </w:r>
    </w:p>
    <w:p w14:paraId="37C43650"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微软雅黑" w:hint="eastAsia"/>
          <w:sz w:val="24"/>
          <w:szCs w:val="24"/>
        </w:rPr>
        <w:t>基金管理人应在银行间交易成交后</w:t>
      </w:r>
      <w:r>
        <w:rPr>
          <w:rFonts w:ascii="宋体" w:eastAsia="宋体" w:hAnsi="宋体" w:cs="Malgun Gothic Semilight" w:hint="eastAsia"/>
          <w:sz w:val="24"/>
          <w:szCs w:val="24"/>
        </w:rPr>
        <w:t>，</w:t>
      </w:r>
      <w:r>
        <w:rPr>
          <w:rFonts w:ascii="宋体" w:eastAsia="宋体" w:hAnsi="宋体" w:cs="微软雅黑" w:hint="eastAsia"/>
          <w:sz w:val="24"/>
          <w:szCs w:val="24"/>
        </w:rPr>
        <w:t>及时将通知单</w:t>
      </w:r>
      <w:r>
        <w:rPr>
          <w:rFonts w:ascii="宋体" w:eastAsia="宋体" w:hAnsi="宋体" w:cs="Malgun Gothic Semilight" w:hint="eastAsia"/>
          <w:sz w:val="24"/>
          <w:szCs w:val="24"/>
        </w:rPr>
        <w:t>、</w:t>
      </w:r>
      <w:r>
        <w:rPr>
          <w:rFonts w:ascii="宋体" w:eastAsia="宋体" w:hAnsi="宋体" w:cs="微软雅黑" w:hint="eastAsia"/>
          <w:sz w:val="24"/>
          <w:szCs w:val="24"/>
        </w:rPr>
        <w:t>相关文件及划款指令加盖印章后发至基金托管人并电话确认</w:t>
      </w:r>
      <w:r>
        <w:rPr>
          <w:rFonts w:ascii="宋体" w:eastAsia="宋体" w:hAnsi="宋体" w:cs="Malgun Gothic Semilight" w:hint="eastAsia"/>
          <w:sz w:val="24"/>
          <w:szCs w:val="24"/>
        </w:rPr>
        <w:t>，</w:t>
      </w:r>
      <w:r>
        <w:rPr>
          <w:rFonts w:ascii="宋体" w:eastAsia="宋体" w:hAnsi="宋体" w:cs="微软雅黑" w:hint="eastAsia"/>
          <w:sz w:val="24"/>
          <w:szCs w:val="24"/>
        </w:rPr>
        <w:t>由基金托管人完成后台交易匹配及资金交收事宜</w:t>
      </w:r>
      <w:r>
        <w:rPr>
          <w:rFonts w:ascii="宋体" w:eastAsia="宋体" w:hAnsi="宋体" w:cs="Malgun Gothic Semilight" w:hint="eastAsia"/>
          <w:sz w:val="24"/>
          <w:szCs w:val="24"/>
        </w:rPr>
        <w:t>。</w:t>
      </w:r>
      <w:r>
        <w:rPr>
          <w:rFonts w:ascii="宋体" w:eastAsia="宋体" w:hAnsi="宋体" w:cs="微软雅黑" w:hint="eastAsia"/>
          <w:sz w:val="24"/>
          <w:szCs w:val="24"/>
        </w:rPr>
        <w:t>如果银行间结算系统已经生成的交易需要取消或终止</w:t>
      </w:r>
      <w:r>
        <w:rPr>
          <w:rFonts w:ascii="宋体" w:eastAsia="宋体" w:hAnsi="宋体" w:cs="Malgun Gothic Semilight" w:hint="eastAsia"/>
          <w:sz w:val="24"/>
          <w:szCs w:val="24"/>
        </w:rPr>
        <w:t>，</w:t>
      </w:r>
      <w:r>
        <w:rPr>
          <w:rFonts w:ascii="宋体" w:eastAsia="宋体" w:hAnsi="宋体" w:cs="微软雅黑" w:hint="eastAsia"/>
          <w:sz w:val="24"/>
          <w:szCs w:val="24"/>
        </w:rPr>
        <w:t>基金管理人要书面通知基金托管人</w:t>
      </w:r>
      <w:r>
        <w:rPr>
          <w:rFonts w:ascii="宋体" w:eastAsia="宋体" w:hAnsi="宋体" w:cs="Malgun Gothic Semilight" w:hint="eastAsia"/>
          <w:sz w:val="24"/>
          <w:szCs w:val="24"/>
        </w:rPr>
        <w:t>。</w:t>
      </w:r>
    </w:p>
    <w:p w14:paraId="7D6478CB"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微软雅黑" w:hint="eastAsia"/>
          <w:sz w:val="24"/>
          <w:szCs w:val="24"/>
        </w:rPr>
        <w:t>指令的确认</w:t>
      </w:r>
    </w:p>
    <w:p w14:paraId="127B0CDE"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微软雅黑" w:hint="eastAsia"/>
          <w:sz w:val="24"/>
          <w:szCs w:val="24"/>
        </w:rPr>
        <w:t>基金托管人应指定专人接收基金管理人的指令</w:t>
      </w:r>
      <w:r>
        <w:rPr>
          <w:rFonts w:ascii="宋体" w:eastAsia="宋体" w:hAnsi="宋体" w:cs="Malgun Gothic Semilight" w:hint="eastAsia"/>
          <w:sz w:val="24"/>
          <w:szCs w:val="24"/>
        </w:rPr>
        <w:t>，</w:t>
      </w:r>
      <w:r>
        <w:rPr>
          <w:rFonts w:ascii="宋体" w:eastAsia="宋体" w:hAnsi="宋体" w:cs="微软雅黑" w:hint="eastAsia"/>
          <w:sz w:val="24"/>
          <w:szCs w:val="24"/>
        </w:rPr>
        <w:t>预先通知基金管理人其名单</w:t>
      </w:r>
      <w:r>
        <w:rPr>
          <w:rFonts w:ascii="宋体" w:eastAsia="宋体" w:hAnsi="宋体" w:cs="Malgun Gothic Semilight" w:hint="eastAsia"/>
          <w:sz w:val="24"/>
          <w:szCs w:val="24"/>
        </w:rPr>
        <w:t>，</w:t>
      </w:r>
      <w:r>
        <w:rPr>
          <w:rFonts w:ascii="宋体" w:eastAsia="宋体" w:hAnsi="宋体" w:cs="微软雅黑" w:hint="eastAsia"/>
          <w:sz w:val="24"/>
          <w:szCs w:val="24"/>
        </w:rPr>
        <w:t>并与基金管理人商定指令发送和接收方式</w:t>
      </w:r>
      <w:r>
        <w:rPr>
          <w:rFonts w:ascii="宋体" w:eastAsia="宋体" w:hAnsi="宋体" w:cs="Malgun Gothic Semilight" w:hint="eastAsia"/>
          <w:sz w:val="24"/>
          <w:szCs w:val="24"/>
        </w:rPr>
        <w:t>。</w:t>
      </w:r>
      <w:r>
        <w:rPr>
          <w:rFonts w:ascii="宋体" w:eastAsia="宋体" w:hAnsi="宋体" w:cs="微软雅黑" w:hint="eastAsia"/>
          <w:sz w:val="24"/>
          <w:szCs w:val="24"/>
        </w:rPr>
        <w:t>指令到达基金托管人后</w:t>
      </w:r>
      <w:r>
        <w:rPr>
          <w:rFonts w:ascii="宋体" w:eastAsia="宋体" w:hAnsi="宋体" w:cs="Malgun Gothic Semilight" w:hint="eastAsia"/>
          <w:sz w:val="24"/>
          <w:szCs w:val="24"/>
        </w:rPr>
        <w:t>，</w:t>
      </w:r>
      <w:r>
        <w:rPr>
          <w:rFonts w:ascii="宋体" w:eastAsia="宋体" w:hAnsi="宋体" w:cs="微软雅黑" w:hint="eastAsia"/>
          <w:sz w:val="24"/>
          <w:szCs w:val="24"/>
        </w:rPr>
        <w:t>基金托管人应指定专人立即审慎验证指令的要素是否齐全</w:t>
      </w:r>
      <w:r>
        <w:rPr>
          <w:rFonts w:ascii="宋体" w:eastAsia="宋体" w:hAnsi="宋体" w:cs="Malgun Gothic Semilight" w:hint="eastAsia"/>
          <w:sz w:val="24"/>
          <w:szCs w:val="24"/>
        </w:rPr>
        <w:t>，</w:t>
      </w:r>
      <w:r>
        <w:rPr>
          <w:rFonts w:ascii="宋体" w:eastAsia="宋体" w:hAnsi="宋体" w:cs="微软雅黑" w:hint="eastAsia"/>
          <w:sz w:val="24"/>
          <w:szCs w:val="24"/>
        </w:rPr>
        <w:t>并将指令所载签字和印鉴与授权文件进行表面真实性及权限范围核对</w:t>
      </w:r>
      <w:r>
        <w:rPr>
          <w:rFonts w:ascii="宋体" w:eastAsia="宋体" w:hAnsi="宋体" w:cs="Malgun Gothic Semilight" w:hint="eastAsia"/>
          <w:sz w:val="24"/>
          <w:szCs w:val="24"/>
        </w:rPr>
        <w:t>，</w:t>
      </w:r>
      <w:r>
        <w:rPr>
          <w:rFonts w:ascii="宋体" w:eastAsia="宋体" w:hAnsi="宋体" w:cs="微软雅黑" w:hint="eastAsia"/>
          <w:sz w:val="24"/>
          <w:szCs w:val="24"/>
        </w:rPr>
        <w:t>复核无误后应在规定期限内执行</w:t>
      </w:r>
      <w:r>
        <w:rPr>
          <w:rFonts w:ascii="宋体" w:eastAsia="宋体" w:hAnsi="宋体" w:cs="Malgun Gothic Semilight" w:hint="eastAsia"/>
          <w:sz w:val="24"/>
          <w:szCs w:val="24"/>
        </w:rPr>
        <w:t>，</w:t>
      </w:r>
      <w:r>
        <w:rPr>
          <w:rFonts w:ascii="宋体" w:eastAsia="宋体" w:hAnsi="宋体" w:cs="微软雅黑" w:hint="eastAsia"/>
          <w:sz w:val="24"/>
          <w:szCs w:val="24"/>
        </w:rPr>
        <w:t>不得延误</w:t>
      </w:r>
      <w:r>
        <w:rPr>
          <w:rFonts w:ascii="宋体" w:eastAsia="宋体" w:hAnsi="宋体" w:cs="Arial" w:hint="eastAsia"/>
          <w:sz w:val="24"/>
          <w:szCs w:val="24"/>
        </w:rPr>
        <w:t>，</w:t>
      </w:r>
      <w:r>
        <w:rPr>
          <w:rFonts w:ascii="宋体" w:eastAsia="宋体" w:hAnsi="宋体" w:cs="微软雅黑" w:hint="eastAsia"/>
          <w:sz w:val="24"/>
          <w:szCs w:val="24"/>
        </w:rPr>
        <w:t>如有疑问必须及时通知基金管理人</w:t>
      </w:r>
      <w:r>
        <w:rPr>
          <w:rFonts w:ascii="宋体" w:eastAsia="宋体" w:hAnsi="宋体" w:cs="Malgun Gothic Semilight" w:hint="eastAsia"/>
          <w:sz w:val="24"/>
          <w:szCs w:val="24"/>
        </w:rPr>
        <w:t>。</w:t>
      </w:r>
    </w:p>
    <w:p w14:paraId="15A963B6"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3.</w:t>
      </w:r>
      <w:r>
        <w:rPr>
          <w:rFonts w:ascii="宋体" w:eastAsia="宋体" w:hAnsi="宋体" w:cs="微软雅黑" w:hint="eastAsia"/>
          <w:sz w:val="24"/>
          <w:szCs w:val="24"/>
        </w:rPr>
        <w:t>指令的时间和执行</w:t>
      </w:r>
    </w:p>
    <w:p w14:paraId="1E630666" w14:textId="77777777" w:rsidR="00F012EE" w:rsidRDefault="00477FBC">
      <w:pPr>
        <w:adjustRightInd w:val="0"/>
        <w:snapToGrid w:val="0"/>
        <w:spacing w:line="360" w:lineRule="auto"/>
        <w:ind w:firstLine="480"/>
        <w:rPr>
          <w:rFonts w:ascii="宋体" w:eastAsia="宋体" w:hAnsi="宋体" w:cs="Arial"/>
          <w:sz w:val="24"/>
          <w:szCs w:val="24"/>
          <w:shd w:val="pct10" w:color="auto" w:fill="FFFFFF"/>
        </w:rPr>
      </w:pPr>
      <w:r>
        <w:rPr>
          <w:rFonts w:ascii="宋体" w:eastAsia="宋体" w:hAnsi="宋体" w:cs="微软雅黑" w:hint="eastAsia"/>
          <w:sz w:val="24"/>
          <w:szCs w:val="30"/>
        </w:rPr>
        <w:t>对于要求当天到账的指令</w:t>
      </w:r>
      <w:r>
        <w:rPr>
          <w:rFonts w:ascii="宋体" w:eastAsia="宋体" w:hAnsi="宋体" w:cs="Malgun Gothic Semilight" w:hint="eastAsia"/>
          <w:sz w:val="24"/>
          <w:szCs w:val="30"/>
        </w:rPr>
        <w:t>，</w:t>
      </w:r>
      <w:r>
        <w:rPr>
          <w:rFonts w:ascii="宋体" w:eastAsia="宋体" w:hAnsi="宋体" w:cs="微软雅黑" w:hint="eastAsia"/>
          <w:sz w:val="24"/>
          <w:szCs w:val="30"/>
        </w:rPr>
        <w:t>必须在当天</w:t>
      </w:r>
      <w:r>
        <w:rPr>
          <w:rFonts w:ascii="宋体" w:eastAsia="宋体" w:hAnsi="宋体" w:cs="Arial" w:hint="eastAsia"/>
          <w:sz w:val="24"/>
          <w:szCs w:val="30"/>
        </w:rPr>
        <w:t>15:30</w:t>
      </w:r>
      <w:r>
        <w:rPr>
          <w:rFonts w:ascii="宋体" w:eastAsia="宋体" w:hAnsi="宋体" w:cs="微软雅黑" w:hint="eastAsia"/>
          <w:sz w:val="24"/>
          <w:szCs w:val="30"/>
        </w:rPr>
        <w:t>前向基金托管人发送</w:t>
      </w:r>
      <w:r>
        <w:rPr>
          <w:rFonts w:ascii="宋体" w:eastAsia="宋体" w:hAnsi="宋体" w:cs="Malgun Gothic Semilight" w:hint="eastAsia"/>
          <w:sz w:val="24"/>
          <w:szCs w:val="30"/>
        </w:rPr>
        <w:t>，</w:t>
      </w:r>
      <w:r>
        <w:rPr>
          <w:rFonts w:ascii="宋体" w:eastAsia="宋体" w:hAnsi="宋体" w:cs="Arial" w:hint="eastAsia"/>
          <w:sz w:val="24"/>
          <w:szCs w:val="30"/>
        </w:rPr>
        <w:t>15:30</w:t>
      </w:r>
      <w:r>
        <w:rPr>
          <w:rFonts w:ascii="宋体" w:eastAsia="宋体" w:hAnsi="宋体" w:cs="微软雅黑" w:hint="eastAsia"/>
          <w:sz w:val="24"/>
          <w:szCs w:val="30"/>
        </w:rPr>
        <w:t>之后发送的</w:t>
      </w:r>
      <w:r>
        <w:rPr>
          <w:rFonts w:ascii="宋体" w:eastAsia="宋体" w:hAnsi="宋体" w:cs="Malgun Gothic Semilight" w:hint="eastAsia"/>
          <w:sz w:val="24"/>
          <w:szCs w:val="30"/>
        </w:rPr>
        <w:t>，</w:t>
      </w:r>
      <w:r>
        <w:rPr>
          <w:rFonts w:ascii="宋体" w:eastAsia="宋体" w:hAnsi="宋体" w:cs="微软雅黑" w:hint="eastAsia"/>
          <w:sz w:val="24"/>
          <w:szCs w:val="30"/>
        </w:rPr>
        <w:t>基金托管人尽力执行</w:t>
      </w:r>
      <w:r>
        <w:rPr>
          <w:rFonts w:ascii="宋体" w:eastAsia="宋体" w:hAnsi="宋体" w:cs="Malgun Gothic Semilight" w:hint="eastAsia"/>
          <w:sz w:val="24"/>
          <w:szCs w:val="30"/>
        </w:rPr>
        <w:t>，</w:t>
      </w:r>
      <w:r>
        <w:rPr>
          <w:rFonts w:ascii="宋体" w:eastAsia="宋体" w:hAnsi="宋体" w:cs="微软雅黑" w:hint="eastAsia"/>
          <w:sz w:val="24"/>
          <w:szCs w:val="30"/>
        </w:rPr>
        <w:t>但不能保证划账成功</w:t>
      </w:r>
      <w:r>
        <w:rPr>
          <w:rFonts w:ascii="宋体" w:eastAsia="宋体" w:hAnsi="宋体" w:cs="Malgun Gothic Semilight" w:hint="eastAsia"/>
          <w:sz w:val="24"/>
          <w:szCs w:val="30"/>
        </w:rPr>
        <w:t>。</w:t>
      </w:r>
      <w:r>
        <w:rPr>
          <w:rFonts w:ascii="宋体" w:eastAsia="宋体" w:hAnsi="宋体" w:cs="微软雅黑" w:hint="eastAsia"/>
          <w:sz w:val="24"/>
          <w:szCs w:val="30"/>
        </w:rPr>
        <w:t>如果要求当天某一时点到账的指令</w:t>
      </w:r>
      <w:r>
        <w:rPr>
          <w:rFonts w:ascii="宋体" w:eastAsia="宋体" w:hAnsi="宋体" w:cs="Malgun Gothic Semilight" w:hint="eastAsia"/>
          <w:sz w:val="24"/>
          <w:szCs w:val="30"/>
        </w:rPr>
        <w:t>，</w:t>
      </w:r>
      <w:r>
        <w:rPr>
          <w:rFonts w:ascii="宋体" w:eastAsia="宋体" w:hAnsi="宋体" w:cs="微软雅黑" w:hint="eastAsia"/>
          <w:sz w:val="24"/>
          <w:szCs w:val="30"/>
        </w:rPr>
        <w:t>则指令需要提前</w:t>
      </w:r>
      <w:r>
        <w:rPr>
          <w:rFonts w:ascii="宋体" w:eastAsia="宋体" w:hAnsi="宋体" w:cs="Arial" w:hint="eastAsia"/>
          <w:sz w:val="24"/>
          <w:szCs w:val="30"/>
        </w:rPr>
        <w:t>2</w:t>
      </w:r>
      <w:r>
        <w:rPr>
          <w:rFonts w:ascii="宋体" w:eastAsia="宋体" w:hAnsi="宋体" w:cs="微软雅黑" w:hint="eastAsia"/>
          <w:sz w:val="24"/>
          <w:szCs w:val="30"/>
        </w:rPr>
        <w:t>个工作小时发送</w:t>
      </w:r>
      <w:r>
        <w:rPr>
          <w:rFonts w:ascii="宋体" w:eastAsia="宋体" w:hAnsi="宋体" w:cs="Malgun Gothic Semilight" w:hint="eastAsia"/>
          <w:sz w:val="24"/>
          <w:szCs w:val="30"/>
        </w:rPr>
        <w:t>，</w:t>
      </w:r>
      <w:r>
        <w:rPr>
          <w:rFonts w:ascii="宋体" w:eastAsia="宋体" w:hAnsi="宋体" w:cs="微软雅黑" w:hint="eastAsia"/>
          <w:sz w:val="24"/>
          <w:szCs w:val="30"/>
        </w:rPr>
        <w:t>且相关付款条件已经具备，不足2个工作小时的指令，基金托管人尽力执行但不保证划款一定成功</w:t>
      </w:r>
      <w:r>
        <w:rPr>
          <w:rFonts w:ascii="宋体" w:eastAsia="宋体" w:hAnsi="宋体" w:cs="Malgun Gothic Semilight" w:hint="eastAsia"/>
          <w:sz w:val="24"/>
          <w:szCs w:val="30"/>
        </w:rPr>
        <w:t>。</w:t>
      </w:r>
      <w:r>
        <w:rPr>
          <w:rFonts w:ascii="宋体" w:eastAsia="宋体" w:hAnsi="宋体" w:cs="微软雅黑" w:hint="eastAsia"/>
          <w:sz w:val="24"/>
          <w:szCs w:val="30"/>
        </w:rPr>
        <w:t>基金托管人将视付款条件具备时为指令送达时间</w:t>
      </w:r>
      <w:r>
        <w:rPr>
          <w:rFonts w:ascii="宋体" w:eastAsia="宋体" w:hAnsi="宋体" w:cs="Malgun Gothic Semilight" w:hint="eastAsia"/>
          <w:sz w:val="24"/>
          <w:szCs w:val="30"/>
        </w:rPr>
        <w:t>。</w:t>
      </w:r>
      <w:r>
        <w:rPr>
          <w:rFonts w:ascii="宋体" w:eastAsia="宋体" w:hAnsi="宋体" w:cs="微软雅黑" w:hint="eastAsia"/>
          <w:sz w:val="24"/>
          <w:szCs w:val="30"/>
        </w:rPr>
        <w:t>对新股申购网下发行业务</w:t>
      </w:r>
      <w:r>
        <w:rPr>
          <w:rFonts w:ascii="宋体" w:eastAsia="宋体" w:hAnsi="宋体" w:cs="Malgun Gothic Semilight" w:hint="eastAsia"/>
          <w:sz w:val="24"/>
          <w:szCs w:val="30"/>
        </w:rPr>
        <w:t>，</w:t>
      </w:r>
      <w:r>
        <w:rPr>
          <w:rFonts w:ascii="宋体" w:eastAsia="宋体" w:hAnsi="宋体" w:cs="微软雅黑" w:hint="eastAsia"/>
          <w:sz w:val="24"/>
          <w:szCs w:val="30"/>
        </w:rPr>
        <w:t>基金管理人的指令发送时间最迟不应晚于网下申购缴款日</w:t>
      </w:r>
      <w:r>
        <w:rPr>
          <w:rFonts w:ascii="宋体" w:eastAsia="宋体" w:hAnsi="宋体" w:cs="Arial" w:hint="eastAsia"/>
          <w:sz w:val="24"/>
          <w:szCs w:val="30"/>
        </w:rPr>
        <w:t>T</w:t>
      </w:r>
      <w:r>
        <w:rPr>
          <w:rFonts w:ascii="宋体" w:eastAsia="宋体" w:hAnsi="宋体" w:cs="微软雅黑" w:hint="eastAsia"/>
          <w:sz w:val="24"/>
          <w:szCs w:val="30"/>
        </w:rPr>
        <w:t>日上午</w:t>
      </w:r>
      <w:r>
        <w:rPr>
          <w:rFonts w:ascii="宋体" w:eastAsia="宋体" w:hAnsi="宋体" w:cs="Arial" w:hint="eastAsia"/>
          <w:sz w:val="24"/>
          <w:szCs w:val="30"/>
        </w:rPr>
        <w:t>10:00。</w:t>
      </w:r>
      <w:r>
        <w:rPr>
          <w:rFonts w:ascii="宋体" w:eastAsia="宋体" w:hAnsi="宋体" w:cs="微软雅黑" w:hint="eastAsia"/>
          <w:sz w:val="24"/>
          <w:szCs w:val="24"/>
        </w:rPr>
        <w:t>基金管理人应确保基金托管人在执行指令时</w:t>
      </w:r>
      <w:r>
        <w:rPr>
          <w:rFonts w:ascii="宋体" w:eastAsia="宋体" w:hAnsi="宋体" w:cs="Malgun Gothic Semilight" w:hint="eastAsia"/>
          <w:sz w:val="24"/>
          <w:szCs w:val="24"/>
        </w:rPr>
        <w:t>，</w:t>
      </w:r>
      <w:r>
        <w:rPr>
          <w:rFonts w:ascii="宋体" w:eastAsia="宋体" w:hAnsi="宋体" w:cs="微软雅黑" w:hint="eastAsia"/>
          <w:sz w:val="24"/>
          <w:szCs w:val="24"/>
        </w:rPr>
        <w:t>基金托管资金账户有足够的资金余额</w:t>
      </w:r>
      <w:r>
        <w:rPr>
          <w:rFonts w:ascii="宋体" w:eastAsia="宋体" w:hAnsi="宋体" w:cs="Malgun Gothic Semilight" w:hint="eastAsia"/>
          <w:sz w:val="24"/>
          <w:szCs w:val="24"/>
        </w:rPr>
        <w:t>，</w:t>
      </w:r>
      <w:r>
        <w:rPr>
          <w:rFonts w:ascii="宋体" w:eastAsia="宋体" w:hAnsi="宋体" w:cs="微软雅黑" w:hint="eastAsia"/>
          <w:sz w:val="24"/>
          <w:szCs w:val="30"/>
        </w:rPr>
        <w:t>在基金资金头寸充足的情况下</w:t>
      </w:r>
      <w:r>
        <w:rPr>
          <w:rFonts w:ascii="宋体" w:eastAsia="宋体" w:hAnsi="宋体" w:cs="Malgun Gothic Semilight" w:hint="eastAsia"/>
          <w:sz w:val="24"/>
          <w:szCs w:val="30"/>
        </w:rPr>
        <w:t>，</w:t>
      </w:r>
      <w:r>
        <w:rPr>
          <w:rFonts w:ascii="宋体" w:eastAsia="宋体" w:hAnsi="宋体" w:cs="微软雅黑" w:hint="eastAsia"/>
          <w:sz w:val="24"/>
          <w:szCs w:val="30"/>
        </w:rPr>
        <w:t>基金托管人对基金管理人符合法律法规</w:t>
      </w:r>
      <w:r>
        <w:rPr>
          <w:rFonts w:ascii="宋体" w:eastAsia="宋体" w:hAnsi="宋体" w:cs="Malgun Gothic Semilight" w:hint="eastAsia"/>
          <w:sz w:val="24"/>
          <w:szCs w:val="30"/>
        </w:rPr>
        <w:t>、《</w:t>
      </w:r>
      <w:r>
        <w:rPr>
          <w:rFonts w:ascii="宋体" w:eastAsia="宋体" w:hAnsi="宋体" w:cs="微软雅黑" w:hint="eastAsia"/>
          <w:sz w:val="24"/>
          <w:szCs w:val="30"/>
        </w:rPr>
        <w:t>基金合同</w:t>
      </w:r>
      <w:r>
        <w:rPr>
          <w:rFonts w:ascii="宋体" w:eastAsia="宋体" w:hAnsi="宋体" w:cs="Malgun Gothic Semilight" w:hint="eastAsia"/>
          <w:sz w:val="24"/>
          <w:szCs w:val="30"/>
        </w:rPr>
        <w:t>》、</w:t>
      </w:r>
      <w:r>
        <w:rPr>
          <w:rFonts w:ascii="宋体" w:eastAsia="宋体" w:hAnsi="宋体" w:cs="微软雅黑" w:hint="eastAsia"/>
          <w:sz w:val="24"/>
          <w:szCs w:val="30"/>
        </w:rPr>
        <w:t>本协议的指令不得拖延或拒绝执行</w:t>
      </w:r>
      <w:r>
        <w:rPr>
          <w:rFonts w:ascii="宋体" w:eastAsia="宋体" w:hAnsi="宋体" w:cs="Malgun Gothic Semilight" w:hint="eastAsia"/>
          <w:sz w:val="24"/>
          <w:szCs w:val="30"/>
        </w:rPr>
        <w:t>。</w:t>
      </w:r>
    </w:p>
    <w:p w14:paraId="57F94341" w14:textId="77777777" w:rsidR="00F012EE" w:rsidRDefault="00477FBC">
      <w:pPr>
        <w:adjustRightInd w:val="0"/>
        <w:snapToGrid w:val="0"/>
        <w:spacing w:line="360" w:lineRule="auto"/>
        <w:ind w:firstLine="480"/>
        <w:rPr>
          <w:rFonts w:ascii="宋体" w:eastAsia="宋体" w:hAnsi="宋体" w:cs="Arial"/>
          <w:sz w:val="24"/>
          <w:szCs w:val="30"/>
        </w:rPr>
      </w:pPr>
      <w:r>
        <w:rPr>
          <w:rFonts w:ascii="宋体" w:eastAsia="宋体" w:hAnsi="宋体" w:cs="Arial" w:hint="eastAsia"/>
          <w:sz w:val="24"/>
          <w:szCs w:val="30"/>
        </w:rPr>
        <w:t>（</w:t>
      </w:r>
      <w:r>
        <w:rPr>
          <w:rFonts w:ascii="宋体" w:eastAsia="宋体" w:hAnsi="宋体" w:cs="微软雅黑" w:hint="eastAsia"/>
          <w:sz w:val="24"/>
          <w:szCs w:val="30"/>
        </w:rPr>
        <w:t>四</w:t>
      </w:r>
      <w:r>
        <w:rPr>
          <w:rFonts w:ascii="宋体" w:eastAsia="宋体" w:hAnsi="宋体" w:cs="Malgun Gothic Semilight" w:hint="eastAsia"/>
          <w:sz w:val="24"/>
          <w:szCs w:val="30"/>
        </w:rPr>
        <w:t>）</w:t>
      </w:r>
      <w:r>
        <w:rPr>
          <w:rFonts w:ascii="宋体" w:eastAsia="宋体" w:hAnsi="宋体" w:cs="微软雅黑" w:hint="eastAsia"/>
          <w:sz w:val="24"/>
          <w:szCs w:val="30"/>
        </w:rPr>
        <w:t>基金管理人发送错误指令的情形和处理程序</w:t>
      </w:r>
    </w:p>
    <w:p w14:paraId="10960A67"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基金管理人发送错误指令的情形包括指令违反法律法规</w:t>
      </w:r>
      <w:r>
        <w:rPr>
          <w:rFonts w:ascii="宋体" w:eastAsia="宋体" w:hAnsi="宋体" w:cs="Arial" w:hint="eastAsia"/>
          <w:sz w:val="24"/>
          <w:szCs w:val="24"/>
        </w:rPr>
        <w:t>、</w:t>
      </w:r>
      <w:r>
        <w:rPr>
          <w:rFonts w:ascii="宋体" w:eastAsia="宋体" w:hAnsi="宋体" w:cs="微软雅黑" w:hint="eastAsia"/>
          <w:sz w:val="24"/>
          <w:szCs w:val="24"/>
        </w:rPr>
        <w:t>监管规定</w:t>
      </w:r>
      <w:r>
        <w:rPr>
          <w:rFonts w:ascii="宋体" w:eastAsia="宋体" w:hAnsi="宋体" w:cs="Malgun Gothic Semilight" w:hint="eastAsia"/>
          <w:sz w:val="24"/>
          <w:szCs w:val="24"/>
        </w:rPr>
        <w:t>、</w:t>
      </w:r>
      <w:r>
        <w:rPr>
          <w:rFonts w:ascii="宋体" w:eastAsia="宋体" w:hAnsi="宋体" w:cs="Arial"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或本协议的约定</w:t>
      </w:r>
      <w:r>
        <w:rPr>
          <w:rFonts w:ascii="宋体" w:eastAsia="宋体" w:hAnsi="宋体" w:cs="Arial" w:hint="eastAsia"/>
          <w:sz w:val="24"/>
          <w:szCs w:val="24"/>
        </w:rPr>
        <w:t>，</w:t>
      </w:r>
      <w:r>
        <w:rPr>
          <w:rFonts w:ascii="宋体" w:eastAsia="宋体" w:hAnsi="宋体" w:cs="微软雅黑" w:hint="eastAsia"/>
          <w:sz w:val="24"/>
          <w:szCs w:val="24"/>
        </w:rPr>
        <w:t>或指令发送人员无权或超越权限发送指令</w:t>
      </w:r>
      <w:r>
        <w:rPr>
          <w:rFonts w:ascii="宋体" w:eastAsia="宋体" w:hAnsi="宋体" w:cs="Malgun Gothic Semilight" w:hint="eastAsia"/>
          <w:sz w:val="24"/>
          <w:szCs w:val="24"/>
        </w:rPr>
        <w:t>。</w:t>
      </w:r>
    </w:p>
    <w:p w14:paraId="6719D992"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基金托管人发现基金管理人的指令错误时</w:t>
      </w:r>
      <w:r>
        <w:rPr>
          <w:rFonts w:ascii="宋体" w:eastAsia="宋体" w:hAnsi="宋体" w:cs="Malgun Gothic Semilight" w:hint="eastAsia"/>
          <w:sz w:val="24"/>
          <w:szCs w:val="24"/>
        </w:rPr>
        <w:t>，</w:t>
      </w:r>
      <w:r>
        <w:rPr>
          <w:rFonts w:ascii="宋体" w:eastAsia="宋体" w:hAnsi="宋体" w:cs="微软雅黑" w:hint="eastAsia"/>
          <w:sz w:val="24"/>
          <w:szCs w:val="24"/>
        </w:rPr>
        <w:t>有权拒绝执行</w:t>
      </w:r>
      <w:r>
        <w:rPr>
          <w:rFonts w:ascii="宋体" w:eastAsia="宋体" w:hAnsi="宋体" w:cs="Malgun Gothic Semilight" w:hint="eastAsia"/>
          <w:sz w:val="24"/>
          <w:szCs w:val="24"/>
        </w:rPr>
        <w:t>，</w:t>
      </w:r>
      <w:r>
        <w:rPr>
          <w:rFonts w:ascii="宋体" w:eastAsia="宋体" w:hAnsi="宋体" w:cs="微软雅黑" w:hint="eastAsia"/>
          <w:sz w:val="24"/>
          <w:szCs w:val="24"/>
        </w:rPr>
        <w:t>并及时通知基金管理人改正</w:t>
      </w:r>
      <w:r>
        <w:rPr>
          <w:rFonts w:ascii="宋体" w:eastAsia="宋体" w:hAnsi="宋体" w:cs="Malgun Gothic Semilight" w:hint="eastAsia"/>
          <w:sz w:val="24"/>
          <w:szCs w:val="24"/>
        </w:rPr>
        <w:t>。</w:t>
      </w:r>
      <w:r>
        <w:rPr>
          <w:rFonts w:ascii="宋体" w:eastAsia="宋体" w:hAnsi="宋体" w:cs="微软雅黑" w:hint="eastAsia"/>
          <w:sz w:val="24"/>
          <w:szCs w:val="24"/>
        </w:rPr>
        <w:t>如需托管人撤销尚未执行的指令</w:t>
      </w:r>
      <w:r>
        <w:rPr>
          <w:rFonts w:ascii="宋体" w:eastAsia="宋体" w:hAnsi="宋体" w:cs="Malgun Gothic Semilight" w:hint="eastAsia"/>
          <w:sz w:val="24"/>
          <w:szCs w:val="24"/>
        </w:rPr>
        <w:t>，</w:t>
      </w:r>
      <w:r>
        <w:rPr>
          <w:rFonts w:ascii="宋体" w:eastAsia="宋体" w:hAnsi="宋体" w:cs="微软雅黑" w:hint="eastAsia"/>
          <w:sz w:val="24"/>
          <w:szCs w:val="24"/>
        </w:rPr>
        <w:t>基金管理人应出具作废指令或作废说明</w:t>
      </w:r>
      <w:r>
        <w:rPr>
          <w:rFonts w:ascii="宋体" w:eastAsia="宋体" w:hAnsi="宋体" w:cs="Malgun Gothic Semilight" w:hint="eastAsia"/>
          <w:sz w:val="24"/>
          <w:szCs w:val="24"/>
        </w:rPr>
        <w:t>，</w:t>
      </w:r>
      <w:r>
        <w:rPr>
          <w:rFonts w:ascii="宋体" w:eastAsia="宋体" w:hAnsi="宋体" w:cs="微软雅黑" w:hint="eastAsia"/>
          <w:sz w:val="24"/>
          <w:szCs w:val="24"/>
        </w:rPr>
        <w:t>并电话通知托管人</w:t>
      </w:r>
      <w:r>
        <w:rPr>
          <w:rFonts w:ascii="宋体" w:eastAsia="宋体" w:hAnsi="宋体" w:cs="Malgun Gothic Semilight" w:hint="eastAsia"/>
          <w:sz w:val="24"/>
          <w:szCs w:val="24"/>
        </w:rPr>
        <w:t>。</w:t>
      </w:r>
    </w:p>
    <w:p w14:paraId="65BCB32B"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五</w:t>
      </w:r>
      <w:r>
        <w:rPr>
          <w:rFonts w:ascii="宋体" w:eastAsia="宋体" w:hAnsi="宋体" w:cs="Malgun Gothic Semilight" w:hint="eastAsia"/>
          <w:sz w:val="24"/>
          <w:szCs w:val="24"/>
        </w:rPr>
        <w:t>）</w:t>
      </w:r>
      <w:r>
        <w:rPr>
          <w:rFonts w:ascii="宋体" w:eastAsia="宋体" w:hAnsi="宋体" w:cs="微软雅黑" w:hint="eastAsia"/>
          <w:sz w:val="24"/>
          <w:szCs w:val="24"/>
        </w:rPr>
        <w:t>基金托管人未按照基金管理人指令执行的处理方法</w:t>
      </w:r>
    </w:p>
    <w:p w14:paraId="13325F80"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微软雅黑" w:hint="eastAsia"/>
          <w:sz w:val="24"/>
          <w:szCs w:val="24"/>
        </w:rPr>
        <w:t>基金托管人由于自身过错</w:t>
      </w:r>
      <w:r>
        <w:rPr>
          <w:rFonts w:ascii="宋体" w:eastAsia="宋体" w:hAnsi="宋体" w:cs="Arial" w:hint="eastAsia"/>
          <w:sz w:val="24"/>
          <w:szCs w:val="24"/>
        </w:rPr>
        <w:t>，</w:t>
      </w:r>
      <w:r>
        <w:rPr>
          <w:rFonts w:ascii="宋体" w:eastAsia="宋体" w:hAnsi="宋体" w:cs="微软雅黑" w:hint="eastAsia"/>
          <w:sz w:val="24"/>
          <w:szCs w:val="24"/>
        </w:rPr>
        <w:t>未按照基金管理人发送的符合法律法规</w:t>
      </w:r>
      <w:r>
        <w:rPr>
          <w:rFonts w:ascii="宋体" w:eastAsia="宋体" w:hAnsi="宋体" w:cs="Malgun Gothic Semilight" w:hint="eastAsia"/>
          <w:sz w:val="24"/>
          <w:szCs w:val="24"/>
        </w:rPr>
        <w:t>、</w:t>
      </w:r>
      <w:r>
        <w:rPr>
          <w:rFonts w:ascii="宋体" w:eastAsia="宋体" w:hAnsi="宋体" w:cs="微软雅黑" w:hint="eastAsia"/>
          <w:sz w:val="24"/>
          <w:szCs w:val="24"/>
        </w:rPr>
        <w:t>监管规定</w:t>
      </w:r>
      <w:r>
        <w:rPr>
          <w:rFonts w:ascii="宋体" w:eastAsia="宋体" w:hAnsi="宋体" w:cs="Malgun Gothic Semilight" w:hint="eastAsia"/>
          <w:sz w:val="24"/>
          <w:szCs w:val="24"/>
        </w:rPr>
        <w:t>、</w:t>
      </w:r>
      <w:r>
        <w:rPr>
          <w:rFonts w:ascii="宋体" w:eastAsia="宋体" w:hAnsi="宋体" w:cs="Arial"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和本协议约定的指令执行并对基金财产或投资人造成的直接损失</w:t>
      </w:r>
      <w:r>
        <w:rPr>
          <w:rFonts w:ascii="宋体" w:eastAsia="宋体" w:hAnsi="宋体" w:cs="Malgun Gothic Semilight" w:hint="eastAsia"/>
          <w:sz w:val="24"/>
          <w:szCs w:val="24"/>
        </w:rPr>
        <w:t>，</w:t>
      </w:r>
      <w:r>
        <w:rPr>
          <w:rFonts w:ascii="宋体" w:eastAsia="宋体" w:hAnsi="宋体" w:cs="微软雅黑" w:hint="eastAsia"/>
          <w:sz w:val="24"/>
          <w:szCs w:val="24"/>
        </w:rPr>
        <w:t>由</w:t>
      </w:r>
      <w:r>
        <w:rPr>
          <w:rFonts w:ascii="宋体" w:eastAsia="宋体" w:hAnsi="宋体" w:cs="微软雅黑" w:hint="eastAsia"/>
          <w:sz w:val="24"/>
          <w:szCs w:val="24"/>
        </w:rPr>
        <w:lastRenderedPageBreak/>
        <w:t>基金托管人赔偿由此造成的直接损失</w:t>
      </w:r>
      <w:r>
        <w:rPr>
          <w:rFonts w:ascii="宋体" w:eastAsia="宋体" w:hAnsi="宋体" w:cs="Times New Roman" w:hint="eastAsia"/>
          <w:sz w:val="24"/>
          <w:szCs w:val="24"/>
        </w:rPr>
        <w:t>。</w:t>
      </w:r>
    </w:p>
    <w:p w14:paraId="43B58B30" w14:textId="6F8F8591"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六</w:t>
      </w:r>
      <w:r>
        <w:rPr>
          <w:rFonts w:ascii="宋体" w:eastAsia="宋体" w:hAnsi="宋体" w:cs="Arial" w:hint="eastAsia"/>
          <w:sz w:val="24"/>
          <w:szCs w:val="24"/>
        </w:rPr>
        <w:t>）</w:t>
      </w:r>
      <w:r>
        <w:rPr>
          <w:rFonts w:ascii="宋体" w:eastAsia="宋体" w:hAnsi="宋体" w:cs="微软雅黑" w:hint="eastAsia"/>
          <w:sz w:val="24"/>
          <w:szCs w:val="24"/>
        </w:rPr>
        <w:t>其他事项</w:t>
      </w:r>
    </w:p>
    <w:p w14:paraId="4F366DF8"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微软雅黑" w:hint="eastAsia"/>
          <w:sz w:val="24"/>
          <w:szCs w:val="24"/>
        </w:rPr>
        <w:t>基金托管人在接收指令时</w:t>
      </w:r>
      <w:r>
        <w:rPr>
          <w:rFonts w:ascii="宋体" w:eastAsia="宋体" w:hAnsi="宋体" w:cs="Malgun Gothic Semilight" w:hint="eastAsia"/>
          <w:sz w:val="24"/>
          <w:szCs w:val="24"/>
        </w:rPr>
        <w:t>，</w:t>
      </w:r>
      <w:r>
        <w:rPr>
          <w:rFonts w:ascii="宋体" w:eastAsia="宋体" w:hAnsi="宋体" w:cs="微软雅黑" w:hint="eastAsia"/>
          <w:sz w:val="24"/>
          <w:szCs w:val="24"/>
        </w:rPr>
        <w:t>应对指令的要素是否齐全</w:t>
      </w:r>
      <w:r>
        <w:rPr>
          <w:rFonts w:ascii="宋体" w:eastAsia="宋体" w:hAnsi="宋体" w:cs="Malgun Gothic Semilight" w:hint="eastAsia"/>
          <w:sz w:val="24"/>
          <w:szCs w:val="24"/>
        </w:rPr>
        <w:t>、</w:t>
      </w:r>
      <w:r>
        <w:rPr>
          <w:rFonts w:ascii="宋体" w:eastAsia="宋体" w:hAnsi="宋体" w:cs="微软雅黑" w:hint="eastAsia"/>
          <w:sz w:val="24"/>
          <w:szCs w:val="24"/>
        </w:rPr>
        <w:t>印鉴与被授权人是否与预留的授权文件内容表面相符进行检查</w:t>
      </w:r>
      <w:r>
        <w:rPr>
          <w:rFonts w:ascii="宋体" w:eastAsia="宋体" w:hAnsi="宋体" w:cs="Malgun Gothic Semilight" w:hint="eastAsia"/>
          <w:sz w:val="24"/>
          <w:szCs w:val="24"/>
        </w:rPr>
        <w:t>，</w:t>
      </w:r>
      <w:r>
        <w:rPr>
          <w:rFonts w:ascii="宋体" w:eastAsia="宋体" w:hAnsi="宋体" w:cs="微软雅黑" w:hint="eastAsia"/>
          <w:sz w:val="24"/>
          <w:szCs w:val="24"/>
        </w:rPr>
        <w:t>如发现问题</w:t>
      </w:r>
      <w:r>
        <w:rPr>
          <w:rFonts w:ascii="宋体" w:eastAsia="宋体" w:hAnsi="宋体" w:cs="Malgun Gothic Semilight" w:hint="eastAsia"/>
          <w:sz w:val="24"/>
          <w:szCs w:val="24"/>
        </w:rPr>
        <w:t>，</w:t>
      </w:r>
      <w:r>
        <w:rPr>
          <w:rFonts w:ascii="宋体" w:eastAsia="宋体" w:hAnsi="宋体" w:cs="微软雅黑" w:hint="eastAsia"/>
          <w:sz w:val="24"/>
          <w:szCs w:val="24"/>
        </w:rPr>
        <w:t>应及时报告基金管理人</w:t>
      </w:r>
      <w:r>
        <w:rPr>
          <w:rFonts w:ascii="宋体" w:eastAsia="宋体" w:hAnsi="宋体" w:cs="Malgun Gothic Semilight" w:hint="eastAsia"/>
          <w:sz w:val="24"/>
          <w:szCs w:val="24"/>
        </w:rPr>
        <w:t>，</w:t>
      </w:r>
      <w:r>
        <w:rPr>
          <w:rFonts w:ascii="宋体" w:eastAsia="宋体" w:hAnsi="宋体" w:cs="微软雅黑" w:hint="eastAsia"/>
          <w:sz w:val="24"/>
          <w:szCs w:val="24"/>
        </w:rPr>
        <w:t>基金托管人对正确、及时执行基金管理人的有效指令对基金财产造成的损失不承担赔偿责任</w:t>
      </w:r>
      <w:r>
        <w:rPr>
          <w:rFonts w:ascii="宋体" w:eastAsia="宋体" w:hAnsi="宋体" w:cs="Arial" w:hint="eastAsia"/>
          <w:sz w:val="24"/>
          <w:szCs w:val="24"/>
        </w:rPr>
        <w:t>。</w:t>
      </w:r>
    </w:p>
    <w:p w14:paraId="762590A4"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微软雅黑" w:hint="eastAsia"/>
          <w:sz w:val="24"/>
          <w:szCs w:val="24"/>
        </w:rPr>
        <w:t>基金参与认购未上市债券时</w:t>
      </w:r>
      <w:r>
        <w:rPr>
          <w:rFonts w:ascii="宋体" w:eastAsia="宋体" w:hAnsi="宋体" w:cs="Malgun Gothic Semilight" w:hint="eastAsia"/>
          <w:sz w:val="24"/>
          <w:szCs w:val="24"/>
        </w:rPr>
        <w:t>，</w:t>
      </w:r>
      <w:r>
        <w:rPr>
          <w:rFonts w:ascii="宋体" w:eastAsia="宋体" w:hAnsi="宋体" w:cs="微软雅黑" w:hint="eastAsia"/>
          <w:sz w:val="24"/>
          <w:szCs w:val="24"/>
        </w:rPr>
        <w:t>基金管理人应代表本基金与对手方签署相关合同或协议</w:t>
      </w:r>
      <w:r>
        <w:rPr>
          <w:rFonts w:ascii="宋体" w:eastAsia="宋体" w:hAnsi="宋体" w:cs="Malgun Gothic Semilight" w:hint="eastAsia"/>
          <w:sz w:val="24"/>
          <w:szCs w:val="24"/>
        </w:rPr>
        <w:t>，</w:t>
      </w:r>
      <w:r>
        <w:rPr>
          <w:rFonts w:ascii="宋体" w:eastAsia="宋体" w:hAnsi="宋体" w:cs="微软雅黑" w:hint="eastAsia"/>
          <w:sz w:val="24"/>
          <w:szCs w:val="24"/>
        </w:rPr>
        <w:t>明确约定债券过户具体事宜</w:t>
      </w:r>
      <w:r>
        <w:rPr>
          <w:rFonts w:ascii="宋体" w:eastAsia="宋体" w:hAnsi="宋体" w:cs="Malgun Gothic Semilight" w:hint="eastAsia"/>
          <w:sz w:val="24"/>
          <w:szCs w:val="24"/>
        </w:rPr>
        <w:t>。</w:t>
      </w:r>
      <w:r>
        <w:rPr>
          <w:rFonts w:ascii="宋体" w:eastAsia="宋体" w:hAnsi="宋体" w:cs="微软雅黑" w:hint="eastAsia"/>
          <w:sz w:val="24"/>
          <w:szCs w:val="24"/>
        </w:rPr>
        <w:t>否则</w:t>
      </w:r>
      <w:r>
        <w:rPr>
          <w:rFonts w:ascii="宋体" w:eastAsia="宋体" w:hAnsi="宋体" w:cs="Malgun Gothic Semilight" w:hint="eastAsia"/>
          <w:sz w:val="24"/>
          <w:szCs w:val="24"/>
        </w:rPr>
        <w:t>，</w:t>
      </w:r>
      <w:r>
        <w:rPr>
          <w:rFonts w:ascii="宋体" w:eastAsia="宋体" w:hAnsi="宋体" w:cs="微软雅黑" w:hint="eastAsia"/>
          <w:sz w:val="24"/>
          <w:szCs w:val="24"/>
        </w:rPr>
        <w:t>基金管理人需对所认购债券的过户事宜承担相应责任</w:t>
      </w:r>
      <w:r>
        <w:rPr>
          <w:rFonts w:ascii="宋体" w:eastAsia="宋体" w:hAnsi="宋体" w:cs="Malgun Gothic Semilight" w:hint="eastAsia"/>
          <w:sz w:val="24"/>
          <w:szCs w:val="24"/>
        </w:rPr>
        <w:t>。</w:t>
      </w:r>
    </w:p>
    <w:p w14:paraId="1A2AE3B5" w14:textId="77777777" w:rsidR="00F012EE" w:rsidRDefault="00F012EE">
      <w:pPr>
        <w:adjustRightInd w:val="0"/>
        <w:snapToGrid w:val="0"/>
        <w:spacing w:line="360" w:lineRule="auto"/>
        <w:rPr>
          <w:rFonts w:ascii="宋体" w:eastAsia="宋体" w:hAnsi="宋体" w:cs="Arial"/>
          <w:sz w:val="24"/>
          <w:szCs w:val="24"/>
        </w:rPr>
      </w:pPr>
    </w:p>
    <w:p w14:paraId="7A6E619B" w14:textId="77777777" w:rsidR="00F012EE" w:rsidRDefault="00477FBC">
      <w:pPr>
        <w:keepNext/>
        <w:keepLines/>
        <w:spacing w:before="260" w:after="260" w:line="360" w:lineRule="auto"/>
        <w:jc w:val="center"/>
        <w:outlineLvl w:val="1"/>
        <w:rPr>
          <w:rFonts w:ascii="宋体" w:eastAsia="宋体" w:hAnsi="宋体" w:cs="Times New Roman"/>
          <w:b/>
          <w:sz w:val="30"/>
          <w:szCs w:val="20"/>
        </w:rPr>
      </w:pPr>
      <w:bookmarkStart w:id="67" w:name="_Toc118212953"/>
      <w:bookmarkStart w:id="68" w:name="_Toc84234390"/>
      <w:bookmarkStart w:id="69" w:name="_Toc86649725"/>
      <w:bookmarkStart w:id="70" w:name="_Toc124325891"/>
      <w:bookmarkStart w:id="71" w:name="_Toc86225294"/>
      <w:bookmarkStart w:id="72" w:name="_Toc84234437"/>
      <w:bookmarkStart w:id="73" w:name="_Toc118774806"/>
      <w:bookmarkStart w:id="74" w:name="_Toc119402713"/>
      <w:bookmarkStart w:id="75" w:name="_Toc86737932"/>
      <w:bookmarkStart w:id="76" w:name="_Toc108512361"/>
      <w:bookmarkStart w:id="77" w:name="_Toc86727358"/>
      <w:bookmarkStart w:id="78" w:name="_Toc110765663"/>
      <w:bookmarkStart w:id="79" w:name="_Toc86223245"/>
      <w:bookmarkStart w:id="80" w:name="_Toc86726442"/>
      <w:bookmarkStart w:id="81" w:name="_Toc84133788"/>
      <w:bookmarkStart w:id="82" w:name="_Toc118972651"/>
      <w:bookmarkStart w:id="83" w:name="_Toc110761799"/>
      <w:bookmarkStart w:id="84" w:name="_Toc120435786"/>
      <w:bookmarkStart w:id="85" w:name="_Toc110830495"/>
      <w:bookmarkStart w:id="86" w:name="_Toc89163371"/>
      <w:bookmarkStart w:id="87" w:name="_Toc86204791"/>
      <w:r>
        <w:rPr>
          <w:rFonts w:ascii="宋体" w:eastAsia="宋体" w:hAnsi="宋体" w:cs="微软雅黑" w:hint="eastAsia"/>
          <w:b/>
          <w:sz w:val="30"/>
          <w:szCs w:val="20"/>
        </w:rPr>
        <w:t>七</w:t>
      </w:r>
      <w:r>
        <w:rPr>
          <w:rFonts w:ascii="宋体" w:eastAsia="宋体" w:hAnsi="宋体" w:cs="Malgun Gothic Semilight" w:hint="eastAsia"/>
          <w:b/>
          <w:sz w:val="30"/>
          <w:szCs w:val="20"/>
        </w:rPr>
        <w:t>、</w:t>
      </w:r>
      <w:r>
        <w:rPr>
          <w:rFonts w:ascii="宋体" w:eastAsia="宋体" w:hAnsi="宋体" w:cs="微软雅黑" w:hint="eastAsia"/>
          <w:b/>
          <w:sz w:val="30"/>
          <w:szCs w:val="20"/>
        </w:rPr>
        <w:t>交易及清算交收安排</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77A362C1"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一</w:t>
      </w:r>
      <w:r>
        <w:rPr>
          <w:rFonts w:ascii="宋体" w:eastAsia="宋体" w:hAnsi="宋体" w:cs="Malgun Gothic Semilight" w:hint="eastAsia"/>
          <w:sz w:val="24"/>
          <w:szCs w:val="24"/>
        </w:rPr>
        <w:t>）</w:t>
      </w:r>
      <w:r>
        <w:rPr>
          <w:rFonts w:ascii="宋体" w:eastAsia="宋体" w:hAnsi="宋体" w:cs="微软雅黑" w:hint="eastAsia"/>
          <w:sz w:val="24"/>
          <w:szCs w:val="24"/>
        </w:rPr>
        <w:t>选择证券</w:t>
      </w:r>
      <w:r>
        <w:rPr>
          <w:rFonts w:ascii="宋体" w:eastAsia="宋体" w:hAnsi="宋体" w:cs="微软雅黑"/>
          <w:sz w:val="24"/>
          <w:szCs w:val="24"/>
        </w:rPr>
        <w:t>/期货买卖的证券/期货经纪机构</w:t>
      </w:r>
    </w:p>
    <w:p w14:paraId="5210723C"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基金管理人应设计选择证券买卖的证券经营机构的标准和程序</w:t>
      </w:r>
      <w:r>
        <w:rPr>
          <w:rFonts w:ascii="宋体" w:eastAsia="宋体" w:hAnsi="宋体" w:cs="Malgun Gothic Semilight" w:hint="eastAsia"/>
          <w:sz w:val="24"/>
          <w:szCs w:val="24"/>
        </w:rPr>
        <w:t>。</w:t>
      </w:r>
      <w:r>
        <w:rPr>
          <w:rFonts w:ascii="宋体" w:eastAsia="宋体" w:hAnsi="宋体" w:cs="微软雅黑" w:hint="eastAsia"/>
          <w:sz w:val="24"/>
          <w:szCs w:val="24"/>
        </w:rPr>
        <w:t>基金管理人应代表基金与被选择的证券经纪机构签订证券经纪合同或其他约定的形式</w:t>
      </w:r>
      <w:r>
        <w:rPr>
          <w:rFonts w:ascii="宋体" w:eastAsia="宋体" w:hAnsi="宋体" w:cs="Malgun Gothic Semilight" w:hint="eastAsia"/>
          <w:sz w:val="24"/>
          <w:szCs w:val="24"/>
        </w:rPr>
        <w:t>。</w:t>
      </w:r>
      <w:r>
        <w:rPr>
          <w:rFonts w:ascii="宋体" w:eastAsia="宋体" w:hAnsi="宋体" w:cs="微软雅黑" w:hint="eastAsia"/>
          <w:sz w:val="24"/>
          <w:szCs w:val="24"/>
        </w:rPr>
        <w:t>基金管理人</w:t>
      </w:r>
      <w:r>
        <w:rPr>
          <w:rFonts w:ascii="宋体" w:eastAsia="宋体" w:hAnsi="宋体" w:cs="Malgun Gothic Semilight" w:hint="eastAsia"/>
          <w:sz w:val="24"/>
          <w:szCs w:val="24"/>
        </w:rPr>
        <w:t>、</w:t>
      </w:r>
      <w:r>
        <w:rPr>
          <w:rFonts w:ascii="宋体" w:eastAsia="宋体" w:hAnsi="宋体" w:cs="微软雅黑" w:hint="eastAsia"/>
          <w:sz w:val="24"/>
          <w:szCs w:val="24"/>
        </w:rPr>
        <w:t>基金托管人和证券经纪机构就本基金参与证券交易的具体事项另行签订证券经纪服务协议</w:t>
      </w:r>
      <w:r>
        <w:rPr>
          <w:rFonts w:ascii="宋体" w:eastAsia="宋体" w:hAnsi="宋体" w:cs="Malgun Gothic Semilight" w:hint="eastAsia"/>
          <w:sz w:val="24"/>
          <w:szCs w:val="24"/>
        </w:rPr>
        <w:t>，</w:t>
      </w:r>
      <w:r>
        <w:rPr>
          <w:rFonts w:ascii="宋体" w:eastAsia="宋体" w:hAnsi="宋体" w:cs="微软雅黑" w:hint="eastAsia"/>
          <w:sz w:val="24"/>
          <w:szCs w:val="24"/>
        </w:rPr>
        <w:t>明确三方在本基金参与场内证券买卖中的各类证券交易</w:t>
      </w:r>
      <w:r>
        <w:rPr>
          <w:rFonts w:ascii="宋体" w:eastAsia="宋体" w:hAnsi="宋体" w:cs="Malgun Gothic Semilight" w:hint="eastAsia"/>
          <w:sz w:val="24"/>
          <w:szCs w:val="24"/>
        </w:rPr>
        <w:t>、</w:t>
      </w:r>
      <w:r>
        <w:rPr>
          <w:rFonts w:ascii="宋体" w:eastAsia="宋体" w:hAnsi="宋体" w:cs="微软雅黑" w:hint="eastAsia"/>
          <w:sz w:val="24"/>
          <w:szCs w:val="24"/>
        </w:rPr>
        <w:t>证券交收及相关资金交</w:t>
      </w:r>
      <w:proofErr w:type="gramStart"/>
      <w:r>
        <w:rPr>
          <w:rFonts w:ascii="宋体" w:eastAsia="宋体" w:hAnsi="宋体" w:cs="微软雅黑" w:hint="eastAsia"/>
          <w:sz w:val="24"/>
          <w:szCs w:val="24"/>
        </w:rPr>
        <w:t>收过程</w:t>
      </w:r>
      <w:proofErr w:type="gramEnd"/>
      <w:r>
        <w:rPr>
          <w:rFonts w:ascii="宋体" w:eastAsia="宋体" w:hAnsi="宋体" w:cs="微软雅黑" w:hint="eastAsia"/>
          <w:sz w:val="24"/>
          <w:szCs w:val="24"/>
        </w:rPr>
        <w:t>中的职责和义务</w:t>
      </w:r>
      <w:r>
        <w:rPr>
          <w:rFonts w:ascii="宋体" w:eastAsia="宋体" w:hAnsi="宋体" w:cs="Malgun Gothic Semilight" w:hint="eastAsia"/>
          <w:sz w:val="24"/>
          <w:szCs w:val="24"/>
        </w:rPr>
        <w:t>。</w:t>
      </w:r>
      <w:r>
        <w:rPr>
          <w:rFonts w:ascii="宋体" w:eastAsia="宋体" w:hAnsi="宋体" w:cs="微软雅黑" w:hint="eastAsia"/>
          <w:sz w:val="24"/>
          <w:szCs w:val="24"/>
        </w:rPr>
        <w:t>基金管理人应及时将基金佣金费率等基本信息以及变更情况以书面形式通知基金托管人</w:t>
      </w:r>
      <w:r>
        <w:rPr>
          <w:rFonts w:ascii="宋体" w:eastAsia="宋体" w:hAnsi="宋体" w:cs="Arial" w:hint="eastAsia"/>
          <w:sz w:val="24"/>
          <w:szCs w:val="24"/>
        </w:rPr>
        <w:t>，</w:t>
      </w:r>
      <w:r>
        <w:rPr>
          <w:rFonts w:ascii="宋体" w:eastAsia="宋体" w:hAnsi="宋体" w:cs="微软雅黑" w:hint="eastAsia"/>
          <w:sz w:val="24"/>
          <w:szCs w:val="24"/>
        </w:rPr>
        <w:t>并在法定信息披露公告中披露关于选择证券公司的标准和程序等信息</w:t>
      </w:r>
      <w:r>
        <w:rPr>
          <w:rFonts w:ascii="宋体" w:eastAsia="宋体" w:hAnsi="宋体" w:cs="Arial" w:hint="eastAsia"/>
          <w:sz w:val="24"/>
          <w:szCs w:val="24"/>
        </w:rPr>
        <w:t>。</w:t>
      </w:r>
    </w:p>
    <w:p w14:paraId="5BFB45D5" w14:textId="77777777" w:rsidR="00F012EE" w:rsidRDefault="00477FBC">
      <w:pPr>
        <w:adjustRightInd w:val="0"/>
        <w:snapToGrid w:val="0"/>
        <w:spacing w:line="360" w:lineRule="auto"/>
        <w:ind w:firstLineChars="200" w:firstLine="480"/>
        <w:rPr>
          <w:rFonts w:ascii="宋体" w:eastAsia="宋体" w:hAnsi="宋体" w:cs="微软雅黑"/>
          <w:sz w:val="24"/>
          <w:szCs w:val="24"/>
        </w:rPr>
      </w:pPr>
      <w:r>
        <w:rPr>
          <w:rFonts w:ascii="宋体" w:eastAsia="宋体" w:hAnsi="宋体" w:cs="微软雅黑" w:hint="eastAsia"/>
          <w:sz w:val="24"/>
          <w:szCs w:val="24"/>
        </w:rPr>
        <w:t>本基金在开始进行期货投资之前，应与基金托管人、期货公司三方</w:t>
      </w:r>
      <w:proofErr w:type="gramStart"/>
      <w:r>
        <w:rPr>
          <w:rFonts w:ascii="宋体" w:eastAsia="宋体" w:hAnsi="宋体" w:cs="微软雅黑" w:hint="eastAsia"/>
          <w:sz w:val="24"/>
          <w:szCs w:val="24"/>
        </w:rPr>
        <w:t>一同就</w:t>
      </w:r>
      <w:proofErr w:type="gramEnd"/>
      <w:r>
        <w:rPr>
          <w:rFonts w:ascii="宋体" w:eastAsia="宋体" w:hAnsi="宋体" w:cs="微软雅黑" w:hint="eastAsia"/>
          <w:sz w:val="24"/>
          <w:szCs w:val="24"/>
        </w:rPr>
        <w:t>期货开户、清算、估值、交收等事宜另行签署《期货投资托管操作三方备忘录》（协议名称以届时签订的为准）。</w:t>
      </w:r>
    </w:p>
    <w:p w14:paraId="51B2D4A5" w14:textId="77777777" w:rsidR="00F012EE" w:rsidRDefault="00477FBC">
      <w:pPr>
        <w:adjustRightInd w:val="0"/>
        <w:snapToGrid w:val="0"/>
        <w:spacing w:line="360" w:lineRule="auto"/>
        <w:ind w:firstLineChars="200" w:firstLine="480"/>
        <w:rPr>
          <w:rFonts w:ascii="宋体" w:eastAsia="宋体" w:hAnsi="宋体" w:cs="微软雅黑"/>
          <w:sz w:val="24"/>
          <w:szCs w:val="24"/>
        </w:rPr>
      </w:pPr>
      <w:r>
        <w:rPr>
          <w:rFonts w:ascii="宋体" w:eastAsia="宋体" w:hAnsi="宋体" w:cs="微软雅黑" w:hint="eastAsia"/>
          <w:sz w:val="24"/>
          <w:szCs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基金开立衍生品合约账户后，再通过该证券公司（或期货公司）参与股票期权交易。</w:t>
      </w:r>
    </w:p>
    <w:p w14:paraId="549496BB"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二</w:t>
      </w:r>
      <w:r>
        <w:rPr>
          <w:rFonts w:ascii="宋体" w:eastAsia="宋体" w:hAnsi="宋体" w:cs="Malgun Gothic Semilight" w:hint="eastAsia"/>
          <w:sz w:val="24"/>
          <w:szCs w:val="24"/>
        </w:rPr>
        <w:t>）</w:t>
      </w:r>
      <w:r>
        <w:rPr>
          <w:rFonts w:ascii="宋体" w:eastAsia="宋体" w:hAnsi="宋体" w:cs="微软雅黑" w:hint="eastAsia"/>
          <w:sz w:val="24"/>
          <w:szCs w:val="24"/>
        </w:rPr>
        <w:t>基金投资证券后的清算交收安排</w:t>
      </w:r>
    </w:p>
    <w:p w14:paraId="63676723"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1.</w:t>
      </w:r>
      <w:r>
        <w:rPr>
          <w:rFonts w:ascii="宋体" w:eastAsia="宋体" w:hAnsi="宋体" w:cs="微软雅黑" w:hint="eastAsia"/>
          <w:sz w:val="24"/>
          <w:szCs w:val="24"/>
        </w:rPr>
        <w:t>清算与交割</w:t>
      </w:r>
    </w:p>
    <w:p w14:paraId="10EC9670"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微软雅黑" w:hint="eastAsia"/>
          <w:sz w:val="24"/>
          <w:szCs w:val="24"/>
        </w:rPr>
        <w:lastRenderedPageBreak/>
        <w:t>基金通过证券经纪机构进行的交易由证券经纪机构作为结算参与人代理本基金进行结算</w:t>
      </w:r>
      <w:r>
        <w:rPr>
          <w:rFonts w:ascii="宋体" w:eastAsia="宋体" w:hAnsi="宋体" w:cs="Times New Roman" w:hint="eastAsia"/>
          <w:sz w:val="24"/>
          <w:szCs w:val="24"/>
        </w:rPr>
        <w:t>，</w:t>
      </w:r>
      <w:r>
        <w:rPr>
          <w:rFonts w:ascii="宋体" w:eastAsia="宋体" w:hAnsi="宋体" w:cs="微软雅黑" w:hint="eastAsia"/>
          <w:sz w:val="24"/>
          <w:szCs w:val="24"/>
        </w:rPr>
        <w:t>本基金通过期货经纪机构进行的交易由期货经纪机构作为结算参与人代理本基金进行结算</w:t>
      </w:r>
      <w:r>
        <w:rPr>
          <w:rFonts w:ascii="宋体" w:eastAsia="宋体" w:hAnsi="宋体" w:cs="Times New Roman" w:hint="eastAsia"/>
          <w:sz w:val="24"/>
          <w:szCs w:val="24"/>
        </w:rPr>
        <w:t>。</w:t>
      </w:r>
      <w:r>
        <w:rPr>
          <w:rFonts w:ascii="宋体" w:eastAsia="宋体" w:hAnsi="宋体" w:cs="微软雅黑" w:hint="eastAsia"/>
          <w:sz w:val="24"/>
          <w:szCs w:val="24"/>
        </w:rPr>
        <w:t>本基金其它证券交易由基金托管人或相关机构负责结算</w:t>
      </w:r>
      <w:r>
        <w:rPr>
          <w:rFonts w:ascii="宋体" w:eastAsia="宋体" w:hAnsi="宋体" w:cs="Arial" w:hint="eastAsia"/>
          <w:sz w:val="24"/>
          <w:szCs w:val="24"/>
        </w:rPr>
        <w:t>，</w:t>
      </w:r>
      <w:r>
        <w:rPr>
          <w:rFonts w:ascii="宋体" w:eastAsia="宋体" w:hAnsi="宋体" w:cs="微软雅黑" w:hint="eastAsia"/>
          <w:sz w:val="24"/>
          <w:szCs w:val="24"/>
        </w:rPr>
        <w:t>场外资金汇划由基金托管人根据基金管理人的场外交易划款指令具体办理</w:t>
      </w:r>
      <w:r>
        <w:rPr>
          <w:rFonts w:ascii="宋体" w:eastAsia="宋体" w:hAnsi="宋体" w:cs="Malgun Gothic Semilight" w:hint="eastAsia"/>
          <w:sz w:val="24"/>
          <w:szCs w:val="24"/>
        </w:rPr>
        <w:t>。</w:t>
      </w:r>
    </w:p>
    <w:p w14:paraId="5F540FAB"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微软雅黑" w:hint="eastAsia"/>
          <w:sz w:val="24"/>
          <w:szCs w:val="24"/>
        </w:rPr>
        <w:t>证券经纪机构代理本基金财产与中国证券登记结算有限责任公司完成证券交易及</w:t>
      </w:r>
      <w:proofErr w:type="gramStart"/>
      <w:r>
        <w:rPr>
          <w:rFonts w:ascii="宋体" w:eastAsia="宋体" w:hAnsi="宋体" w:cs="微软雅黑" w:hint="eastAsia"/>
          <w:sz w:val="24"/>
          <w:szCs w:val="24"/>
        </w:rPr>
        <w:t>非交易</w:t>
      </w:r>
      <w:proofErr w:type="gramEnd"/>
      <w:r>
        <w:rPr>
          <w:rFonts w:ascii="宋体" w:eastAsia="宋体" w:hAnsi="宋体" w:cs="微软雅黑" w:hint="eastAsia"/>
          <w:sz w:val="24"/>
          <w:szCs w:val="24"/>
        </w:rPr>
        <w:t>涉及的证券资金结算业务</w:t>
      </w:r>
      <w:r>
        <w:rPr>
          <w:rFonts w:ascii="宋体" w:eastAsia="宋体" w:hAnsi="宋体" w:cs="Arial" w:hint="eastAsia"/>
          <w:sz w:val="24"/>
          <w:szCs w:val="24"/>
        </w:rPr>
        <w:t>，</w:t>
      </w:r>
      <w:r>
        <w:rPr>
          <w:rFonts w:ascii="宋体" w:eastAsia="宋体" w:hAnsi="宋体" w:cs="微软雅黑" w:hint="eastAsia"/>
          <w:sz w:val="24"/>
          <w:szCs w:val="24"/>
        </w:rPr>
        <w:t>并承担由证券经纪机构原因造成的正常结算</w:t>
      </w:r>
      <w:r>
        <w:rPr>
          <w:rFonts w:ascii="宋体" w:eastAsia="宋体" w:hAnsi="宋体" w:cs="Malgun Gothic Semilight" w:hint="eastAsia"/>
          <w:sz w:val="24"/>
          <w:szCs w:val="24"/>
        </w:rPr>
        <w:t>、</w:t>
      </w:r>
      <w:r>
        <w:rPr>
          <w:rFonts w:ascii="宋体" w:eastAsia="宋体" w:hAnsi="宋体" w:cs="微软雅黑" w:hint="eastAsia"/>
          <w:sz w:val="24"/>
          <w:szCs w:val="24"/>
        </w:rPr>
        <w:t>交收业务无法完成的责任</w:t>
      </w:r>
      <w:r>
        <w:rPr>
          <w:rFonts w:ascii="宋体" w:eastAsia="宋体" w:hAnsi="宋体" w:cs="Malgun Gothic Semilight" w:hint="eastAsia"/>
          <w:sz w:val="24"/>
          <w:szCs w:val="24"/>
        </w:rPr>
        <w:t>；</w:t>
      </w:r>
      <w:r>
        <w:rPr>
          <w:rFonts w:ascii="宋体" w:eastAsia="宋体" w:hAnsi="宋体" w:cs="微软雅黑" w:hint="eastAsia"/>
          <w:sz w:val="24"/>
          <w:szCs w:val="24"/>
        </w:rPr>
        <w:t>若由于基金管理</w:t>
      </w:r>
      <w:proofErr w:type="gramStart"/>
      <w:r>
        <w:rPr>
          <w:rFonts w:ascii="宋体" w:eastAsia="宋体" w:hAnsi="宋体" w:cs="微软雅黑" w:hint="eastAsia"/>
          <w:sz w:val="24"/>
          <w:szCs w:val="24"/>
        </w:rPr>
        <w:t>人原因</w:t>
      </w:r>
      <w:proofErr w:type="gramEnd"/>
      <w:r>
        <w:rPr>
          <w:rFonts w:ascii="宋体" w:eastAsia="宋体" w:hAnsi="宋体" w:cs="微软雅黑" w:hint="eastAsia"/>
          <w:sz w:val="24"/>
          <w:szCs w:val="24"/>
        </w:rPr>
        <w:t>造成的正常结算业务无法完成</w:t>
      </w:r>
      <w:r>
        <w:rPr>
          <w:rFonts w:ascii="宋体" w:eastAsia="宋体" w:hAnsi="宋体" w:cs="Malgun Gothic Semilight" w:hint="eastAsia"/>
          <w:sz w:val="24"/>
          <w:szCs w:val="24"/>
        </w:rPr>
        <w:t>，</w:t>
      </w:r>
      <w:r>
        <w:rPr>
          <w:rFonts w:ascii="宋体" w:eastAsia="宋体" w:hAnsi="宋体" w:cs="微软雅黑" w:hint="eastAsia"/>
          <w:sz w:val="24"/>
          <w:szCs w:val="24"/>
        </w:rPr>
        <w:t>责任由基金管理人承担</w:t>
      </w:r>
      <w:r>
        <w:rPr>
          <w:rFonts w:ascii="宋体" w:eastAsia="宋体" w:hAnsi="宋体" w:cs="Malgun Gothic Semilight" w:hint="eastAsia"/>
          <w:sz w:val="24"/>
          <w:szCs w:val="24"/>
        </w:rPr>
        <w:t>。</w:t>
      </w:r>
    </w:p>
    <w:p w14:paraId="36E9E9D0"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微软雅黑" w:hint="eastAsia"/>
          <w:sz w:val="24"/>
          <w:szCs w:val="24"/>
        </w:rPr>
        <w:t>对于任何原因发生的证券资金交收违约事件</w:t>
      </w:r>
      <w:r>
        <w:rPr>
          <w:rFonts w:ascii="宋体" w:eastAsia="宋体" w:hAnsi="宋体" w:cs="Malgun Gothic Semilight" w:hint="eastAsia"/>
          <w:sz w:val="24"/>
          <w:szCs w:val="24"/>
        </w:rPr>
        <w:t>，</w:t>
      </w:r>
      <w:r>
        <w:rPr>
          <w:rFonts w:ascii="宋体" w:eastAsia="宋体" w:hAnsi="宋体" w:cs="微软雅黑" w:hint="eastAsia"/>
          <w:sz w:val="24"/>
          <w:szCs w:val="24"/>
        </w:rPr>
        <w:t>相关各方应当及时协商解决</w:t>
      </w:r>
      <w:r>
        <w:rPr>
          <w:rFonts w:ascii="宋体" w:eastAsia="宋体" w:hAnsi="宋体" w:cs="Malgun Gothic Semilight" w:hint="eastAsia"/>
          <w:sz w:val="24"/>
          <w:szCs w:val="24"/>
        </w:rPr>
        <w:t>。</w:t>
      </w:r>
      <w:r>
        <w:rPr>
          <w:rFonts w:ascii="宋体" w:eastAsia="宋体" w:hAnsi="宋体" w:cs="Arial"/>
          <w:sz w:val="24"/>
          <w:szCs w:val="24"/>
        </w:rPr>
        <w:cr/>
      </w:r>
      <w:r>
        <w:rPr>
          <w:rFonts w:ascii="宋体" w:eastAsia="宋体" w:hAnsi="宋体" w:cs="微软雅黑" w:hint="eastAsia"/>
          <w:sz w:val="24"/>
          <w:szCs w:val="24"/>
        </w:rPr>
        <w:t>由于相关方过错在清算上造成基金财产的直接损失</w:t>
      </w:r>
      <w:r>
        <w:rPr>
          <w:rFonts w:ascii="宋体" w:eastAsia="宋体" w:hAnsi="宋体" w:cs="Malgun Gothic Semilight" w:hint="eastAsia"/>
          <w:sz w:val="24"/>
          <w:szCs w:val="24"/>
        </w:rPr>
        <w:t>，</w:t>
      </w:r>
      <w:r>
        <w:rPr>
          <w:rFonts w:ascii="宋体" w:eastAsia="宋体" w:hAnsi="宋体" w:cs="微软雅黑" w:hint="eastAsia"/>
          <w:sz w:val="24"/>
          <w:szCs w:val="24"/>
        </w:rPr>
        <w:t>应由过错方承担相应责任</w:t>
      </w:r>
      <w:r>
        <w:rPr>
          <w:rFonts w:ascii="宋体" w:eastAsia="宋体" w:hAnsi="宋体" w:cs="Arial" w:hint="eastAsia"/>
          <w:sz w:val="24"/>
          <w:szCs w:val="24"/>
        </w:rPr>
        <w:t>。</w:t>
      </w:r>
    </w:p>
    <w:p w14:paraId="46BBB078"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微软雅黑" w:hint="eastAsia"/>
          <w:sz w:val="24"/>
          <w:szCs w:val="24"/>
        </w:rPr>
        <w:t>交易记录</w:t>
      </w:r>
      <w:r>
        <w:rPr>
          <w:rFonts w:ascii="宋体" w:eastAsia="宋体" w:hAnsi="宋体" w:cs="Malgun Gothic Semilight" w:hint="eastAsia"/>
          <w:sz w:val="24"/>
          <w:szCs w:val="24"/>
        </w:rPr>
        <w:t>、</w:t>
      </w:r>
      <w:r>
        <w:rPr>
          <w:rFonts w:ascii="宋体" w:eastAsia="宋体" w:hAnsi="宋体" w:cs="微软雅黑" w:hint="eastAsia"/>
          <w:sz w:val="24"/>
          <w:szCs w:val="24"/>
        </w:rPr>
        <w:t>资金和证券/期货账目核对的时间和方式</w:t>
      </w:r>
    </w:p>
    <w:p w14:paraId="296DD89E"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（1）</w:t>
      </w:r>
      <w:r>
        <w:rPr>
          <w:rFonts w:ascii="宋体" w:eastAsia="宋体" w:hAnsi="宋体" w:cs="微软雅黑" w:hint="eastAsia"/>
          <w:sz w:val="24"/>
          <w:szCs w:val="24"/>
        </w:rPr>
        <w:t>交易记录的核对</w:t>
      </w:r>
    </w:p>
    <w:p w14:paraId="761BE3E3"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基金管理人按日进行交易记录的核对</w:t>
      </w:r>
      <w:r>
        <w:rPr>
          <w:rFonts w:ascii="宋体" w:eastAsia="宋体" w:hAnsi="宋体" w:cs="Malgun Gothic Semilight" w:hint="eastAsia"/>
          <w:sz w:val="24"/>
          <w:szCs w:val="24"/>
        </w:rPr>
        <w:t>。</w:t>
      </w:r>
      <w:r>
        <w:rPr>
          <w:rFonts w:ascii="宋体" w:eastAsia="宋体" w:hAnsi="宋体" w:cs="微软雅黑" w:hint="eastAsia"/>
          <w:sz w:val="24"/>
          <w:szCs w:val="24"/>
        </w:rPr>
        <w:t>每日对外披露净值之前</w:t>
      </w:r>
      <w:r>
        <w:rPr>
          <w:rFonts w:ascii="宋体" w:eastAsia="宋体" w:hAnsi="宋体" w:cs="Malgun Gothic Semilight" w:hint="eastAsia"/>
          <w:sz w:val="24"/>
          <w:szCs w:val="24"/>
        </w:rPr>
        <w:t>，</w:t>
      </w:r>
      <w:r>
        <w:rPr>
          <w:rFonts w:ascii="宋体" w:eastAsia="宋体" w:hAnsi="宋体" w:cs="微软雅黑" w:hint="eastAsia"/>
          <w:sz w:val="24"/>
          <w:szCs w:val="24"/>
        </w:rPr>
        <w:t>必须保证当天所有实际交易记录与基金会计账簿上的交易记录完全一致</w:t>
      </w:r>
      <w:r>
        <w:rPr>
          <w:rFonts w:ascii="宋体" w:eastAsia="宋体" w:hAnsi="宋体" w:cs="Malgun Gothic Semilight" w:hint="eastAsia"/>
          <w:sz w:val="24"/>
          <w:szCs w:val="24"/>
        </w:rPr>
        <w:t>。</w:t>
      </w:r>
      <w:r>
        <w:rPr>
          <w:rFonts w:ascii="宋体" w:eastAsia="宋体" w:hAnsi="宋体" w:cs="微软雅黑" w:hint="eastAsia"/>
          <w:sz w:val="24"/>
          <w:szCs w:val="24"/>
        </w:rPr>
        <w:t>如果实际交易记录与会计账簿记录不一致</w:t>
      </w:r>
      <w:r>
        <w:rPr>
          <w:rFonts w:ascii="宋体" w:eastAsia="宋体" w:hAnsi="宋体" w:cs="Malgun Gothic Semilight" w:hint="eastAsia"/>
          <w:sz w:val="24"/>
          <w:szCs w:val="24"/>
        </w:rPr>
        <w:t>，</w:t>
      </w:r>
      <w:r>
        <w:rPr>
          <w:rFonts w:ascii="宋体" w:eastAsia="宋体" w:hAnsi="宋体" w:cs="微软雅黑" w:hint="eastAsia"/>
          <w:sz w:val="24"/>
          <w:szCs w:val="24"/>
        </w:rPr>
        <w:t>造成基金会计核算不完整或不真实</w:t>
      </w:r>
      <w:r>
        <w:rPr>
          <w:rFonts w:ascii="宋体" w:eastAsia="宋体" w:hAnsi="宋体" w:cs="Malgun Gothic Semilight" w:hint="eastAsia"/>
          <w:sz w:val="24"/>
          <w:szCs w:val="24"/>
        </w:rPr>
        <w:t>，</w:t>
      </w:r>
      <w:r>
        <w:rPr>
          <w:rFonts w:ascii="宋体" w:eastAsia="宋体" w:hAnsi="宋体" w:cs="微软雅黑" w:hint="eastAsia"/>
          <w:sz w:val="24"/>
          <w:szCs w:val="24"/>
        </w:rPr>
        <w:t>由此导致的损失由基金管理人承担</w:t>
      </w:r>
      <w:r>
        <w:rPr>
          <w:rFonts w:ascii="宋体" w:eastAsia="宋体" w:hAnsi="宋体" w:cs="Malgun Gothic Semilight" w:hint="eastAsia"/>
          <w:sz w:val="24"/>
          <w:szCs w:val="24"/>
        </w:rPr>
        <w:t>。</w:t>
      </w:r>
    </w:p>
    <w:p w14:paraId="2702680A"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微软雅黑" w:hint="eastAsia"/>
          <w:sz w:val="24"/>
          <w:szCs w:val="24"/>
        </w:rPr>
        <w:t>资金账目的核对</w:t>
      </w:r>
    </w:p>
    <w:p w14:paraId="225E02C1" w14:textId="77777777" w:rsidR="00F012EE" w:rsidRDefault="00477FBC">
      <w:pPr>
        <w:adjustRightInd w:val="0"/>
        <w:snapToGrid w:val="0"/>
        <w:spacing w:line="360" w:lineRule="auto"/>
        <w:ind w:firstLine="480"/>
        <w:rPr>
          <w:rFonts w:ascii="宋体" w:eastAsia="宋体" w:hAnsi="宋体" w:cs="Malgun Gothic Semilight"/>
          <w:sz w:val="24"/>
          <w:szCs w:val="24"/>
        </w:rPr>
      </w:pPr>
      <w:r>
        <w:rPr>
          <w:rFonts w:ascii="宋体" w:eastAsia="宋体" w:hAnsi="宋体" w:cs="微软雅黑" w:hint="eastAsia"/>
          <w:sz w:val="24"/>
          <w:szCs w:val="24"/>
        </w:rPr>
        <w:t>资金账目按日核实</w:t>
      </w:r>
      <w:r>
        <w:rPr>
          <w:rFonts w:ascii="宋体" w:eastAsia="宋体" w:hAnsi="宋体" w:cs="Malgun Gothic Semilight" w:hint="eastAsia"/>
          <w:sz w:val="24"/>
          <w:szCs w:val="24"/>
        </w:rPr>
        <w:t>。</w:t>
      </w:r>
    </w:p>
    <w:p w14:paraId="0B9C65A8"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Malgun Gothic Semilight" w:hint="eastAsia"/>
          <w:sz w:val="24"/>
          <w:szCs w:val="24"/>
        </w:rPr>
        <w:t>（</w:t>
      </w:r>
      <w:r>
        <w:rPr>
          <w:rFonts w:ascii="宋体" w:eastAsia="宋体" w:hAnsi="宋体" w:cs="Arial" w:hint="eastAsia"/>
          <w:sz w:val="24"/>
          <w:szCs w:val="24"/>
        </w:rPr>
        <w:t>3）</w:t>
      </w:r>
      <w:r>
        <w:rPr>
          <w:rFonts w:ascii="宋体" w:eastAsia="宋体" w:hAnsi="宋体" w:cs="微软雅黑" w:hint="eastAsia"/>
          <w:sz w:val="24"/>
          <w:szCs w:val="24"/>
        </w:rPr>
        <w:t>证券/期货账目的核对</w:t>
      </w:r>
    </w:p>
    <w:p w14:paraId="09F492B6"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基金管理人和基金托管人每个工作日结束后核对基金证券/期货账目</w:t>
      </w:r>
      <w:r>
        <w:rPr>
          <w:rFonts w:ascii="宋体" w:eastAsia="宋体" w:hAnsi="宋体" w:cs="Malgun Gothic Semilight" w:hint="eastAsia"/>
          <w:sz w:val="24"/>
          <w:szCs w:val="24"/>
        </w:rPr>
        <w:t>，</w:t>
      </w:r>
      <w:r>
        <w:rPr>
          <w:rFonts w:ascii="宋体" w:eastAsia="宋体" w:hAnsi="宋体" w:cs="微软雅黑" w:hint="eastAsia"/>
          <w:sz w:val="24"/>
          <w:szCs w:val="24"/>
        </w:rPr>
        <w:t>确保双方账目相符</w:t>
      </w:r>
      <w:r>
        <w:rPr>
          <w:rFonts w:ascii="宋体" w:eastAsia="宋体" w:hAnsi="宋体" w:cs="Arial" w:hint="eastAsia"/>
          <w:sz w:val="24"/>
          <w:szCs w:val="24"/>
        </w:rPr>
        <w:t>。</w:t>
      </w:r>
    </w:p>
    <w:p w14:paraId="06ACF7D5"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（三）基金申购和赎回业务处理的基本规定</w:t>
      </w:r>
    </w:p>
    <w:p w14:paraId="34AC6432"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1.</w:t>
      </w:r>
      <w:r>
        <w:rPr>
          <w:rFonts w:ascii="宋体" w:eastAsia="宋体" w:hAnsi="宋体" w:cs="微软雅黑"/>
          <w:sz w:val="24"/>
          <w:szCs w:val="24"/>
        </w:rPr>
        <w:t>基金管理人和基金托管人应当按照《基金合同》、《招募说明书》的约定，在基金</w:t>
      </w:r>
      <w:r>
        <w:rPr>
          <w:rFonts w:ascii="宋体" w:eastAsia="宋体" w:hAnsi="宋体" w:cs="微软雅黑" w:hint="eastAsia"/>
          <w:sz w:val="24"/>
          <w:szCs w:val="24"/>
        </w:rPr>
        <w:t>申购、赎回的时间、场所、方式、程序、价格、费用、收款或付款等各方面相互配合，积极履行各自的义务，保证基金的申购、赎回工作能够顺利进行</w:t>
      </w:r>
      <w:r>
        <w:rPr>
          <w:rFonts w:ascii="宋体" w:eastAsia="宋体" w:hAnsi="宋体" w:cs="Malgun Gothic Semilight" w:hint="eastAsia"/>
          <w:sz w:val="24"/>
          <w:szCs w:val="24"/>
        </w:rPr>
        <w:t>。</w:t>
      </w:r>
    </w:p>
    <w:p w14:paraId="548CA662"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2.组合证券、</w:t>
      </w:r>
      <w:r>
        <w:rPr>
          <w:rFonts w:ascii="宋体" w:eastAsia="宋体" w:hAnsi="宋体" w:cs="微软雅黑" w:hint="eastAsia"/>
          <w:sz w:val="24"/>
          <w:szCs w:val="24"/>
        </w:rPr>
        <w:t>现金替代、现金差额等的交收由基金管理人根据基金招募说明书办理。如遇特殊情况，双方协商处理</w:t>
      </w:r>
      <w:r>
        <w:rPr>
          <w:rFonts w:ascii="宋体" w:eastAsia="宋体" w:hAnsi="宋体" w:cs="Malgun Gothic Semilight" w:hint="eastAsia"/>
          <w:sz w:val="24"/>
          <w:szCs w:val="24"/>
        </w:rPr>
        <w:t>。</w:t>
      </w:r>
    </w:p>
    <w:p w14:paraId="32D7DDBC"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（四）</w:t>
      </w:r>
      <w:proofErr w:type="gramStart"/>
      <w:r>
        <w:rPr>
          <w:rFonts w:ascii="宋体" w:eastAsia="宋体" w:hAnsi="宋体" w:cs="Arial" w:hint="eastAsia"/>
          <w:sz w:val="24"/>
          <w:szCs w:val="24"/>
        </w:rPr>
        <w:t>申赎的</w:t>
      </w:r>
      <w:proofErr w:type="gramEnd"/>
      <w:r>
        <w:rPr>
          <w:rFonts w:ascii="宋体" w:eastAsia="宋体" w:hAnsi="宋体" w:cs="Arial" w:hint="eastAsia"/>
          <w:sz w:val="24"/>
          <w:szCs w:val="24"/>
        </w:rPr>
        <w:t>清算交收</w:t>
      </w:r>
    </w:p>
    <w:p w14:paraId="1E6250DD"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微软雅黑" w:hint="eastAsia"/>
          <w:sz w:val="24"/>
          <w:szCs w:val="24"/>
        </w:rPr>
        <w:t>本基金申购赎回过程中涉及的基金份额、组合证券、现金替代、现金差额和</w:t>
      </w:r>
      <w:r>
        <w:rPr>
          <w:rFonts w:ascii="宋体" w:eastAsia="宋体" w:hAnsi="宋体" w:cs="微软雅黑"/>
          <w:sz w:val="24"/>
          <w:szCs w:val="24"/>
        </w:rPr>
        <w:t>/或其他对</w:t>
      </w:r>
      <w:r>
        <w:rPr>
          <w:rFonts w:ascii="宋体" w:eastAsia="宋体" w:hAnsi="宋体" w:cs="微软雅黑" w:hint="eastAsia"/>
          <w:sz w:val="24"/>
          <w:szCs w:val="24"/>
        </w:rPr>
        <w:t>价的清算交收适用相关业务规则和参与各方相关协议及其不时修订的有</w:t>
      </w:r>
      <w:r>
        <w:rPr>
          <w:rFonts w:ascii="宋体" w:eastAsia="宋体" w:hAnsi="宋体" w:cs="微软雅黑" w:hint="eastAsia"/>
          <w:sz w:val="24"/>
          <w:szCs w:val="24"/>
        </w:rPr>
        <w:lastRenderedPageBreak/>
        <w:t>关规定，具体规则在招募说明书中列示。如深圳证券交易所、中国证券登记结算有限责任公司修改或更新上述规则并适用于本基金的，则按照新的规则执行，并在招募说明书中进行更新</w:t>
      </w:r>
      <w:r>
        <w:rPr>
          <w:rFonts w:ascii="宋体" w:eastAsia="宋体" w:hAnsi="宋体" w:cs="Malgun Gothic Semilight" w:hint="eastAsia"/>
          <w:sz w:val="24"/>
          <w:szCs w:val="24"/>
        </w:rPr>
        <w:t>。</w:t>
      </w:r>
    </w:p>
    <w:p w14:paraId="3CC4E06A"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（五）基金现金分红</w:t>
      </w:r>
    </w:p>
    <w:p w14:paraId="67E209D6" w14:textId="77777777" w:rsidR="00F012EE" w:rsidRDefault="00477FBC">
      <w:pPr>
        <w:adjustRightInd w:val="0"/>
        <w:snapToGrid w:val="0"/>
        <w:spacing w:line="360" w:lineRule="auto"/>
        <w:ind w:firstLineChars="200" w:firstLine="480"/>
        <w:rPr>
          <w:rFonts w:ascii="宋体" w:eastAsia="宋体" w:hAnsi="宋体" w:cs="Times New Roman"/>
          <w:sz w:val="24"/>
          <w:szCs w:val="18"/>
        </w:rPr>
      </w:pPr>
      <w:r>
        <w:rPr>
          <w:rFonts w:ascii="宋体" w:eastAsia="宋体" w:hAnsi="宋体" w:cs="Arial" w:hint="eastAsia"/>
          <w:sz w:val="24"/>
          <w:szCs w:val="24"/>
        </w:rPr>
        <w:t>1.</w:t>
      </w:r>
      <w:r>
        <w:rPr>
          <w:rFonts w:ascii="宋体" w:eastAsia="宋体" w:hAnsi="宋体" w:cs="微软雅黑" w:hint="eastAsia"/>
          <w:sz w:val="24"/>
          <w:szCs w:val="24"/>
        </w:rPr>
        <w:t>基金管理人确定分红方案通知基金托管人</w:t>
      </w:r>
      <w:r>
        <w:rPr>
          <w:rFonts w:ascii="宋体" w:eastAsia="宋体" w:hAnsi="宋体" w:cs="Malgun Gothic Semilight" w:hint="eastAsia"/>
          <w:sz w:val="24"/>
          <w:szCs w:val="24"/>
        </w:rPr>
        <w:t>，</w:t>
      </w:r>
      <w:r>
        <w:rPr>
          <w:rFonts w:ascii="宋体" w:eastAsia="宋体" w:hAnsi="宋体" w:cs="微软雅黑" w:hint="eastAsia"/>
          <w:sz w:val="24"/>
          <w:szCs w:val="24"/>
        </w:rPr>
        <w:t>双方核定后</w:t>
      </w:r>
      <w:r>
        <w:rPr>
          <w:rFonts w:ascii="宋体" w:eastAsia="宋体" w:hAnsi="宋体" w:cs="微软雅黑" w:hint="eastAsia"/>
          <w:sz w:val="24"/>
          <w:szCs w:val="18"/>
        </w:rPr>
        <w:t>依照</w:t>
      </w:r>
      <w:r>
        <w:rPr>
          <w:rFonts w:ascii="宋体" w:eastAsia="宋体" w:hAnsi="宋体" w:cs="Malgun Gothic Semilight" w:hint="eastAsia"/>
          <w:sz w:val="24"/>
          <w:szCs w:val="18"/>
        </w:rPr>
        <w:t>《</w:t>
      </w:r>
      <w:r>
        <w:rPr>
          <w:rFonts w:ascii="宋体" w:eastAsia="宋体" w:hAnsi="宋体" w:cs="微软雅黑" w:hint="eastAsia"/>
          <w:sz w:val="24"/>
          <w:szCs w:val="18"/>
        </w:rPr>
        <w:t>信息披露办法</w:t>
      </w:r>
      <w:r>
        <w:rPr>
          <w:rFonts w:ascii="宋体" w:eastAsia="宋体" w:hAnsi="宋体" w:cs="Malgun Gothic Semilight" w:hint="eastAsia"/>
          <w:sz w:val="24"/>
          <w:szCs w:val="18"/>
        </w:rPr>
        <w:t>》</w:t>
      </w:r>
      <w:r>
        <w:rPr>
          <w:rFonts w:ascii="宋体" w:eastAsia="宋体" w:hAnsi="宋体" w:cs="微软雅黑" w:hint="eastAsia"/>
          <w:sz w:val="24"/>
          <w:szCs w:val="18"/>
        </w:rPr>
        <w:t>的有关规定在中国证监会规定媒介上公告</w:t>
      </w:r>
      <w:r>
        <w:rPr>
          <w:rFonts w:ascii="宋体" w:eastAsia="宋体" w:hAnsi="宋体" w:cs="Arial" w:hint="eastAsia"/>
          <w:sz w:val="24"/>
          <w:szCs w:val="24"/>
        </w:rPr>
        <w:t>。</w:t>
      </w:r>
    </w:p>
    <w:p w14:paraId="65A053F2"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微软雅黑" w:hint="eastAsia"/>
          <w:sz w:val="24"/>
          <w:szCs w:val="24"/>
        </w:rPr>
        <w:t>基金托管人和基金管理人对基金分红进行账务处理并核对后</w:t>
      </w:r>
      <w:r>
        <w:rPr>
          <w:rFonts w:ascii="宋体" w:eastAsia="宋体" w:hAnsi="宋体" w:cs="Malgun Gothic Semilight" w:hint="eastAsia"/>
          <w:sz w:val="24"/>
          <w:szCs w:val="24"/>
        </w:rPr>
        <w:t>，</w:t>
      </w:r>
      <w:r>
        <w:rPr>
          <w:rFonts w:ascii="宋体" w:eastAsia="宋体" w:hAnsi="宋体" w:cs="微软雅黑" w:hint="eastAsia"/>
          <w:sz w:val="24"/>
          <w:szCs w:val="24"/>
        </w:rPr>
        <w:t>基金管理人向基金托管人发送现金红利的划款指令</w:t>
      </w:r>
      <w:r>
        <w:rPr>
          <w:rFonts w:ascii="宋体" w:eastAsia="宋体" w:hAnsi="宋体" w:cs="Malgun Gothic Semilight" w:hint="eastAsia"/>
          <w:sz w:val="24"/>
          <w:szCs w:val="24"/>
        </w:rPr>
        <w:t>，</w:t>
      </w:r>
      <w:r>
        <w:rPr>
          <w:rFonts w:ascii="宋体" w:eastAsia="宋体" w:hAnsi="宋体" w:cs="微软雅黑" w:hint="eastAsia"/>
          <w:sz w:val="24"/>
          <w:szCs w:val="24"/>
        </w:rPr>
        <w:t>基金托管人应及时将资金划入专用账户</w:t>
      </w:r>
      <w:r>
        <w:rPr>
          <w:rFonts w:ascii="宋体" w:eastAsia="宋体" w:hAnsi="宋体" w:cs="Malgun Gothic Semilight" w:hint="eastAsia"/>
          <w:sz w:val="24"/>
          <w:szCs w:val="24"/>
        </w:rPr>
        <w:t>。</w:t>
      </w:r>
    </w:p>
    <w:p w14:paraId="52C158C2"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3.</w:t>
      </w:r>
      <w:r>
        <w:rPr>
          <w:rFonts w:ascii="宋体" w:eastAsia="宋体" w:hAnsi="宋体" w:cs="微软雅黑" w:hint="eastAsia"/>
          <w:sz w:val="24"/>
          <w:szCs w:val="24"/>
        </w:rPr>
        <w:t>基金管理人在下达指令时</w:t>
      </w:r>
      <w:r>
        <w:rPr>
          <w:rFonts w:ascii="宋体" w:eastAsia="宋体" w:hAnsi="宋体" w:cs="Arial" w:hint="eastAsia"/>
          <w:sz w:val="24"/>
          <w:szCs w:val="24"/>
        </w:rPr>
        <w:t>，</w:t>
      </w:r>
      <w:r>
        <w:rPr>
          <w:rFonts w:ascii="宋体" w:eastAsia="宋体" w:hAnsi="宋体" w:cs="微软雅黑" w:hint="eastAsia"/>
          <w:sz w:val="24"/>
          <w:szCs w:val="24"/>
        </w:rPr>
        <w:t>应给基金托管人留出必需的划款时间</w:t>
      </w:r>
      <w:r>
        <w:rPr>
          <w:rFonts w:ascii="宋体" w:eastAsia="宋体" w:hAnsi="宋体" w:cs="Arial" w:hint="eastAsia"/>
          <w:sz w:val="24"/>
          <w:szCs w:val="24"/>
        </w:rPr>
        <w:t>。</w:t>
      </w:r>
    </w:p>
    <w:p w14:paraId="5E76EF41"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（六）投资银行存款的特别约定</w:t>
      </w:r>
    </w:p>
    <w:p w14:paraId="13C57638"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w:t>
      </w:r>
      <w:r>
        <w:rPr>
          <w:rFonts w:ascii="宋体" w:eastAsia="宋体" w:hAnsi="宋体" w:cs="微软雅黑" w:hint="eastAsia"/>
          <w:sz w:val="24"/>
          <w:szCs w:val="24"/>
        </w:rPr>
        <w:t>本基金投资银行存款前</w:t>
      </w:r>
      <w:r>
        <w:rPr>
          <w:rFonts w:ascii="宋体" w:eastAsia="宋体" w:hAnsi="宋体" w:cs="Arial" w:hint="eastAsia"/>
          <w:sz w:val="24"/>
          <w:szCs w:val="24"/>
        </w:rPr>
        <w:t>，</w:t>
      </w:r>
      <w:r>
        <w:rPr>
          <w:rFonts w:ascii="宋体" w:eastAsia="宋体" w:hAnsi="宋体" w:cs="微软雅黑" w:hint="eastAsia"/>
          <w:sz w:val="24"/>
          <w:szCs w:val="24"/>
        </w:rPr>
        <w:t>基金管理人应与存款银行签订具体存款协议</w:t>
      </w:r>
      <w:r>
        <w:rPr>
          <w:rFonts w:ascii="宋体" w:eastAsia="宋体" w:hAnsi="宋体" w:cs="Arial" w:hint="eastAsia"/>
          <w:sz w:val="24"/>
          <w:szCs w:val="24"/>
        </w:rPr>
        <w:t>，</w:t>
      </w:r>
      <w:r>
        <w:rPr>
          <w:rFonts w:ascii="宋体" w:eastAsia="宋体" w:hAnsi="宋体" w:cs="微软雅黑" w:hint="eastAsia"/>
          <w:sz w:val="24"/>
          <w:szCs w:val="24"/>
        </w:rPr>
        <w:t>包括但不限于以下内容</w:t>
      </w:r>
      <w:r>
        <w:rPr>
          <w:rFonts w:ascii="宋体" w:eastAsia="宋体" w:hAnsi="宋体" w:cs="Arial" w:hint="eastAsia"/>
          <w:sz w:val="24"/>
          <w:szCs w:val="24"/>
        </w:rPr>
        <w:t>：</w:t>
      </w:r>
    </w:p>
    <w:p w14:paraId="19550183"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w:t>
      </w:r>
      <w:r>
        <w:rPr>
          <w:rFonts w:ascii="宋体" w:eastAsia="宋体" w:hAnsi="宋体" w:cs="微软雅黑" w:hint="eastAsia"/>
          <w:sz w:val="24"/>
          <w:szCs w:val="24"/>
        </w:rPr>
        <w:t>存款账户必须以本基金名义开立</w:t>
      </w:r>
      <w:r>
        <w:rPr>
          <w:rFonts w:ascii="宋体" w:eastAsia="宋体" w:hAnsi="宋体" w:cs="Arial" w:hint="eastAsia"/>
          <w:sz w:val="24"/>
          <w:szCs w:val="24"/>
        </w:rPr>
        <w:t>，</w:t>
      </w:r>
      <w:r>
        <w:rPr>
          <w:rFonts w:ascii="宋体" w:eastAsia="宋体" w:hAnsi="宋体" w:cs="微软雅黑" w:hint="eastAsia"/>
          <w:sz w:val="24"/>
          <w:szCs w:val="24"/>
        </w:rPr>
        <w:t>并将基金托管人为本基金开立的基金托管资金账户指定为唯一回款账户</w:t>
      </w:r>
      <w:r>
        <w:rPr>
          <w:rFonts w:ascii="宋体" w:eastAsia="宋体" w:hAnsi="宋体" w:cs="Arial" w:hint="eastAsia"/>
          <w:sz w:val="24"/>
          <w:szCs w:val="24"/>
        </w:rPr>
        <w:t>，</w:t>
      </w:r>
      <w:r>
        <w:rPr>
          <w:rFonts w:ascii="宋体" w:eastAsia="宋体" w:hAnsi="宋体" w:cs="微软雅黑" w:hint="eastAsia"/>
          <w:sz w:val="24"/>
          <w:szCs w:val="24"/>
        </w:rPr>
        <w:t>任何情况下</w:t>
      </w:r>
      <w:r>
        <w:rPr>
          <w:rFonts w:ascii="宋体" w:eastAsia="宋体" w:hAnsi="宋体" w:cs="Arial" w:hint="eastAsia"/>
          <w:sz w:val="24"/>
          <w:szCs w:val="24"/>
        </w:rPr>
        <w:t>，</w:t>
      </w:r>
      <w:r>
        <w:rPr>
          <w:rFonts w:ascii="宋体" w:eastAsia="宋体" w:hAnsi="宋体" w:cs="微软雅黑" w:hint="eastAsia"/>
          <w:sz w:val="24"/>
          <w:szCs w:val="24"/>
        </w:rPr>
        <w:t>存款银行都不得将存款投资</w:t>
      </w:r>
      <w:proofErr w:type="gramStart"/>
      <w:r>
        <w:rPr>
          <w:rFonts w:ascii="宋体" w:eastAsia="宋体" w:hAnsi="宋体" w:cs="微软雅黑" w:hint="eastAsia"/>
          <w:sz w:val="24"/>
          <w:szCs w:val="24"/>
        </w:rPr>
        <w:t>本息划往任何</w:t>
      </w:r>
      <w:proofErr w:type="gramEnd"/>
      <w:r>
        <w:rPr>
          <w:rFonts w:ascii="宋体" w:eastAsia="宋体" w:hAnsi="宋体" w:cs="微软雅黑" w:hint="eastAsia"/>
          <w:sz w:val="24"/>
          <w:szCs w:val="24"/>
        </w:rPr>
        <w:t>其他账户</w:t>
      </w:r>
      <w:r>
        <w:rPr>
          <w:rFonts w:ascii="宋体" w:eastAsia="宋体" w:hAnsi="宋体" w:cs="Arial" w:hint="eastAsia"/>
          <w:sz w:val="24"/>
          <w:szCs w:val="24"/>
        </w:rPr>
        <w:t>。</w:t>
      </w:r>
    </w:p>
    <w:p w14:paraId="6D27B6C9"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微软雅黑" w:hint="eastAsia"/>
          <w:sz w:val="24"/>
          <w:szCs w:val="24"/>
        </w:rPr>
        <w:t>存款银行不得接受基金管理人或基金托管人任何一方单方面提出的对存款进行更名</w:t>
      </w:r>
      <w:r>
        <w:rPr>
          <w:rFonts w:ascii="宋体" w:eastAsia="宋体" w:hAnsi="宋体" w:cs="Arial" w:hint="eastAsia"/>
          <w:sz w:val="24"/>
          <w:szCs w:val="24"/>
        </w:rPr>
        <w:t>、</w:t>
      </w:r>
      <w:r>
        <w:rPr>
          <w:rFonts w:ascii="宋体" w:eastAsia="宋体" w:hAnsi="宋体" w:cs="微软雅黑" w:hint="eastAsia"/>
          <w:sz w:val="24"/>
          <w:szCs w:val="24"/>
        </w:rPr>
        <w:t>转让</w:t>
      </w:r>
      <w:r>
        <w:rPr>
          <w:rFonts w:ascii="宋体" w:eastAsia="宋体" w:hAnsi="宋体" w:cs="Arial" w:hint="eastAsia"/>
          <w:sz w:val="24"/>
          <w:szCs w:val="24"/>
        </w:rPr>
        <w:t>、</w:t>
      </w:r>
      <w:r>
        <w:rPr>
          <w:rFonts w:ascii="宋体" w:eastAsia="宋体" w:hAnsi="宋体" w:cs="微软雅黑" w:hint="eastAsia"/>
          <w:sz w:val="24"/>
          <w:szCs w:val="24"/>
        </w:rPr>
        <w:t>挂失</w:t>
      </w:r>
      <w:r>
        <w:rPr>
          <w:rFonts w:ascii="宋体" w:eastAsia="宋体" w:hAnsi="宋体" w:cs="Arial" w:hint="eastAsia"/>
          <w:sz w:val="24"/>
          <w:szCs w:val="24"/>
        </w:rPr>
        <w:t>、</w:t>
      </w:r>
      <w:r>
        <w:rPr>
          <w:rFonts w:ascii="宋体" w:eastAsia="宋体" w:hAnsi="宋体" w:cs="微软雅黑" w:hint="eastAsia"/>
          <w:sz w:val="24"/>
          <w:szCs w:val="24"/>
        </w:rPr>
        <w:t>质押</w:t>
      </w:r>
      <w:r>
        <w:rPr>
          <w:rFonts w:ascii="宋体" w:eastAsia="宋体" w:hAnsi="宋体" w:cs="Arial" w:hint="eastAsia"/>
          <w:sz w:val="24"/>
          <w:szCs w:val="24"/>
        </w:rPr>
        <w:t>、</w:t>
      </w:r>
      <w:r>
        <w:rPr>
          <w:rFonts w:ascii="宋体" w:eastAsia="宋体" w:hAnsi="宋体" w:cs="微软雅黑" w:hint="eastAsia"/>
          <w:sz w:val="24"/>
          <w:szCs w:val="24"/>
        </w:rPr>
        <w:t>担保</w:t>
      </w:r>
      <w:r>
        <w:rPr>
          <w:rFonts w:ascii="宋体" w:eastAsia="宋体" w:hAnsi="宋体" w:cs="Arial" w:hint="eastAsia"/>
          <w:sz w:val="24"/>
          <w:szCs w:val="24"/>
        </w:rPr>
        <w:t>、</w:t>
      </w:r>
      <w:r>
        <w:rPr>
          <w:rFonts w:ascii="宋体" w:eastAsia="宋体" w:hAnsi="宋体" w:cs="微软雅黑" w:hint="eastAsia"/>
          <w:sz w:val="24"/>
          <w:szCs w:val="24"/>
        </w:rPr>
        <w:t>撤销</w:t>
      </w:r>
      <w:r>
        <w:rPr>
          <w:rFonts w:ascii="宋体" w:eastAsia="宋体" w:hAnsi="宋体" w:cs="Arial" w:hint="eastAsia"/>
          <w:sz w:val="24"/>
          <w:szCs w:val="24"/>
        </w:rPr>
        <w:t>、</w:t>
      </w:r>
      <w:r>
        <w:rPr>
          <w:rFonts w:ascii="宋体" w:eastAsia="宋体" w:hAnsi="宋体" w:cs="微软雅黑" w:hint="eastAsia"/>
          <w:sz w:val="24"/>
          <w:szCs w:val="24"/>
        </w:rPr>
        <w:t>变更印鉴及回款账户信息等可能导致财产转移的操作申请</w:t>
      </w:r>
      <w:r>
        <w:rPr>
          <w:rFonts w:ascii="宋体" w:eastAsia="宋体" w:hAnsi="宋体" w:cs="Arial" w:hint="eastAsia"/>
          <w:sz w:val="24"/>
          <w:szCs w:val="24"/>
        </w:rPr>
        <w:t>。</w:t>
      </w:r>
    </w:p>
    <w:p w14:paraId="279C1FB4"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（3）</w:t>
      </w:r>
      <w:r>
        <w:rPr>
          <w:rFonts w:ascii="宋体" w:eastAsia="宋体" w:hAnsi="宋体" w:cs="微软雅黑" w:hint="eastAsia"/>
          <w:sz w:val="24"/>
          <w:szCs w:val="24"/>
        </w:rPr>
        <w:t>约定存款证实书的具体传递交接方式及交接期限</w:t>
      </w:r>
      <w:r>
        <w:rPr>
          <w:rFonts w:ascii="宋体" w:eastAsia="宋体" w:hAnsi="宋体" w:cs="Arial" w:hint="eastAsia"/>
          <w:sz w:val="24"/>
          <w:szCs w:val="24"/>
        </w:rPr>
        <w:t>。</w:t>
      </w:r>
    </w:p>
    <w:p w14:paraId="2B78F869"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（4）</w:t>
      </w:r>
      <w:r>
        <w:rPr>
          <w:rFonts w:ascii="宋体" w:eastAsia="宋体" w:hAnsi="宋体" w:cs="微软雅黑" w:hint="eastAsia"/>
          <w:sz w:val="24"/>
          <w:szCs w:val="24"/>
        </w:rPr>
        <w:t>资金划转过程中需要使用存款银行过渡账户的</w:t>
      </w:r>
      <w:r>
        <w:rPr>
          <w:rFonts w:ascii="宋体" w:eastAsia="宋体" w:hAnsi="宋体" w:cs="Arial" w:hint="eastAsia"/>
          <w:sz w:val="24"/>
          <w:szCs w:val="24"/>
        </w:rPr>
        <w:t>，</w:t>
      </w:r>
      <w:r>
        <w:rPr>
          <w:rFonts w:ascii="宋体" w:eastAsia="宋体" w:hAnsi="宋体" w:cs="微软雅黑" w:hint="eastAsia"/>
          <w:sz w:val="24"/>
          <w:szCs w:val="24"/>
        </w:rPr>
        <w:t>存款银行须保证资金在过渡账户中不出现滞留</w:t>
      </w:r>
      <w:r>
        <w:rPr>
          <w:rFonts w:ascii="宋体" w:eastAsia="宋体" w:hAnsi="宋体" w:cs="Arial" w:hint="eastAsia"/>
          <w:sz w:val="24"/>
          <w:szCs w:val="24"/>
        </w:rPr>
        <w:t>，</w:t>
      </w:r>
      <w:r>
        <w:rPr>
          <w:rFonts w:ascii="宋体" w:eastAsia="宋体" w:hAnsi="宋体" w:cs="微软雅黑" w:hint="eastAsia"/>
          <w:sz w:val="24"/>
          <w:szCs w:val="24"/>
        </w:rPr>
        <w:t>不被挪用</w:t>
      </w:r>
      <w:r>
        <w:rPr>
          <w:rFonts w:ascii="宋体" w:eastAsia="宋体" w:hAnsi="宋体" w:cs="Arial" w:hint="eastAsia"/>
          <w:sz w:val="24"/>
          <w:szCs w:val="24"/>
        </w:rPr>
        <w:t>。</w:t>
      </w:r>
    </w:p>
    <w:p w14:paraId="5ADE9A93"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微软雅黑" w:hint="eastAsia"/>
          <w:sz w:val="24"/>
          <w:szCs w:val="24"/>
        </w:rPr>
        <w:t>本基金投资银行存款</w:t>
      </w:r>
      <w:r>
        <w:rPr>
          <w:rFonts w:ascii="宋体" w:eastAsia="宋体" w:hAnsi="宋体" w:cs="Arial" w:hint="eastAsia"/>
          <w:sz w:val="24"/>
          <w:szCs w:val="24"/>
        </w:rPr>
        <w:t>，</w:t>
      </w:r>
      <w:r>
        <w:rPr>
          <w:rFonts w:ascii="宋体" w:eastAsia="宋体" w:hAnsi="宋体" w:cs="微软雅黑" w:hint="eastAsia"/>
          <w:sz w:val="24"/>
          <w:szCs w:val="24"/>
        </w:rPr>
        <w:t>必须采用双方认可的方式办理</w:t>
      </w:r>
      <w:r>
        <w:rPr>
          <w:rFonts w:ascii="宋体" w:eastAsia="宋体" w:hAnsi="宋体" w:cs="Arial" w:hint="eastAsia"/>
          <w:sz w:val="24"/>
          <w:szCs w:val="24"/>
        </w:rPr>
        <w:t>。</w:t>
      </w:r>
      <w:r>
        <w:rPr>
          <w:rFonts w:ascii="宋体" w:eastAsia="宋体" w:hAnsi="宋体" w:cs="微软雅黑" w:hint="eastAsia"/>
          <w:sz w:val="24"/>
          <w:szCs w:val="24"/>
        </w:rPr>
        <w:t>托管人负责依据管理人提供的银行存款投资合同</w:t>
      </w:r>
      <w:r>
        <w:rPr>
          <w:rFonts w:ascii="宋体" w:eastAsia="宋体" w:hAnsi="宋体" w:cs="Arial" w:hint="eastAsia"/>
          <w:sz w:val="24"/>
          <w:szCs w:val="24"/>
        </w:rPr>
        <w:t>/</w:t>
      </w:r>
      <w:r>
        <w:rPr>
          <w:rFonts w:ascii="宋体" w:eastAsia="宋体" w:hAnsi="宋体" w:cs="微软雅黑" w:hint="eastAsia"/>
          <w:sz w:val="24"/>
          <w:szCs w:val="24"/>
        </w:rPr>
        <w:t>协议</w:t>
      </w:r>
      <w:r>
        <w:rPr>
          <w:rFonts w:ascii="宋体" w:eastAsia="宋体" w:hAnsi="宋体" w:cs="Arial" w:hint="eastAsia"/>
          <w:sz w:val="24"/>
          <w:szCs w:val="24"/>
        </w:rPr>
        <w:t>、</w:t>
      </w:r>
      <w:r>
        <w:rPr>
          <w:rFonts w:ascii="宋体" w:eastAsia="宋体" w:hAnsi="宋体" w:cs="微软雅黑" w:hint="eastAsia"/>
          <w:sz w:val="24"/>
          <w:szCs w:val="24"/>
        </w:rPr>
        <w:t>投资指令</w:t>
      </w:r>
      <w:r>
        <w:rPr>
          <w:rFonts w:ascii="宋体" w:eastAsia="宋体" w:hAnsi="宋体" w:cs="Arial" w:hint="eastAsia"/>
          <w:sz w:val="24"/>
          <w:szCs w:val="24"/>
        </w:rPr>
        <w:t>、</w:t>
      </w:r>
      <w:r>
        <w:rPr>
          <w:rFonts w:ascii="宋体" w:eastAsia="宋体" w:hAnsi="宋体" w:cs="微软雅黑" w:hint="eastAsia"/>
          <w:sz w:val="24"/>
          <w:szCs w:val="24"/>
        </w:rPr>
        <w:t>支取通知等有关文件办理资金的支付以及存款证实书的接收</w:t>
      </w:r>
      <w:r>
        <w:rPr>
          <w:rFonts w:ascii="宋体" w:eastAsia="宋体" w:hAnsi="宋体" w:cs="Arial" w:hint="eastAsia"/>
          <w:sz w:val="24"/>
          <w:szCs w:val="24"/>
        </w:rPr>
        <w:t>、</w:t>
      </w:r>
      <w:r>
        <w:rPr>
          <w:rFonts w:ascii="宋体" w:eastAsia="宋体" w:hAnsi="宋体" w:cs="微软雅黑" w:hint="eastAsia"/>
          <w:sz w:val="24"/>
          <w:szCs w:val="24"/>
        </w:rPr>
        <w:t>保管与交付</w:t>
      </w:r>
      <w:r>
        <w:rPr>
          <w:rFonts w:ascii="宋体" w:eastAsia="宋体" w:hAnsi="宋体" w:cs="Arial" w:hint="eastAsia"/>
          <w:sz w:val="24"/>
          <w:szCs w:val="24"/>
        </w:rPr>
        <w:t>，</w:t>
      </w:r>
      <w:r>
        <w:rPr>
          <w:rFonts w:ascii="宋体" w:eastAsia="宋体" w:hAnsi="宋体" w:cs="微软雅黑" w:hint="eastAsia"/>
          <w:sz w:val="24"/>
          <w:szCs w:val="24"/>
        </w:rPr>
        <w:t>切实履行托管职责</w:t>
      </w:r>
      <w:r>
        <w:rPr>
          <w:rFonts w:ascii="宋体" w:eastAsia="宋体" w:hAnsi="宋体" w:cs="Arial" w:hint="eastAsia"/>
          <w:sz w:val="24"/>
          <w:szCs w:val="24"/>
        </w:rPr>
        <w:t>。</w:t>
      </w:r>
      <w:r>
        <w:rPr>
          <w:rFonts w:ascii="宋体" w:eastAsia="宋体" w:hAnsi="宋体" w:cs="微软雅黑" w:hint="eastAsia"/>
          <w:sz w:val="24"/>
          <w:szCs w:val="24"/>
        </w:rPr>
        <w:t>托管人负责对存款开户证实书进行保管</w:t>
      </w:r>
      <w:r>
        <w:rPr>
          <w:rFonts w:ascii="宋体" w:eastAsia="宋体" w:hAnsi="宋体" w:cs="Arial" w:hint="eastAsia"/>
          <w:sz w:val="24"/>
          <w:szCs w:val="24"/>
        </w:rPr>
        <w:t>，</w:t>
      </w:r>
      <w:r>
        <w:rPr>
          <w:rFonts w:ascii="宋体" w:eastAsia="宋体" w:hAnsi="宋体" w:cs="微软雅黑" w:hint="eastAsia"/>
          <w:sz w:val="24"/>
          <w:szCs w:val="24"/>
        </w:rPr>
        <w:t>不负责对存款开户证实书真伪的辨别</w:t>
      </w:r>
      <w:r>
        <w:rPr>
          <w:rFonts w:ascii="宋体" w:eastAsia="宋体" w:hAnsi="宋体" w:cs="Arial" w:hint="eastAsia"/>
          <w:sz w:val="24"/>
          <w:szCs w:val="24"/>
        </w:rPr>
        <w:t>，</w:t>
      </w:r>
      <w:r>
        <w:rPr>
          <w:rFonts w:ascii="宋体" w:eastAsia="宋体" w:hAnsi="宋体" w:cs="微软雅黑" w:hint="eastAsia"/>
          <w:sz w:val="24"/>
          <w:szCs w:val="24"/>
        </w:rPr>
        <w:t>不承担存款开户证实书对应存款的本金及收益的安全</w:t>
      </w:r>
      <w:r>
        <w:rPr>
          <w:rFonts w:ascii="宋体" w:eastAsia="宋体" w:hAnsi="宋体" w:cs="Arial" w:hint="eastAsia"/>
          <w:sz w:val="24"/>
          <w:szCs w:val="24"/>
        </w:rPr>
        <w:t>。</w:t>
      </w:r>
    </w:p>
    <w:p w14:paraId="28DCEFB7"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3.</w:t>
      </w:r>
      <w:r>
        <w:rPr>
          <w:rFonts w:ascii="宋体" w:eastAsia="宋体" w:hAnsi="宋体" w:cs="微软雅黑" w:hint="eastAsia"/>
          <w:sz w:val="24"/>
          <w:szCs w:val="24"/>
        </w:rPr>
        <w:t>基金管理人投资银行存款或办理存款支取时</w:t>
      </w:r>
      <w:r>
        <w:rPr>
          <w:rFonts w:ascii="宋体" w:eastAsia="宋体" w:hAnsi="宋体" w:cs="Arial" w:hint="eastAsia"/>
          <w:sz w:val="24"/>
          <w:szCs w:val="24"/>
        </w:rPr>
        <w:t>，</w:t>
      </w:r>
      <w:r>
        <w:rPr>
          <w:rFonts w:ascii="宋体" w:eastAsia="宋体" w:hAnsi="宋体" w:cs="微软雅黑" w:hint="eastAsia"/>
          <w:sz w:val="24"/>
          <w:szCs w:val="24"/>
        </w:rPr>
        <w:t>应提前书面通知基金托管人</w:t>
      </w:r>
      <w:r>
        <w:rPr>
          <w:rFonts w:ascii="宋体" w:eastAsia="宋体" w:hAnsi="宋体" w:cs="Arial" w:hint="eastAsia"/>
          <w:sz w:val="24"/>
          <w:szCs w:val="24"/>
        </w:rPr>
        <w:t>，</w:t>
      </w:r>
      <w:r>
        <w:rPr>
          <w:rFonts w:ascii="宋体" w:eastAsia="宋体" w:hAnsi="宋体" w:cs="微软雅黑" w:hint="eastAsia"/>
          <w:sz w:val="24"/>
          <w:szCs w:val="24"/>
        </w:rPr>
        <w:t>以便基金托管人有足够的时间履行相应的业务操作程序</w:t>
      </w:r>
      <w:r>
        <w:rPr>
          <w:rFonts w:ascii="宋体" w:eastAsia="宋体" w:hAnsi="宋体" w:cs="Arial" w:hint="eastAsia"/>
          <w:sz w:val="24"/>
          <w:szCs w:val="24"/>
        </w:rPr>
        <w:t>。</w:t>
      </w:r>
      <w:r>
        <w:rPr>
          <w:rFonts w:ascii="宋体" w:eastAsia="宋体" w:hAnsi="宋体" w:cs="微软雅黑" w:hint="eastAsia"/>
          <w:sz w:val="24"/>
          <w:szCs w:val="24"/>
        </w:rPr>
        <w:t>因发生逾期支取</w:t>
      </w:r>
      <w:r>
        <w:rPr>
          <w:rFonts w:ascii="宋体" w:eastAsia="宋体" w:hAnsi="宋体" w:cs="Arial" w:hint="eastAsia"/>
          <w:sz w:val="24"/>
          <w:szCs w:val="24"/>
        </w:rPr>
        <w:t>、</w:t>
      </w:r>
      <w:r>
        <w:rPr>
          <w:rFonts w:ascii="宋体" w:eastAsia="宋体" w:hAnsi="宋体" w:cs="微软雅黑" w:hint="eastAsia"/>
          <w:sz w:val="24"/>
          <w:szCs w:val="24"/>
        </w:rPr>
        <w:t>提前支取或部分提前支取</w:t>
      </w:r>
      <w:r>
        <w:rPr>
          <w:rFonts w:ascii="宋体" w:eastAsia="宋体" w:hAnsi="宋体" w:cs="Arial" w:hint="eastAsia"/>
          <w:sz w:val="24"/>
          <w:szCs w:val="24"/>
        </w:rPr>
        <w:t>，</w:t>
      </w:r>
      <w:r>
        <w:rPr>
          <w:rFonts w:ascii="宋体" w:eastAsia="宋体" w:hAnsi="宋体" w:cs="微软雅黑" w:hint="eastAsia"/>
          <w:sz w:val="24"/>
          <w:szCs w:val="24"/>
        </w:rPr>
        <w:t>基金托管人不承担相应利息损失及逾期支取手续费</w:t>
      </w:r>
      <w:r>
        <w:rPr>
          <w:rFonts w:ascii="宋体" w:eastAsia="宋体" w:hAnsi="宋体" w:cs="Arial" w:hint="eastAsia"/>
          <w:sz w:val="24"/>
          <w:szCs w:val="24"/>
        </w:rPr>
        <w:t>。</w:t>
      </w:r>
    </w:p>
    <w:p w14:paraId="3EE5120D"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4</w:t>
      </w:r>
      <w:r>
        <w:rPr>
          <w:rFonts w:ascii="宋体" w:eastAsia="宋体" w:hAnsi="宋体" w:cs="Arial" w:hint="eastAsia"/>
          <w:sz w:val="24"/>
          <w:szCs w:val="24"/>
        </w:rPr>
        <w:t>.</w:t>
      </w:r>
      <w:r>
        <w:rPr>
          <w:rFonts w:ascii="宋体" w:eastAsia="宋体" w:hAnsi="宋体" w:cs="微软雅黑" w:hint="eastAsia"/>
          <w:sz w:val="24"/>
          <w:szCs w:val="24"/>
        </w:rPr>
        <w:t>对于已移交基金托管人保管的存款开户证实书等实物凭证</w:t>
      </w:r>
      <w:r>
        <w:rPr>
          <w:rFonts w:ascii="宋体" w:eastAsia="宋体" w:hAnsi="宋体" w:cs="Malgun Gothic Semilight" w:hint="eastAsia"/>
          <w:sz w:val="24"/>
          <w:szCs w:val="24"/>
        </w:rPr>
        <w:t>，</w:t>
      </w:r>
      <w:r>
        <w:rPr>
          <w:rFonts w:ascii="宋体" w:eastAsia="宋体" w:hAnsi="宋体" w:cs="微软雅黑" w:hint="eastAsia"/>
          <w:sz w:val="24"/>
          <w:szCs w:val="24"/>
        </w:rPr>
        <w:t>基金托管人应</w:t>
      </w:r>
      <w:r>
        <w:rPr>
          <w:rFonts w:ascii="宋体" w:eastAsia="宋体" w:hAnsi="宋体" w:cs="微软雅黑" w:hint="eastAsia"/>
          <w:sz w:val="24"/>
          <w:szCs w:val="24"/>
        </w:rPr>
        <w:lastRenderedPageBreak/>
        <w:t>确保安全保管</w:t>
      </w:r>
      <w:r>
        <w:rPr>
          <w:rFonts w:ascii="宋体" w:eastAsia="宋体" w:hAnsi="宋体" w:cs="Malgun Gothic Semilight" w:hint="eastAsia"/>
          <w:sz w:val="24"/>
          <w:szCs w:val="24"/>
        </w:rPr>
        <w:t>；</w:t>
      </w:r>
      <w:r>
        <w:rPr>
          <w:rFonts w:ascii="宋体" w:eastAsia="宋体" w:hAnsi="宋体" w:cs="微软雅黑" w:hint="eastAsia"/>
          <w:sz w:val="24"/>
          <w:szCs w:val="24"/>
        </w:rPr>
        <w:t>对未按约定将存款开户证实书等实物凭证移交托管人保管的</w:t>
      </w:r>
      <w:r>
        <w:rPr>
          <w:rFonts w:ascii="宋体" w:eastAsia="宋体" w:hAnsi="宋体" w:cs="Malgun Gothic Semilight" w:hint="eastAsia"/>
          <w:sz w:val="24"/>
          <w:szCs w:val="24"/>
        </w:rPr>
        <w:t>，</w:t>
      </w:r>
      <w:r>
        <w:rPr>
          <w:rFonts w:ascii="宋体" w:eastAsia="宋体" w:hAnsi="宋体" w:cs="微软雅黑" w:hint="eastAsia"/>
          <w:sz w:val="24"/>
          <w:szCs w:val="24"/>
        </w:rPr>
        <w:t>基金托管人应向基金管理人进行必要的催缴和风险提示</w:t>
      </w:r>
      <w:r>
        <w:rPr>
          <w:rFonts w:ascii="宋体" w:eastAsia="宋体" w:hAnsi="宋体" w:cs="Malgun Gothic Semilight" w:hint="eastAsia"/>
          <w:sz w:val="24"/>
          <w:szCs w:val="24"/>
        </w:rPr>
        <w:t>；</w:t>
      </w:r>
      <w:r>
        <w:rPr>
          <w:rFonts w:ascii="宋体" w:eastAsia="宋体" w:hAnsi="宋体" w:cs="微软雅黑" w:hint="eastAsia"/>
          <w:sz w:val="24"/>
          <w:szCs w:val="24"/>
        </w:rPr>
        <w:t>提示后仍不将相关实物凭证送达托管人保管的</w:t>
      </w:r>
      <w:r>
        <w:rPr>
          <w:rFonts w:ascii="宋体" w:eastAsia="宋体" w:hAnsi="宋体" w:cs="Malgun Gothic Semilight" w:hint="eastAsia"/>
          <w:sz w:val="24"/>
          <w:szCs w:val="24"/>
        </w:rPr>
        <w:t>，</w:t>
      </w:r>
      <w:r>
        <w:rPr>
          <w:rFonts w:ascii="宋体" w:eastAsia="宋体" w:hAnsi="宋体" w:cs="微软雅黑" w:hint="eastAsia"/>
          <w:sz w:val="24"/>
          <w:szCs w:val="24"/>
        </w:rPr>
        <w:t>出于托管履职和尽责</w:t>
      </w:r>
      <w:r>
        <w:rPr>
          <w:rFonts w:ascii="宋体" w:eastAsia="宋体" w:hAnsi="宋体" w:cs="Malgun Gothic Semilight" w:hint="eastAsia"/>
          <w:sz w:val="24"/>
          <w:szCs w:val="24"/>
        </w:rPr>
        <w:t>，</w:t>
      </w:r>
      <w:r>
        <w:rPr>
          <w:rFonts w:ascii="宋体" w:eastAsia="宋体" w:hAnsi="宋体" w:cs="微软雅黑" w:hint="eastAsia"/>
          <w:sz w:val="24"/>
          <w:szCs w:val="24"/>
        </w:rPr>
        <w:t>托管人可视情况采取必要的风险控制措施</w:t>
      </w:r>
      <w:r>
        <w:rPr>
          <w:rFonts w:ascii="宋体" w:eastAsia="宋体" w:hAnsi="宋体" w:cs="Malgun Gothic Semilight" w:hint="eastAsia"/>
          <w:sz w:val="24"/>
          <w:szCs w:val="24"/>
        </w:rPr>
        <w:t>：（</w:t>
      </w:r>
      <w:r>
        <w:rPr>
          <w:rFonts w:ascii="宋体" w:eastAsia="宋体" w:hAnsi="宋体" w:cs="Arial"/>
          <w:sz w:val="24"/>
          <w:szCs w:val="24"/>
        </w:rPr>
        <w:t>1</w:t>
      </w:r>
      <w:r>
        <w:rPr>
          <w:rFonts w:ascii="宋体" w:eastAsia="宋体" w:hAnsi="宋体" w:cs="Arial" w:hint="eastAsia"/>
          <w:sz w:val="24"/>
          <w:szCs w:val="24"/>
        </w:rPr>
        <w:t>）</w:t>
      </w:r>
      <w:r>
        <w:rPr>
          <w:rFonts w:ascii="宋体" w:eastAsia="宋体" w:hAnsi="宋体" w:cs="微软雅黑" w:hint="eastAsia"/>
          <w:sz w:val="24"/>
          <w:szCs w:val="24"/>
        </w:rPr>
        <w:t>建立风险预警机制</w:t>
      </w:r>
      <w:r>
        <w:rPr>
          <w:rFonts w:ascii="宋体" w:eastAsia="宋体" w:hAnsi="宋体" w:cs="Malgun Gothic Semilight" w:hint="eastAsia"/>
          <w:sz w:val="24"/>
          <w:szCs w:val="24"/>
        </w:rPr>
        <w:t>，</w:t>
      </w:r>
      <w:r>
        <w:rPr>
          <w:rFonts w:ascii="宋体" w:eastAsia="宋体" w:hAnsi="宋体" w:cs="微软雅黑" w:hint="eastAsia"/>
          <w:sz w:val="24"/>
          <w:szCs w:val="24"/>
        </w:rPr>
        <w:t>对于实物凭证未送达集中度较高的存款银行</w:t>
      </w:r>
      <w:r>
        <w:rPr>
          <w:rFonts w:ascii="宋体" w:eastAsia="宋体" w:hAnsi="宋体" w:cs="Malgun Gothic Semilight" w:hint="eastAsia"/>
          <w:sz w:val="24"/>
          <w:szCs w:val="24"/>
        </w:rPr>
        <w:t>，</w:t>
      </w:r>
      <w:r>
        <w:rPr>
          <w:rFonts w:ascii="宋体" w:eastAsia="宋体" w:hAnsi="宋体" w:cs="微软雅黑" w:hint="eastAsia"/>
          <w:sz w:val="24"/>
          <w:szCs w:val="24"/>
        </w:rPr>
        <w:t>主动发</w:t>
      </w:r>
      <w:proofErr w:type="gramStart"/>
      <w:r>
        <w:rPr>
          <w:rFonts w:ascii="宋体" w:eastAsia="宋体" w:hAnsi="宋体" w:cs="微软雅黑" w:hint="eastAsia"/>
          <w:sz w:val="24"/>
          <w:szCs w:val="24"/>
        </w:rPr>
        <w:t>函管</w:t>
      </w:r>
      <w:proofErr w:type="gramEnd"/>
      <w:r>
        <w:rPr>
          <w:rFonts w:ascii="宋体" w:eastAsia="宋体" w:hAnsi="宋体" w:cs="微软雅黑" w:hint="eastAsia"/>
          <w:sz w:val="24"/>
          <w:szCs w:val="24"/>
        </w:rPr>
        <w:t>理人尽量避免在此类银行进行存款投资</w:t>
      </w:r>
      <w:r>
        <w:rPr>
          <w:rFonts w:ascii="宋体" w:eastAsia="宋体" w:hAnsi="宋体" w:cs="Malgun Gothic Semilight" w:hint="eastAsia"/>
          <w:sz w:val="24"/>
          <w:szCs w:val="24"/>
        </w:rPr>
        <w:t>；（</w:t>
      </w:r>
      <w:r>
        <w:rPr>
          <w:rFonts w:ascii="宋体" w:eastAsia="宋体" w:hAnsi="宋体" w:cs="Arial"/>
          <w:sz w:val="24"/>
          <w:szCs w:val="24"/>
        </w:rPr>
        <w:t>2</w:t>
      </w:r>
      <w:r>
        <w:rPr>
          <w:rFonts w:ascii="宋体" w:eastAsia="宋体" w:hAnsi="宋体" w:cs="Arial" w:hint="eastAsia"/>
          <w:sz w:val="24"/>
          <w:szCs w:val="24"/>
        </w:rPr>
        <w:t>）</w:t>
      </w:r>
      <w:r>
        <w:rPr>
          <w:rFonts w:ascii="宋体" w:eastAsia="宋体" w:hAnsi="宋体" w:cs="微软雅黑" w:hint="eastAsia"/>
          <w:sz w:val="24"/>
          <w:szCs w:val="24"/>
        </w:rPr>
        <w:t>在定期报告中</w:t>
      </w:r>
      <w:r>
        <w:rPr>
          <w:rFonts w:ascii="宋体" w:eastAsia="宋体" w:hAnsi="宋体" w:cs="Malgun Gothic Semilight" w:hint="eastAsia"/>
          <w:sz w:val="24"/>
          <w:szCs w:val="24"/>
        </w:rPr>
        <w:t>，</w:t>
      </w:r>
      <w:r>
        <w:rPr>
          <w:rFonts w:ascii="宋体" w:eastAsia="宋体" w:hAnsi="宋体" w:cs="微软雅黑" w:hint="eastAsia"/>
          <w:sz w:val="24"/>
          <w:szCs w:val="24"/>
        </w:rPr>
        <w:t>对未按约定送达基金托管人保管的实物凭证信息进行规定范围信息披露</w:t>
      </w:r>
      <w:r>
        <w:rPr>
          <w:rFonts w:ascii="宋体" w:eastAsia="宋体" w:hAnsi="宋体" w:cs="Malgun Gothic Semilight" w:hint="eastAsia"/>
          <w:sz w:val="24"/>
          <w:szCs w:val="24"/>
        </w:rPr>
        <w:t>；（</w:t>
      </w:r>
      <w:r>
        <w:rPr>
          <w:rFonts w:ascii="宋体" w:eastAsia="宋体" w:hAnsi="宋体" w:cs="Arial"/>
          <w:sz w:val="24"/>
          <w:szCs w:val="24"/>
        </w:rPr>
        <w:t>3</w:t>
      </w:r>
      <w:r>
        <w:rPr>
          <w:rFonts w:ascii="宋体" w:eastAsia="宋体" w:hAnsi="宋体" w:cs="Arial" w:hint="eastAsia"/>
          <w:sz w:val="24"/>
          <w:szCs w:val="24"/>
        </w:rPr>
        <w:t>）</w:t>
      </w:r>
      <w:r>
        <w:rPr>
          <w:rFonts w:ascii="宋体" w:eastAsia="宋体" w:hAnsi="宋体" w:cs="微软雅黑" w:hint="eastAsia"/>
          <w:sz w:val="24"/>
          <w:szCs w:val="24"/>
        </w:rPr>
        <w:t>未送达实物凭证超过送单截止日后</w:t>
      </w:r>
      <w:r>
        <w:rPr>
          <w:rFonts w:ascii="宋体" w:eastAsia="宋体" w:hAnsi="宋体" w:cs="Arial"/>
          <w:sz w:val="24"/>
          <w:szCs w:val="24"/>
        </w:rPr>
        <w:t>30</w:t>
      </w:r>
      <w:r>
        <w:rPr>
          <w:rFonts w:ascii="宋体" w:eastAsia="宋体" w:hAnsi="宋体" w:cs="微软雅黑" w:hint="eastAsia"/>
          <w:sz w:val="24"/>
          <w:szCs w:val="24"/>
        </w:rPr>
        <w:t>个工作日</w:t>
      </w:r>
      <w:r>
        <w:rPr>
          <w:rFonts w:ascii="宋体" w:eastAsia="宋体" w:hAnsi="宋体" w:cs="Malgun Gothic Semilight" w:hint="eastAsia"/>
          <w:sz w:val="24"/>
          <w:szCs w:val="24"/>
        </w:rPr>
        <w:t>，</w:t>
      </w:r>
      <w:r>
        <w:rPr>
          <w:rFonts w:ascii="宋体" w:eastAsia="宋体" w:hAnsi="宋体" w:cs="微软雅黑" w:hint="eastAsia"/>
          <w:sz w:val="24"/>
          <w:szCs w:val="24"/>
        </w:rPr>
        <w:t>且累计超过</w:t>
      </w:r>
      <w:r>
        <w:rPr>
          <w:rFonts w:ascii="宋体" w:eastAsia="宋体" w:hAnsi="宋体" w:cs="Arial"/>
          <w:sz w:val="24"/>
          <w:szCs w:val="24"/>
        </w:rPr>
        <w:t>3</w:t>
      </w:r>
      <w:r>
        <w:rPr>
          <w:rFonts w:ascii="宋体" w:eastAsia="宋体" w:hAnsi="宋体" w:cs="微软雅黑" w:hint="eastAsia"/>
          <w:sz w:val="24"/>
          <w:szCs w:val="24"/>
        </w:rPr>
        <w:t>笔</w:t>
      </w:r>
      <w:r>
        <w:rPr>
          <w:rFonts w:ascii="宋体" w:eastAsia="宋体" w:hAnsi="宋体" w:cs="Malgun Gothic Semilight" w:hint="eastAsia"/>
          <w:sz w:val="24"/>
          <w:szCs w:val="24"/>
        </w:rPr>
        <w:t>（</w:t>
      </w:r>
      <w:r>
        <w:rPr>
          <w:rFonts w:ascii="宋体" w:eastAsia="宋体" w:hAnsi="宋体" w:cs="微软雅黑" w:hint="eastAsia"/>
          <w:sz w:val="24"/>
          <w:szCs w:val="24"/>
        </w:rPr>
        <w:t>含</w:t>
      </w:r>
      <w:r>
        <w:rPr>
          <w:rFonts w:ascii="宋体" w:eastAsia="宋体" w:hAnsi="宋体" w:cs="Malgun Gothic Semilight" w:hint="eastAsia"/>
          <w:sz w:val="24"/>
          <w:szCs w:val="24"/>
        </w:rPr>
        <w:t>）</w:t>
      </w:r>
      <w:r>
        <w:rPr>
          <w:rFonts w:ascii="宋体" w:eastAsia="宋体" w:hAnsi="宋体" w:cs="微软雅黑" w:hint="eastAsia"/>
          <w:sz w:val="24"/>
          <w:szCs w:val="24"/>
        </w:rPr>
        <w:t>以上的</w:t>
      </w:r>
      <w:r>
        <w:rPr>
          <w:rFonts w:ascii="宋体" w:eastAsia="宋体" w:hAnsi="宋体" w:cs="Malgun Gothic Semilight" w:hint="eastAsia"/>
          <w:sz w:val="24"/>
          <w:szCs w:val="24"/>
        </w:rPr>
        <w:t>，</w:t>
      </w:r>
      <w:r>
        <w:rPr>
          <w:rFonts w:ascii="宋体" w:eastAsia="宋体" w:hAnsi="宋体" w:cs="微软雅黑" w:hint="eastAsia"/>
          <w:sz w:val="24"/>
          <w:szCs w:val="24"/>
        </w:rPr>
        <w:t>部分或全部暂停配合基金管理人办理后续新增存款投资业务</w:t>
      </w:r>
      <w:r>
        <w:rPr>
          <w:rFonts w:ascii="宋体" w:eastAsia="宋体" w:hAnsi="宋体" w:cs="Malgun Gothic Semilight" w:hint="eastAsia"/>
          <w:sz w:val="24"/>
          <w:szCs w:val="24"/>
        </w:rPr>
        <w:t>，</w:t>
      </w:r>
      <w:r>
        <w:rPr>
          <w:rFonts w:ascii="宋体" w:eastAsia="宋体" w:hAnsi="宋体" w:cs="微软雅黑" w:hint="eastAsia"/>
          <w:sz w:val="24"/>
          <w:szCs w:val="24"/>
        </w:rPr>
        <w:t>直至实物凭证送达托管人保管后解除</w:t>
      </w:r>
      <w:r>
        <w:rPr>
          <w:rFonts w:ascii="宋体" w:eastAsia="宋体" w:hAnsi="宋体" w:cs="Malgun Gothic Semilight" w:hint="eastAsia"/>
          <w:sz w:val="24"/>
          <w:szCs w:val="24"/>
        </w:rPr>
        <w:t>。</w:t>
      </w:r>
      <w:r>
        <w:rPr>
          <w:rFonts w:ascii="宋体" w:eastAsia="宋体" w:hAnsi="宋体" w:cs="微软雅黑" w:hint="eastAsia"/>
          <w:sz w:val="24"/>
          <w:szCs w:val="24"/>
        </w:rPr>
        <w:t>实物凭证未送达但存款本息已安全划回托管资金账户的</w:t>
      </w:r>
      <w:r>
        <w:rPr>
          <w:rFonts w:ascii="宋体" w:eastAsia="宋体" w:hAnsi="宋体" w:cs="Malgun Gothic Semilight" w:hint="eastAsia"/>
          <w:sz w:val="24"/>
          <w:szCs w:val="24"/>
        </w:rPr>
        <w:t>，</w:t>
      </w:r>
      <w:r>
        <w:rPr>
          <w:rFonts w:ascii="宋体" w:eastAsia="宋体" w:hAnsi="宋体" w:cs="微软雅黑" w:hint="eastAsia"/>
          <w:sz w:val="24"/>
          <w:szCs w:val="24"/>
        </w:rPr>
        <w:t>以及因发生特殊情况由管理人提供相关书面说明并重新承诺送单截止时间的</w:t>
      </w:r>
      <w:r>
        <w:rPr>
          <w:rFonts w:ascii="宋体" w:eastAsia="宋体" w:hAnsi="宋体" w:cs="Malgun Gothic Semilight" w:hint="eastAsia"/>
          <w:sz w:val="24"/>
          <w:szCs w:val="24"/>
        </w:rPr>
        <w:t>，</w:t>
      </w:r>
      <w:r>
        <w:rPr>
          <w:rFonts w:ascii="宋体" w:eastAsia="宋体" w:hAnsi="宋体" w:cs="微软雅黑" w:hint="eastAsia"/>
          <w:sz w:val="24"/>
          <w:szCs w:val="24"/>
        </w:rPr>
        <w:t>可剔除不计</w:t>
      </w:r>
      <w:r>
        <w:rPr>
          <w:rFonts w:ascii="宋体" w:eastAsia="宋体" w:hAnsi="宋体" w:cs="Malgun Gothic Semilight" w:hint="eastAsia"/>
          <w:sz w:val="24"/>
          <w:szCs w:val="24"/>
        </w:rPr>
        <w:t>。</w:t>
      </w:r>
    </w:p>
    <w:p w14:paraId="74F25D01" w14:textId="77777777" w:rsidR="00F012EE" w:rsidRDefault="00F012EE">
      <w:pPr>
        <w:adjustRightInd w:val="0"/>
        <w:snapToGrid w:val="0"/>
        <w:spacing w:line="360" w:lineRule="auto"/>
        <w:ind w:firstLineChars="200" w:firstLine="480"/>
        <w:rPr>
          <w:rFonts w:ascii="宋体" w:eastAsia="宋体" w:hAnsi="宋体" w:cs="Arial"/>
          <w:sz w:val="24"/>
          <w:szCs w:val="24"/>
        </w:rPr>
      </w:pPr>
    </w:p>
    <w:p w14:paraId="10E6D8DE" w14:textId="77777777" w:rsidR="00F012EE" w:rsidRDefault="00477FBC">
      <w:pPr>
        <w:keepNext/>
        <w:keepLines/>
        <w:spacing w:before="260" w:after="260" w:line="360" w:lineRule="auto"/>
        <w:jc w:val="center"/>
        <w:outlineLvl w:val="1"/>
        <w:rPr>
          <w:rFonts w:ascii="宋体" w:eastAsia="宋体" w:hAnsi="宋体" w:cs="Times New Roman"/>
          <w:b/>
          <w:sz w:val="30"/>
          <w:szCs w:val="20"/>
        </w:rPr>
      </w:pPr>
      <w:bookmarkStart w:id="88" w:name="_Toc124325892"/>
      <w:r>
        <w:rPr>
          <w:rFonts w:ascii="宋体" w:eastAsia="宋体" w:hAnsi="宋体" w:cs="Times New Roman" w:hint="eastAsia"/>
          <w:b/>
          <w:sz w:val="30"/>
          <w:szCs w:val="20"/>
        </w:rPr>
        <w:t xml:space="preserve"> </w:t>
      </w:r>
      <w:r>
        <w:rPr>
          <w:rFonts w:ascii="宋体" w:eastAsia="宋体" w:hAnsi="宋体" w:cs="微软雅黑" w:hint="eastAsia"/>
          <w:b/>
          <w:sz w:val="30"/>
          <w:szCs w:val="20"/>
        </w:rPr>
        <w:t>八</w:t>
      </w:r>
      <w:r>
        <w:rPr>
          <w:rFonts w:ascii="宋体" w:eastAsia="宋体" w:hAnsi="宋体" w:cs="Malgun Gothic Semilight" w:hint="eastAsia"/>
          <w:b/>
          <w:sz w:val="30"/>
          <w:szCs w:val="20"/>
        </w:rPr>
        <w:t>、</w:t>
      </w:r>
      <w:r>
        <w:rPr>
          <w:rFonts w:ascii="宋体" w:eastAsia="宋体" w:hAnsi="宋体" w:cs="微软雅黑" w:hint="eastAsia"/>
          <w:b/>
          <w:sz w:val="30"/>
          <w:szCs w:val="20"/>
        </w:rPr>
        <w:t>基金资产净值计算和会计核算</w:t>
      </w:r>
      <w:bookmarkEnd w:id="88"/>
    </w:p>
    <w:p w14:paraId="031A668A"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（一）基金资产净值的计算、复核与完成的时间及程序</w:t>
      </w:r>
    </w:p>
    <w:p w14:paraId="26DC5DDA"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w:t>
      </w:r>
      <w:r>
        <w:rPr>
          <w:rFonts w:ascii="宋体" w:eastAsia="宋体" w:hAnsi="宋体" w:cs="微软雅黑" w:hint="eastAsia"/>
          <w:sz w:val="24"/>
          <w:szCs w:val="24"/>
        </w:rPr>
        <w:t>基金资产净值是指基金资产总值减去负债后的金额</w:t>
      </w:r>
      <w:r>
        <w:rPr>
          <w:rFonts w:ascii="宋体" w:eastAsia="宋体" w:hAnsi="宋体" w:cs="Malgun Gothic Semilight" w:hint="eastAsia"/>
          <w:sz w:val="24"/>
          <w:szCs w:val="24"/>
        </w:rPr>
        <w:t>。</w:t>
      </w:r>
      <w:r>
        <w:rPr>
          <w:rFonts w:ascii="宋体" w:eastAsia="宋体" w:hAnsi="宋体" w:cs="微软雅黑" w:hint="eastAsia"/>
          <w:sz w:val="24"/>
          <w:szCs w:val="24"/>
        </w:rPr>
        <w:t>基金份额净值是按照每个工作日闭市后，基金资产净值除以当日基金份额的余额数量计算，精确到</w:t>
      </w:r>
      <w:r>
        <w:rPr>
          <w:rFonts w:ascii="宋体" w:eastAsia="宋体" w:hAnsi="宋体" w:cs="微软雅黑"/>
          <w:sz w:val="24"/>
          <w:szCs w:val="24"/>
        </w:rPr>
        <w:t>0.0001元，小数点后第5位四舍五入，由此产生的收益或损失由基金财产承担。基金管理人可以设立大额赎回情形下的净值精度应急调整机制。国家另有规定的，从其规定。</w:t>
      </w:r>
    </w:p>
    <w:p w14:paraId="6F0943FE"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每个工作日计算基金资产净值及基金份额净值</w:t>
      </w:r>
      <w:r>
        <w:rPr>
          <w:rFonts w:ascii="宋体" w:eastAsia="宋体" w:hAnsi="宋体" w:cs="Malgun Gothic Semilight" w:hint="eastAsia"/>
          <w:sz w:val="24"/>
          <w:szCs w:val="24"/>
        </w:rPr>
        <w:t>，</w:t>
      </w:r>
      <w:r>
        <w:rPr>
          <w:rFonts w:ascii="宋体" w:eastAsia="宋体" w:hAnsi="宋体" w:cs="微软雅黑" w:hint="eastAsia"/>
          <w:sz w:val="24"/>
          <w:szCs w:val="24"/>
        </w:rPr>
        <w:t>并按规定公告</w:t>
      </w:r>
      <w:r>
        <w:rPr>
          <w:rFonts w:ascii="宋体" w:eastAsia="宋体" w:hAnsi="宋体" w:cs="Malgun Gothic Semilight" w:hint="eastAsia"/>
          <w:sz w:val="24"/>
          <w:szCs w:val="24"/>
        </w:rPr>
        <w:t>。</w:t>
      </w:r>
    </w:p>
    <w:p w14:paraId="51826946"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Pr>
          <w:rFonts w:hint="eastAsia"/>
        </w:rPr>
        <w:t xml:space="preserve"> </w:t>
      </w:r>
      <w:r>
        <w:rPr>
          <w:rFonts w:ascii="宋体" w:eastAsia="宋体" w:hAnsi="宋体" w:cs="微软雅黑" w:hint="eastAsia"/>
          <w:sz w:val="24"/>
          <w:szCs w:val="24"/>
        </w:rPr>
        <w:t>基金管理人</w:t>
      </w:r>
      <w:proofErr w:type="gramStart"/>
      <w:r>
        <w:rPr>
          <w:rFonts w:ascii="宋体" w:eastAsia="宋体" w:hAnsi="宋体" w:cs="微软雅黑" w:hint="eastAsia"/>
          <w:sz w:val="24"/>
          <w:szCs w:val="24"/>
        </w:rPr>
        <w:t>应每个</w:t>
      </w:r>
      <w:proofErr w:type="gramEnd"/>
      <w:r>
        <w:rPr>
          <w:rFonts w:ascii="宋体" w:eastAsia="宋体" w:hAnsi="宋体" w:cs="微软雅黑" w:hint="eastAsia"/>
          <w:sz w:val="24"/>
          <w:szCs w:val="24"/>
        </w:rPr>
        <w:t>工作日对基金资产估值。但基金管理人根据法律法规或基金合同的规定暂停估值时除外。基金管理人每个工作日对基金资产估值后，将基金份额净值结果发送基金托管人，经基金托管人复核无误后，由基金管理人按照规定对外公布。</w:t>
      </w:r>
    </w:p>
    <w:p w14:paraId="130D81F7" w14:textId="77777777" w:rsidR="00F012EE" w:rsidRDefault="00477FBC">
      <w:pPr>
        <w:adjustRightInd w:val="0"/>
        <w:snapToGrid w:val="0"/>
        <w:spacing w:line="360" w:lineRule="auto"/>
        <w:ind w:firstLine="480"/>
        <w:rPr>
          <w:rFonts w:ascii="宋体" w:eastAsia="宋体" w:hAnsi="宋体" w:cs="Arial"/>
          <w:sz w:val="24"/>
          <w:szCs w:val="24"/>
        </w:rPr>
      </w:pPr>
      <w:r>
        <w:rPr>
          <w:rFonts w:ascii="宋体" w:eastAsia="宋体" w:hAnsi="宋体" w:cs="Arial" w:hint="eastAsia"/>
          <w:sz w:val="24"/>
          <w:szCs w:val="24"/>
        </w:rPr>
        <w:t>（二）基金资产估值方法</w:t>
      </w:r>
    </w:p>
    <w:p w14:paraId="083FAAEA"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w:t>
      </w:r>
      <w:r>
        <w:rPr>
          <w:rFonts w:ascii="宋体" w:eastAsia="宋体" w:hAnsi="宋体" w:cs="微软雅黑" w:hint="eastAsia"/>
          <w:sz w:val="24"/>
          <w:szCs w:val="24"/>
        </w:rPr>
        <w:t>估值对象</w:t>
      </w:r>
    </w:p>
    <w:p w14:paraId="0D8C7FBE" w14:textId="77777777" w:rsidR="00F012EE" w:rsidRDefault="00477FBC">
      <w:pPr>
        <w:adjustRightInd w:val="0"/>
        <w:snapToGrid w:val="0"/>
        <w:spacing w:line="360" w:lineRule="auto"/>
        <w:ind w:firstLineChars="200" w:firstLine="480"/>
        <w:rPr>
          <w:rFonts w:ascii="宋体" w:eastAsia="宋体" w:hAnsi="宋体" w:cs="微软雅黑"/>
          <w:sz w:val="24"/>
          <w:szCs w:val="24"/>
        </w:rPr>
      </w:pPr>
      <w:r>
        <w:rPr>
          <w:rFonts w:ascii="宋体" w:eastAsia="宋体" w:hAnsi="宋体" w:cs="微软雅黑" w:hint="eastAsia"/>
          <w:sz w:val="24"/>
          <w:szCs w:val="24"/>
        </w:rPr>
        <w:t>基金所拥有的股票、债券和银行存款本息、应收款项、资产支持证券、股指期货合约、国债期货合约、股票期权合约、其它投资等资产及负债。</w:t>
      </w:r>
    </w:p>
    <w:p w14:paraId="620D605B" w14:textId="77777777" w:rsidR="00F012EE" w:rsidRDefault="00477FBC">
      <w:pPr>
        <w:adjustRightInd w:val="0"/>
        <w:snapToGrid w:val="0"/>
        <w:spacing w:line="360" w:lineRule="auto"/>
        <w:ind w:firstLineChars="200" w:firstLine="480"/>
        <w:rPr>
          <w:rFonts w:ascii="宋体" w:eastAsia="宋体" w:hAnsi="宋体" w:cs="微软雅黑"/>
          <w:sz w:val="24"/>
          <w:szCs w:val="24"/>
        </w:rPr>
      </w:pPr>
      <w:r>
        <w:rPr>
          <w:rFonts w:ascii="宋体" w:eastAsia="宋体" w:hAnsi="宋体" w:cs="Arial" w:hint="eastAsia"/>
          <w:sz w:val="24"/>
          <w:szCs w:val="24"/>
        </w:rPr>
        <w:t>2.</w:t>
      </w:r>
      <w:r>
        <w:rPr>
          <w:rFonts w:ascii="宋体" w:eastAsia="宋体" w:hAnsi="宋体" w:cs="微软雅黑" w:hint="eastAsia"/>
          <w:sz w:val="24"/>
          <w:szCs w:val="24"/>
        </w:rPr>
        <w:t>估值方法</w:t>
      </w:r>
    </w:p>
    <w:p w14:paraId="36367613"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lastRenderedPageBreak/>
        <w:t>（1）</w:t>
      </w:r>
      <w:r>
        <w:rPr>
          <w:rFonts w:ascii="宋体" w:eastAsia="宋体" w:hAnsi="宋体" w:cs="Arial"/>
          <w:sz w:val="24"/>
          <w:szCs w:val="24"/>
        </w:rPr>
        <w:t>证券交易所上市的有价证券的估值</w:t>
      </w:r>
    </w:p>
    <w:p w14:paraId="625C89C5"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31E46BA"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2）交易所上市交易或挂牌转让的不含</w:t>
      </w:r>
      <w:proofErr w:type="gramStart"/>
      <w:r>
        <w:rPr>
          <w:rFonts w:ascii="宋体" w:eastAsia="宋体" w:hAnsi="宋体" w:cs="Arial"/>
          <w:sz w:val="24"/>
          <w:szCs w:val="24"/>
        </w:rPr>
        <w:t>权固定</w:t>
      </w:r>
      <w:proofErr w:type="gramEnd"/>
      <w:r>
        <w:rPr>
          <w:rFonts w:ascii="宋体" w:eastAsia="宋体" w:hAnsi="宋体" w:cs="Arial"/>
          <w:sz w:val="24"/>
          <w:szCs w:val="24"/>
        </w:rPr>
        <w:t>收益品种，选取估值日第三方估值</w:t>
      </w:r>
      <w:r>
        <w:rPr>
          <w:rFonts w:ascii="宋体" w:eastAsia="宋体" w:hAnsi="宋体" w:cs="Arial" w:hint="eastAsia"/>
          <w:sz w:val="24"/>
          <w:szCs w:val="24"/>
        </w:rPr>
        <w:t>基准服务</w:t>
      </w:r>
      <w:r>
        <w:rPr>
          <w:rFonts w:ascii="宋体" w:eastAsia="宋体" w:hAnsi="宋体" w:cs="Arial"/>
          <w:sz w:val="24"/>
          <w:szCs w:val="24"/>
        </w:rPr>
        <w:t>机构提供的相应品种当日的估值全价进行估值；</w:t>
      </w:r>
    </w:p>
    <w:p w14:paraId="0B8C003A"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3）交易所上市交易或挂牌转让的含</w:t>
      </w:r>
      <w:proofErr w:type="gramStart"/>
      <w:r>
        <w:rPr>
          <w:rFonts w:ascii="宋体" w:eastAsia="宋体" w:hAnsi="宋体" w:cs="Arial"/>
          <w:sz w:val="24"/>
          <w:szCs w:val="24"/>
        </w:rPr>
        <w:t>权固定</w:t>
      </w:r>
      <w:proofErr w:type="gramEnd"/>
      <w:r>
        <w:rPr>
          <w:rFonts w:ascii="宋体" w:eastAsia="宋体" w:hAnsi="宋体" w:cs="Arial"/>
          <w:sz w:val="24"/>
          <w:szCs w:val="24"/>
        </w:rPr>
        <w:t>收益品种，选取估值日第三方估值</w:t>
      </w:r>
      <w:r>
        <w:rPr>
          <w:rFonts w:ascii="宋体" w:eastAsia="宋体" w:hAnsi="宋体" w:cs="Arial" w:hint="eastAsia"/>
          <w:sz w:val="24"/>
          <w:szCs w:val="24"/>
        </w:rPr>
        <w:t>基准服务</w:t>
      </w:r>
      <w:r>
        <w:rPr>
          <w:rFonts w:ascii="宋体" w:eastAsia="宋体" w:hAnsi="宋体" w:cs="Arial"/>
          <w:sz w:val="24"/>
          <w:szCs w:val="24"/>
        </w:rPr>
        <w:t>机构提供的相应品种当日的唯一估值全价或推荐估值全价进行估值；</w:t>
      </w:r>
    </w:p>
    <w:p w14:paraId="0A74AE81" w14:textId="74D072BB" w:rsidR="00F012EE" w:rsidRPr="00E7775E" w:rsidRDefault="00477FBC">
      <w:pPr>
        <w:adjustRightInd w:val="0"/>
        <w:snapToGrid w:val="0"/>
        <w:spacing w:line="360" w:lineRule="auto"/>
        <w:ind w:firstLineChars="200" w:firstLine="480"/>
        <w:rPr>
          <w:rFonts w:ascii="宋体" w:eastAsia="宋体" w:hAnsi="宋体"/>
          <w:bCs/>
          <w:sz w:val="24"/>
        </w:rPr>
      </w:pPr>
      <w:r>
        <w:rPr>
          <w:rFonts w:ascii="宋体" w:eastAsia="宋体" w:hAnsi="宋体" w:cs="Arial"/>
          <w:sz w:val="24"/>
          <w:szCs w:val="24"/>
        </w:rPr>
        <w:t>4）</w:t>
      </w:r>
      <w:r>
        <w:rPr>
          <w:rFonts w:ascii="宋体" w:eastAsia="宋体" w:hAnsi="宋体" w:hint="eastAsia"/>
          <w:bCs/>
          <w:sz w:val="24"/>
        </w:rPr>
        <w:t>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r w:rsidR="00E7775E" w:rsidRPr="00E7775E">
        <w:rPr>
          <w:rFonts w:ascii="宋体" w:eastAsia="宋体" w:hAnsi="宋体" w:hint="eastAsia"/>
          <w:bCs/>
          <w:sz w:val="24"/>
        </w:rPr>
        <w:t>；</w:t>
      </w:r>
    </w:p>
    <w:p w14:paraId="5CA26B67" w14:textId="7BCE6BA3" w:rsidR="00EC4DF3" w:rsidRPr="00EC4DF3" w:rsidRDefault="00EC4DF3" w:rsidP="00DA171A">
      <w:pPr>
        <w:spacing w:line="360" w:lineRule="auto"/>
        <w:ind w:firstLineChars="200" w:firstLine="480"/>
        <w:rPr>
          <w:rFonts w:ascii="宋体" w:eastAsia="宋体" w:hAnsi="宋体" w:cs="Arial"/>
          <w:sz w:val="24"/>
          <w:szCs w:val="24"/>
        </w:rPr>
      </w:pPr>
      <w:r w:rsidRPr="00DA171A">
        <w:rPr>
          <w:rFonts w:ascii="宋体" w:eastAsia="宋体" w:hAnsi="宋体"/>
          <w:bCs/>
          <w:sz w:val="24"/>
        </w:rPr>
        <w:t>5</w:t>
      </w:r>
      <w:r w:rsidRPr="00DA171A">
        <w:rPr>
          <w:rFonts w:ascii="宋体" w:eastAsia="宋体" w:hAnsi="宋体" w:hint="eastAsia"/>
          <w:bCs/>
          <w:sz w:val="24"/>
        </w:rPr>
        <w:t>）交易所上市不存在活跃市场的有价证券，采用估值技术确定公允价值。</w:t>
      </w:r>
    </w:p>
    <w:p w14:paraId="39572E9B"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Arial"/>
          <w:sz w:val="24"/>
          <w:szCs w:val="24"/>
        </w:rPr>
        <w:t>处于未上市期间的有价证券应区分如下情况处理：</w:t>
      </w:r>
    </w:p>
    <w:p w14:paraId="60A3BC6F"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1）送股、转增股、配股和公开增发的新股，按估值日在证券交易所挂牌的同一股票的估值方法估值；该日无交易的，以最近一日的市价（收盘价）估值；</w:t>
      </w:r>
    </w:p>
    <w:p w14:paraId="0480DD26"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2）首次公开发行未上市的股票，采用估值技术确定公允价值；</w:t>
      </w:r>
    </w:p>
    <w:p w14:paraId="5EB0A0B8"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3）在发行时明确一定期限限售期的股票，包括但不限于非公开发行股票、首次公开发行股票时公司股东公开发售股份、通过大宗交易取得的带限售期的股票等，不包括停牌、新发行未上市、回购交易中的质押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宋体" w:eastAsia="宋体" w:hAnsi="宋体" w:cs="Arial"/>
          <w:sz w:val="24"/>
          <w:szCs w:val="24"/>
        </w:rPr>
        <w:t>券</w:t>
      </w:r>
      <w:proofErr w:type="gramEnd"/>
      <w:r>
        <w:rPr>
          <w:rFonts w:ascii="宋体" w:eastAsia="宋体" w:hAnsi="宋体" w:cs="Arial"/>
          <w:sz w:val="24"/>
          <w:szCs w:val="24"/>
        </w:rPr>
        <w:t>等流通受限股票，按监管机构或行业协会有关规定确定公允价值。</w:t>
      </w:r>
    </w:p>
    <w:p w14:paraId="3912893D"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Arial"/>
          <w:sz w:val="24"/>
          <w:szCs w:val="24"/>
        </w:rPr>
        <w:t>3</w:t>
      </w:r>
      <w:r>
        <w:rPr>
          <w:rFonts w:ascii="宋体" w:eastAsia="宋体" w:hAnsi="宋体" w:cs="Arial" w:hint="eastAsia"/>
          <w:sz w:val="24"/>
          <w:szCs w:val="24"/>
        </w:rPr>
        <w:t>）</w:t>
      </w:r>
      <w:r>
        <w:rPr>
          <w:rFonts w:ascii="宋体" w:eastAsia="宋体" w:hAnsi="宋体" w:cs="Arial"/>
          <w:sz w:val="24"/>
          <w:szCs w:val="24"/>
        </w:rPr>
        <w:t>对全国银行间市场上不含权的固定收益品种，按照第三方估值</w:t>
      </w:r>
      <w:r>
        <w:rPr>
          <w:rFonts w:ascii="宋体" w:eastAsia="宋体" w:hAnsi="宋体" w:cs="Arial" w:hint="eastAsia"/>
          <w:sz w:val="24"/>
          <w:szCs w:val="24"/>
        </w:rPr>
        <w:t>基准服务</w:t>
      </w:r>
      <w:r>
        <w:rPr>
          <w:rFonts w:ascii="宋体" w:eastAsia="宋体" w:hAnsi="宋体" w:cs="Arial"/>
          <w:sz w:val="24"/>
          <w:szCs w:val="24"/>
        </w:rPr>
        <w:t>机构提供的相应品种当日的估值全价估值。对银行间市场上含权的固定收益品种，按照第三方估值</w:t>
      </w:r>
      <w:r>
        <w:rPr>
          <w:rFonts w:ascii="宋体" w:eastAsia="宋体" w:hAnsi="宋体" w:cs="Arial" w:hint="eastAsia"/>
          <w:sz w:val="24"/>
          <w:szCs w:val="24"/>
        </w:rPr>
        <w:t>基准服务</w:t>
      </w:r>
      <w:r>
        <w:rPr>
          <w:rFonts w:ascii="宋体" w:eastAsia="宋体" w:hAnsi="宋体" w:cs="Arial"/>
          <w:sz w:val="24"/>
          <w:szCs w:val="24"/>
        </w:rPr>
        <w:t>机构提供的相应品种当日的唯一估值全价或推荐估值全价估值。对银行间市场未上市，且第三方估值</w:t>
      </w:r>
      <w:r>
        <w:rPr>
          <w:rFonts w:ascii="宋体" w:eastAsia="宋体" w:hAnsi="宋体" w:cs="Arial" w:hint="eastAsia"/>
          <w:sz w:val="24"/>
          <w:szCs w:val="24"/>
        </w:rPr>
        <w:t>基准服务</w:t>
      </w:r>
      <w:r>
        <w:rPr>
          <w:rFonts w:ascii="宋体" w:eastAsia="宋体" w:hAnsi="宋体" w:cs="Arial"/>
          <w:sz w:val="24"/>
          <w:szCs w:val="24"/>
        </w:rPr>
        <w:t>机构未提供估值价格的债券应采用估值技术确定公允价值。</w:t>
      </w:r>
    </w:p>
    <w:p w14:paraId="1727AD33"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Arial"/>
          <w:sz w:val="24"/>
          <w:szCs w:val="24"/>
        </w:rPr>
        <w:t>4</w:t>
      </w:r>
      <w:r>
        <w:rPr>
          <w:rFonts w:ascii="宋体" w:eastAsia="宋体" w:hAnsi="宋体" w:cs="Arial" w:hint="eastAsia"/>
          <w:sz w:val="24"/>
          <w:szCs w:val="24"/>
        </w:rPr>
        <w:t>）对于含投资人回售权的固定收益品种，行使回售权的，在回售登记日至实际收款日期间采用第三方估值基准服务机构提供的相应品种的唯一估值全价或</w:t>
      </w:r>
      <w:r>
        <w:rPr>
          <w:rFonts w:ascii="宋体" w:eastAsia="宋体" w:hAnsi="宋体" w:cs="Arial" w:hint="eastAsia"/>
          <w:sz w:val="24"/>
          <w:szCs w:val="24"/>
        </w:rPr>
        <w:lastRenderedPageBreak/>
        <w:t>推荐估值全价估值。回售登记期截止日（含当日）后未行使回售权的按照长待偿期所对应的价格进行估值。</w:t>
      </w:r>
    </w:p>
    <w:p w14:paraId="682C2E4E"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Arial"/>
          <w:sz w:val="24"/>
          <w:szCs w:val="24"/>
        </w:rPr>
        <w:t>5</w:t>
      </w:r>
      <w:r>
        <w:rPr>
          <w:rFonts w:ascii="宋体" w:eastAsia="宋体" w:hAnsi="宋体" w:cs="Arial" w:hint="eastAsia"/>
          <w:sz w:val="24"/>
          <w:szCs w:val="24"/>
        </w:rPr>
        <w:t>）对于未上市或未挂牌转让且不存在活跃市场的固定收益品种，应采用在当前情况下适用并且有足够可利用数据和其他信息支持的估值技术确定其公允价值。</w:t>
      </w:r>
    </w:p>
    <w:p w14:paraId="01F949B2" w14:textId="77777777" w:rsidR="00F012EE" w:rsidRDefault="00477FBC">
      <w:pPr>
        <w:adjustRightInd w:val="0"/>
        <w:snapToGrid w:val="0"/>
        <w:spacing w:line="360" w:lineRule="auto"/>
        <w:ind w:firstLineChars="200" w:firstLine="480"/>
        <w:rPr>
          <w:bCs/>
          <w:sz w:val="24"/>
        </w:rPr>
      </w:pPr>
      <w:r>
        <w:rPr>
          <w:rFonts w:ascii="宋体" w:eastAsia="宋体" w:hAnsi="宋体" w:cs="Arial" w:hint="eastAsia"/>
          <w:sz w:val="24"/>
          <w:szCs w:val="24"/>
        </w:rPr>
        <w:t>（</w:t>
      </w:r>
      <w:r>
        <w:rPr>
          <w:rFonts w:ascii="宋体" w:eastAsia="宋体" w:hAnsi="宋体" w:cs="Arial"/>
          <w:sz w:val="24"/>
          <w:szCs w:val="24"/>
        </w:rPr>
        <w:t>6）</w:t>
      </w:r>
      <w:r>
        <w:rPr>
          <w:rFonts w:ascii="宋体" w:eastAsia="宋体" w:hAnsi="宋体" w:cs="Arial" w:hint="eastAsia"/>
          <w:sz w:val="24"/>
          <w:szCs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538CDF98"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Arial"/>
          <w:sz w:val="24"/>
          <w:szCs w:val="24"/>
        </w:rPr>
        <w:t>7</w:t>
      </w:r>
      <w:r>
        <w:rPr>
          <w:rFonts w:ascii="宋体" w:eastAsia="宋体" w:hAnsi="宋体" w:cs="Arial" w:hint="eastAsia"/>
          <w:sz w:val="24"/>
          <w:szCs w:val="24"/>
        </w:rPr>
        <w:t>）</w:t>
      </w:r>
      <w:r>
        <w:rPr>
          <w:rFonts w:ascii="宋体" w:eastAsia="宋体" w:hAnsi="宋体" w:cs="Arial"/>
          <w:sz w:val="24"/>
          <w:szCs w:val="24"/>
        </w:rPr>
        <w:t>同一证券同时在两个或两个以上市场交易的，按证券所处的市场分别估值。</w:t>
      </w:r>
    </w:p>
    <w:p w14:paraId="5E6AB152"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Arial"/>
          <w:sz w:val="24"/>
          <w:szCs w:val="24"/>
        </w:rPr>
        <w:t>8</w:t>
      </w:r>
      <w:r>
        <w:rPr>
          <w:rFonts w:ascii="宋体" w:eastAsia="宋体" w:hAnsi="宋体" w:cs="Arial" w:hint="eastAsia"/>
          <w:sz w:val="24"/>
          <w:szCs w:val="24"/>
        </w:rPr>
        <w:t>）</w:t>
      </w:r>
      <w:r>
        <w:rPr>
          <w:rFonts w:ascii="宋体" w:eastAsia="宋体" w:hAnsi="宋体" w:cs="Arial"/>
          <w:sz w:val="24"/>
          <w:szCs w:val="24"/>
        </w:rPr>
        <w:t>本基金投资股指期货、国债期货合约，一般以估值当日结算价进行估值，估值当日无结算价的，且最近交易日后经济环境未发生重大变化的，采用最近交易日结算价估值。</w:t>
      </w:r>
    </w:p>
    <w:p w14:paraId="3E21853C"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本基金投资股票期权，根据相关法律法规以及监管部门的规定估值。</w:t>
      </w:r>
    </w:p>
    <w:p w14:paraId="27011E99"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Arial"/>
          <w:sz w:val="24"/>
          <w:szCs w:val="24"/>
        </w:rPr>
        <w:t>9</w:t>
      </w:r>
      <w:r>
        <w:rPr>
          <w:rFonts w:ascii="宋体" w:eastAsia="宋体" w:hAnsi="宋体" w:cs="Arial" w:hint="eastAsia"/>
          <w:sz w:val="24"/>
          <w:szCs w:val="24"/>
        </w:rPr>
        <w:t>）</w:t>
      </w:r>
      <w:r>
        <w:rPr>
          <w:rFonts w:ascii="宋体" w:eastAsia="宋体" w:hAnsi="宋体" w:cs="Arial"/>
          <w:sz w:val="24"/>
          <w:szCs w:val="24"/>
        </w:rPr>
        <w:t>本基金参与融资和转融通证券出借业务，按照相关法律法规和行业协会的相关规定进行估值。</w:t>
      </w:r>
    </w:p>
    <w:p w14:paraId="70FF9837"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Arial"/>
          <w:sz w:val="24"/>
          <w:szCs w:val="24"/>
        </w:rPr>
        <w:t>10</w:t>
      </w:r>
      <w:r>
        <w:rPr>
          <w:rFonts w:ascii="宋体" w:eastAsia="宋体" w:hAnsi="宋体" w:cs="Arial" w:hint="eastAsia"/>
          <w:sz w:val="24"/>
          <w:szCs w:val="24"/>
        </w:rPr>
        <w:t>）</w:t>
      </w:r>
      <w:r>
        <w:rPr>
          <w:rFonts w:ascii="宋体" w:eastAsia="宋体" w:hAnsi="宋体" w:cs="Arial"/>
          <w:sz w:val="24"/>
          <w:szCs w:val="24"/>
        </w:rPr>
        <w:t>本基金投资同业存单，按估值日第三方估值</w:t>
      </w:r>
      <w:r>
        <w:rPr>
          <w:rFonts w:ascii="宋体" w:eastAsia="宋体" w:hAnsi="宋体" w:cs="Arial" w:hint="eastAsia"/>
          <w:sz w:val="24"/>
          <w:szCs w:val="24"/>
        </w:rPr>
        <w:t>基准服务</w:t>
      </w:r>
      <w:r>
        <w:rPr>
          <w:rFonts w:ascii="宋体" w:eastAsia="宋体" w:hAnsi="宋体" w:cs="Arial"/>
          <w:sz w:val="24"/>
          <w:szCs w:val="24"/>
        </w:rPr>
        <w:t>机构提供的估值全价估值；选定的第三方估值</w:t>
      </w:r>
      <w:r>
        <w:rPr>
          <w:rFonts w:ascii="宋体" w:eastAsia="宋体" w:hAnsi="宋体" w:cs="Arial" w:hint="eastAsia"/>
          <w:sz w:val="24"/>
          <w:szCs w:val="24"/>
        </w:rPr>
        <w:t>基准服务</w:t>
      </w:r>
      <w:r>
        <w:rPr>
          <w:rFonts w:ascii="宋体" w:eastAsia="宋体" w:hAnsi="宋体" w:cs="Arial"/>
          <w:sz w:val="24"/>
          <w:szCs w:val="24"/>
        </w:rPr>
        <w:t>机构未提供估值价格的，应采用估值技术确定公允价值。</w:t>
      </w:r>
    </w:p>
    <w:p w14:paraId="187F5E82"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Arial"/>
          <w:sz w:val="24"/>
          <w:szCs w:val="24"/>
        </w:rPr>
        <w:t>11</w:t>
      </w:r>
      <w:r>
        <w:rPr>
          <w:rFonts w:ascii="宋体" w:eastAsia="宋体" w:hAnsi="宋体" w:cs="Arial" w:hint="eastAsia"/>
          <w:sz w:val="24"/>
          <w:szCs w:val="24"/>
        </w:rPr>
        <w:t>）</w:t>
      </w:r>
      <w:r>
        <w:rPr>
          <w:rFonts w:ascii="宋体" w:eastAsia="宋体" w:hAnsi="宋体" w:cs="Arial"/>
          <w:sz w:val="24"/>
          <w:szCs w:val="24"/>
        </w:rPr>
        <w:t>本基金投资存托凭证的估值核算，依照国内依法发行上市的股票执行。</w:t>
      </w:r>
    </w:p>
    <w:p w14:paraId="6DAAB5FA" w14:textId="78C9B629" w:rsidR="003D19AB" w:rsidRDefault="003D19AB">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w:t>
      </w:r>
      <w:r>
        <w:rPr>
          <w:rFonts w:ascii="宋体" w:eastAsia="宋体" w:hAnsi="宋体" w:cs="Arial"/>
          <w:sz w:val="24"/>
          <w:szCs w:val="24"/>
        </w:rPr>
        <w:t>2</w:t>
      </w:r>
      <w:r>
        <w:rPr>
          <w:rFonts w:ascii="宋体" w:eastAsia="宋体" w:hAnsi="宋体" w:cs="Arial" w:hint="eastAsia"/>
          <w:sz w:val="24"/>
          <w:szCs w:val="24"/>
        </w:rPr>
        <w:t>）</w:t>
      </w:r>
      <w:r w:rsidRPr="003D19AB">
        <w:rPr>
          <w:rFonts w:ascii="宋体" w:eastAsia="宋体" w:hAnsi="宋体" w:cs="Arial" w:hint="eastAsia"/>
          <w:sz w:val="24"/>
          <w:szCs w:val="24"/>
        </w:rPr>
        <w:t>如有确凿证据表明按上述方法进行估值不能客观反映其公允价值的，基金管理人可根据具体情况与基金托管人商定后，按最能反映公允价值的价格估值。</w:t>
      </w:r>
    </w:p>
    <w:p w14:paraId="31F1EC83" w14:textId="74537DDB" w:rsidR="00FC41CF"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Arial"/>
          <w:sz w:val="24"/>
          <w:szCs w:val="24"/>
        </w:rPr>
        <w:t>1</w:t>
      </w:r>
      <w:r w:rsidR="003D19AB">
        <w:rPr>
          <w:rFonts w:ascii="宋体" w:eastAsia="宋体" w:hAnsi="宋体" w:cs="Arial"/>
          <w:sz w:val="24"/>
          <w:szCs w:val="24"/>
        </w:rPr>
        <w:t>3</w:t>
      </w:r>
      <w:r>
        <w:rPr>
          <w:rFonts w:ascii="宋体" w:eastAsia="宋体" w:hAnsi="宋体" w:cs="Arial" w:hint="eastAsia"/>
          <w:sz w:val="24"/>
          <w:szCs w:val="24"/>
        </w:rPr>
        <w:t>）本基金可以采用第三方估值机构按照上述公允价值确定原则提供的估值价格数据。</w:t>
      </w:r>
    </w:p>
    <w:p w14:paraId="695963B0" w14:textId="02FFFF4D"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使用模型估值的，应当审慎确定模型参数，不得随意调整。</w:t>
      </w:r>
    </w:p>
    <w:p w14:paraId="5DCFAC55" w14:textId="04BC3061"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对于仅依赖</w:t>
      </w:r>
      <w:r w:rsidR="00FC41CF">
        <w:rPr>
          <w:rFonts w:ascii="宋体" w:eastAsia="宋体" w:hAnsi="宋体" w:cs="Arial" w:hint="eastAsia"/>
          <w:sz w:val="24"/>
          <w:szCs w:val="24"/>
        </w:rPr>
        <w:t>基金</w:t>
      </w:r>
      <w:r>
        <w:rPr>
          <w:rFonts w:ascii="宋体" w:eastAsia="宋体" w:hAnsi="宋体" w:cs="Arial" w:hint="eastAsia"/>
          <w:sz w:val="24"/>
          <w:szCs w:val="24"/>
        </w:rPr>
        <w:t>管理人所提供数据（包括不限于</w:t>
      </w:r>
      <w:r w:rsidR="00FC41CF">
        <w:rPr>
          <w:rFonts w:ascii="宋体" w:eastAsia="宋体" w:hAnsi="宋体" w:cs="Arial" w:hint="eastAsia"/>
          <w:sz w:val="24"/>
          <w:szCs w:val="24"/>
        </w:rPr>
        <w:t>基金</w:t>
      </w:r>
      <w:r>
        <w:rPr>
          <w:rFonts w:ascii="宋体" w:eastAsia="宋体" w:hAnsi="宋体" w:cs="Arial" w:hint="eastAsia"/>
          <w:sz w:val="24"/>
          <w:szCs w:val="24"/>
        </w:rPr>
        <w:t>管理人自建模型定价）且无法从其他渠道获取可靠数据进行会计核算的投资品种，</w:t>
      </w:r>
      <w:r w:rsidR="00FC41CF">
        <w:rPr>
          <w:rFonts w:ascii="宋体" w:eastAsia="宋体" w:hAnsi="宋体" w:cs="Arial" w:hint="eastAsia"/>
          <w:sz w:val="24"/>
          <w:szCs w:val="24"/>
        </w:rPr>
        <w:t>基金</w:t>
      </w:r>
      <w:r>
        <w:rPr>
          <w:rFonts w:ascii="宋体" w:eastAsia="宋体" w:hAnsi="宋体" w:cs="Arial" w:hint="eastAsia"/>
          <w:sz w:val="24"/>
          <w:szCs w:val="24"/>
        </w:rPr>
        <w:t>管理人应对该估值数据的真实性、准确性、完整性、合</w:t>
      </w:r>
      <w:proofErr w:type="gramStart"/>
      <w:r>
        <w:rPr>
          <w:rFonts w:ascii="宋体" w:eastAsia="宋体" w:hAnsi="宋体" w:cs="Arial" w:hint="eastAsia"/>
          <w:sz w:val="24"/>
          <w:szCs w:val="24"/>
        </w:rPr>
        <w:t>规</w:t>
      </w:r>
      <w:proofErr w:type="gramEnd"/>
      <w:r>
        <w:rPr>
          <w:rFonts w:ascii="宋体" w:eastAsia="宋体" w:hAnsi="宋体" w:cs="Arial" w:hint="eastAsia"/>
          <w:sz w:val="24"/>
          <w:szCs w:val="24"/>
        </w:rPr>
        <w:t>性负责，因上述估值数据错误导致估值结果</w:t>
      </w:r>
      <w:r>
        <w:rPr>
          <w:rFonts w:ascii="宋体" w:eastAsia="宋体" w:hAnsi="宋体" w:cs="Arial" w:hint="eastAsia"/>
          <w:sz w:val="24"/>
          <w:szCs w:val="24"/>
        </w:rPr>
        <w:lastRenderedPageBreak/>
        <w:t>的不真实、不准确、不完整、不合</w:t>
      </w:r>
      <w:proofErr w:type="gramStart"/>
      <w:r>
        <w:rPr>
          <w:rFonts w:ascii="宋体" w:eastAsia="宋体" w:hAnsi="宋体" w:cs="Arial" w:hint="eastAsia"/>
          <w:sz w:val="24"/>
          <w:szCs w:val="24"/>
        </w:rPr>
        <w:t>规</w:t>
      </w:r>
      <w:proofErr w:type="gramEnd"/>
      <w:r>
        <w:rPr>
          <w:rFonts w:ascii="宋体" w:eastAsia="宋体" w:hAnsi="宋体" w:cs="Arial" w:hint="eastAsia"/>
          <w:sz w:val="24"/>
          <w:szCs w:val="24"/>
        </w:rPr>
        <w:t>，</w:t>
      </w:r>
      <w:r w:rsidR="00EC4573">
        <w:rPr>
          <w:rFonts w:ascii="宋体" w:eastAsia="宋体" w:hAnsi="宋体" w:cs="Arial" w:hint="eastAsia"/>
          <w:sz w:val="24"/>
          <w:szCs w:val="24"/>
        </w:rPr>
        <w:t>基金</w:t>
      </w:r>
      <w:r>
        <w:rPr>
          <w:rFonts w:ascii="宋体" w:eastAsia="宋体" w:hAnsi="宋体" w:cs="Arial" w:hint="eastAsia"/>
          <w:sz w:val="24"/>
          <w:szCs w:val="24"/>
        </w:rPr>
        <w:t>托管人不承担</w:t>
      </w:r>
      <w:r w:rsidR="00EC4DF3">
        <w:rPr>
          <w:rFonts w:ascii="宋体" w:eastAsia="宋体" w:hAnsi="宋体" w:cs="Arial" w:hint="eastAsia"/>
          <w:sz w:val="24"/>
          <w:szCs w:val="24"/>
        </w:rPr>
        <w:t>任何</w:t>
      </w:r>
      <w:r>
        <w:rPr>
          <w:rFonts w:ascii="宋体" w:eastAsia="宋体" w:hAnsi="宋体" w:cs="Arial" w:hint="eastAsia"/>
          <w:sz w:val="24"/>
          <w:szCs w:val="24"/>
        </w:rPr>
        <w:t>责任。</w:t>
      </w:r>
    </w:p>
    <w:p w14:paraId="117F2374" w14:textId="4298B255"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Arial"/>
          <w:sz w:val="24"/>
          <w:szCs w:val="24"/>
        </w:rPr>
        <w:t>1</w:t>
      </w:r>
      <w:r w:rsidR="003D19AB">
        <w:rPr>
          <w:rFonts w:ascii="宋体" w:eastAsia="宋体" w:hAnsi="宋体" w:cs="Arial"/>
          <w:sz w:val="24"/>
          <w:szCs w:val="24"/>
        </w:rPr>
        <w:t>4</w:t>
      </w:r>
      <w:r>
        <w:rPr>
          <w:rFonts w:ascii="宋体" w:eastAsia="宋体" w:hAnsi="宋体" w:cs="Arial" w:hint="eastAsia"/>
          <w:sz w:val="24"/>
          <w:szCs w:val="24"/>
        </w:rPr>
        <w:t>）</w:t>
      </w:r>
      <w:r>
        <w:rPr>
          <w:rFonts w:ascii="宋体" w:eastAsia="宋体" w:hAnsi="宋体" w:cs="Arial"/>
          <w:sz w:val="24"/>
          <w:szCs w:val="24"/>
        </w:rPr>
        <w:t>相关法律法规以及监管部门有强制规定的，从其规定。如有新增事项，按国家最新规定估值。</w:t>
      </w:r>
    </w:p>
    <w:p w14:paraId="557FD4EF"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2418C3B8" w14:textId="3660D195"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本基金的会计责任方由基金管理人担任，负责基金净值计算和基金会计核算，就与本基金有关的会计问题，如经相关各方在平等基础上充分讨论后，仍无法达成一致的意见，基金管理人向基金托管人出具盖章的书面说明后，按照基金管理人对基金净值信息的计算结果对外予以公布。</w:t>
      </w:r>
    </w:p>
    <w:p w14:paraId="65193D16"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微软雅黑" w:hint="eastAsia"/>
          <w:sz w:val="24"/>
          <w:szCs w:val="24"/>
        </w:rPr>
        <w:t>三</w:t>
      </w:r>
      <w:r>
        <w:rPr>
          <w:rFonts w:ascii="宋体" w:eastAsia="宋体" w:hAnsi="宋体" w:cs="Malgun Gothic Semilight" w:hint="eastAsia"/>
          <w:sz w:val="24"/>
          <w:szCs w:val="24"/>
        </w:rPr>
        <w:t>）</w:t>
      </w:r>
      <w:r>
        <w:rPr>
          <w:rFonts w:ascii="宋体" w:eastAsia="宋体" w:hAnsi="宋体" w:cs="微软雅黑" w:hint="eastAsia"/>
          <w:sz w:val="24"/>
          <w:szCs w:val="24"/>
        </w:rPr>
        <w:t>基金份额净值错误的处理方式</w:t>
      </w:r>
    </w:p>
    <w:p w14:paraId="14496DA1"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基金管理人和基金托管人将采取必要、适当、合理的措施确保基金资产估值的准确性、及时性。当基金份额净值小数点后</w:t>
      </w:r>
      <w:r>
        <w:rPr>
          <w:rFonts w:ascii="宋体" w:eastAsia="宋体" w:hAnsi="宋体" w:cs="Times New Roman"/>
          <w:sz w:val="24"/>
          <w:szCs w:val="24"/>
        </w:rPr>
        <w:t>4位以内（含第4位）发生估值错误时，视为基金份额净值错误。</w:t>
      </w:r>
    </w:p>
    <w:p w14:paraId="5FFF7DE5"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1.基金份额净值计算出现错误时，基金管理人应当立即予以纠正，通报基金托管人，并采取合理的措施防止损失进一步扩大。</w:t>
      </w:r>
    </w:p>
    <w:p w14:paraId="678DB42C"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2.错误偏差达到基金份额净值的0.25%时，基金管理人应当通报基金托管人并报中国证监会备案；错误偏差达到基金份额净值的0.5%时，基金管理人应当公告，通报基金托管人，并报中国证监会备案</w:t>
      </w:r>
      <w:r>
        <w:rPr>
          <w:rFonts w:ascii="宋体" w:eastAsia="宋体" w:hAnsi="宋体" w:cs="Times New Roman" w:hint="eastAsia"/>
          <w:sz w:val="24"/>
          <w:szCs w:val="24"/>
        </w:rPr>
        <w:t>；当发生净值计算错误时，由基金管理人负责处理，由此给基金份额持有人和基金造成损失的，应由基金管理人先行赔付，基金管理人按差错情形，有权向其他当事人追偿。</w:t>
      </w:r>
    </w:p>
    <w:p w14:paraId="4245F119"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当基金份额净值计算差错给基金和基金份额持有人造成损失需要进行赔偿时，基金管理人和基金托管人根据实际情况界定双方承担的责任，经确认后按以下条款进行赔偿：</w:t>
      </w:r>
    </w:p>
    <w:p w14:paraId="103F2241"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6111C6BE"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w:t>
      </w:r>
      <w:proofErr w:type="gramStart"/>
      <w:r>
        <w:rPr>
          <w:rFonts w:ascii="宋体" w:eastAsia="宋体" w:hAnsi="宋体" w:cs="Times New Roman"/>
          <w:sz w:val="24"/>
          <w:szCs w:val="24"/>
        </w:rPr>
        <w:t>若基金</w:t>
      </w:r>
      <w:proofErr w:type="gramEnd"/>
      <w:r>
        <w:rPr>
          <w:rFonts w:ascii="宋体" w:eastAsia="宋体" w:hAnsi="宋体" w:cs="Times New Roman"/>
          <w:sz w:val="24"/>
          <w:szCs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w:t>
      </w:r>
      <w:r>
        <w:rPr>
          <w:rFonts w:ascii="宋体" w:eastAsia="宋体" w:hAnsi="宋体" w:cs="Times New Roman"/>
          <w:sz w:val="24"/>
          <w:szCs w:val="24"/>
        </w:rPr>
        <w:lastRenderedPageBreak/>
        <w:t>偿金，就实际向投资者或基金支付的赔偿金额，基金管理人与基金托管人按照管理费和托管费的比例各自承担相应的责任 。</w:t>
      </w:r>
    </w:p>
    <w:p w14:paraId="02024A88"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2CF1FF47"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(4)由于</w:t>
      </w:r>
      <w:r>
        <w:rPr>
          <w:rFonts w:ascii="宋体" w:eastAsia="宋体" w:hAnsi="宋体" w:cs="Times New Roman" w:hint="eastAsia"/>
          <w:sz w:val="24"/>
          <w:szCs w:val="24"/>
        </w:rPr>
        <w:t>基金管理人提供</w:t>
      </w:r>
      <w:r>
        <w:rPr>
          <w:rFonts w:ascii="宋体" w:eastAsia="宋体" w:hAnsi="宋体" w:cs="Times New Roman"/>
          <w:sz w:val="24"/>
          <w:szCs w:val="24"/>
        </w:rPr>
        <w:t>的信息错误（包括但不限于基金申购或赎回金额等），进而导致基金份额净值计算错误而引起的基金份额持有人和基金财产的损失，由</w:t>
      </w:r>
      <w:r>
        <w:rPr>
          <w:rFonts w:ascii="宋体" w:eastAsia="宋体" w:hAnsi="宋体" w:cs="Times New Roman" w:hint="eastAsia"/>
          <w:sz w:val="24"/>
          <w:szCs w:val="24"/>
        </w:rPr>
        <w:t>基金管理人</w:t>
      </w:r>
      <w:r>
        <w:rPr>
          <w:rFonts w:ascii="宋体" w:eastAsia="宋体" w:hAnsi="宋体" w:cs="Times New Roman"/>
          <w:sz w:val="24"/>
          <w:szCs w:val="24"/>
        </w:rPr>
        <w:t>负责赔付。</w:t>
      </w:r>
    </w:p>
    <w:p w14:paraId="5ADAFF4A"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w:t>
      </w:r>
      <w:r>
        <w:rPr>
          <w:rFonts w:ascii="宋体" w:eastAsia="宋体" w:hAnsi="宋体" w:cs="Times New Roman"/>
          <w:sz w:val="24"/>
          <w:szCs w:val="24"/>
        </w:rPr>
        <w:t>.前述内容如法律法规或监管机关另有规定的，从其规定处理。</w:t>
      </w:r>
    </w:p>
    <w:p w14:paraId="1E80A914"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5.特殊情况的处理</w:t>
      </w:r>
    </w:p>
    <w:p w14:paraId="48E32D05"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1）基金管理人或基金托管人按基金合同约定的估值方法进行估值时，所造成的误差不作为基金资产估值错误处理。</w:t>
      </w:r>
    </w:p>
    <w:p w14:paraId="4E4300F7"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2）由于不可抗力，或证券交易所、期货交易所、指数编制机构、第三方估值</w:t>
      </w:r>
      <w:r>
        <w:rPr>
          <w:rFonts w:ascii="宋体" w:eastAsia="宋体" w:hAnsi="宋体" w:cs="Times New Roman" w:hint="eastAsia"/>
          <w:sz w:val="24"/>
          <w:szCs w:val="24"/>
        </w:rPr>
        <w:t>基准服务</w:t>
      </w:r>
      <w:r>
        <w:rPr>
          <w:rFonts w:ascii="宋体" w:eastAsia="宋体" w:hAnsi="宋体" w:cs="Times New Roman"/>
          <w:sz w:val="24"/>
          <w:szCs w:val="24"/>
        </w:rPr>
        <w:t>机构、证券经纪</w:t>
      </w:r>
      <w:r>
        <w:rPr>
          <w:rFonts w:ascii="宋体" w:eastAsia="宋体" w:hAnsi="宋体" w:cs="Times New Roman" w:hint="eastAsia"/>
          <w:sz w:val="24"/>
          <w:szCs w:val="24"/>
        </w:rPr>
        <w:t>商</w:t>
      </w:r>
      <w:r>
        <w:rPr>
          <w:rFonts w:ascii="宋体" w:eastAsia="宋体" w:hAnsi="宋体" w:cs="Times New Roman"/>
          <w:sz w:val="24"/>
          <w:szCs w:val="24"/>
        </w:rPr>
        <w:t>或登记结算公司发送的数据错误，或国家会计政策变更、市场规则变更等</w:t>
      </w:r>
      <w:proofErr w:type="gramStart"/>
      <w:r>
        <w:rPr>
          <w:rFonts w:ascii="宋体" w:eastAsia="宋体" w:hAnsi="宋体" w:cs="Times New Roman"/>
          <w:sz w:val="24"/>
          <w:szCs w:val="24"/>
        </w:rPr>
        <w:t>非基金</w:t>
      </w:r>
      <w:proofErr w:type="gramEnd"/>
      <w:r>
        <w:rPr>
          <w:rFonts w:ascii="宋体" w:eastAsia="宋体" w:hAnsi="宋体" w:cs="Times New Roman"/>
          <w:sz w:val="24"/>
          <w:szCs w:val="24"/>
        </w:rPr>
        <w:t>管理人或基金托管人原因，基金管理人和基金托管人虽然已经采取必要、适当、合理的措施进行检查，仍未能发现错误</w:t>
      </w:r>
      <w:r>
        <w:rPr>
          <w:rFonts w:ascii="宋体" w:eastAsia="宋体" w:hAnsi="宋体" w:cs="Times New Roman" w:hint="eastAsia"/>
          <w:sz w:val="24"/>
          <w:szCs w:val="24"/>
        </w:rPr>
        <w:t>或因前述原因未能避免或更正错误</w:t>
      </w:r>
      <w:r>
        <w:rPr>
          <w:rFonts w:ascii="宋体" w:eastAsia="宋体" w:hAnsi="宋体" w:cs="Times New Roman"/>
          <w:sz w:val="24"/>
          <w:szCs w:val="24"/>
        </w:rPr>
        <w:t>的，由此造成的基金资产估值错误，基金管理人和基金托管人免除赔偿责任。但基金管理人、基金托管人应当积极采取必要的措施减轻或消除由此造成的影响。</w:t>
      </w:r>
    </w:p>
    <w:p w14:paraId="7B88F000"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（四）暂停估值的情形</w:t>
      </w:r>
    </w:p>
    <w:p w14:paraId="4F6C1BE5"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1.基金投资所涉及的证券、期货交易市场遇法定节假日或因其他原因暂停营业时；</w:t>
      </w:r>
    </w:p>
    <w:p w14:paraId="01770F9D"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2.因不可抗力致使基金管理人、基金托管人无法准确评估基金资产价值时；</w:t>
      </w:r>
    </w:p>
    <w:p w14:paraId="4F9EB155"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3.当前一估值日基金资产净值 50%以上的资产出现无可参考的活跃市场价格且采用估值技术</w:t>
      </w:r>
      <w:proofErr w:type="gramStart"/>
      <w:r>
        <w:rPr>
          <w:rFonts w:ascii="宋体" w:eastAsia="宋体" w:hAnsi="宋体" w:cs="Times New Roman"/>
          <w:sz w:val="24"/>
          <w:szCs w:val="24"/>
        </w:rPr>
        <w:t>仍导致</w:t>
      </w:r>
      <w:proofErr w:type="gramEnd"/>
      <w:r>
        <w:rPr>
          <w:rFonts w:ascii="宋体" w:eastAsia="宋体" w:hAnsi="宋体" w:cs="Times New Roman"/>
          <w:sz w:val="24"/>
          <w:szCs w:val="24"/>
        </w:rPr>
        <w:t>公允价值存在重大不确定性时，经与基金托管人协商确认后，基金管理人应当暂停估值；</w:t>
      </w:r>
    </w:p>
    <w:p w14:paraId="1605E5AC"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4.法律法规规定、中国证监会和基金合同认定的其它情形。</w:t>
      </w:r>
    </w:p>
    <w:p w14:paraId="7B48A39D"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（五）基金会计制度</w:t>
      </w:r>
    </w:p>
    <w:p w14:paraId="2CB9BDB7"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按国家有关部门规定的会计制度执行</w:t>
      </w:r>
      <w:r>
        <w:rPr>
          <w:rFonts w:ascii="宋体" w:eastAsia="宋体" w:hAnsi="宋体" w:cs="Malgun Gothic Semilight" w:hint="eastAsia"/>
          <w:sz w:val="24"/>
          <w:szCs w:val="24"/>
        </w:rPr>
        <w:t>。</w:t>
      </w:r>
    </w:p>
    <w:p w14:paraId="6CAFDCBC"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（六）基金账册的建立</w:t>
      </w:r>
    </w:p>
    <w:p w14:paraId="31B40E89"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基金管理人进行基金会计核算并编制基金财务会计报告</w:t>
      </w:r>
      <w:r>
        <w:rPr>
          <w:rFonts w:ascii="宋体" w:eastAsia="宋体" w:hAnsi="宋体" w:cs="Malgun Gothic Semilight" w:hint="eastAsia"/>
          <w:sz w:val="24"/>
          <w:szCs w:val="24"/>
        </w:rPr>
        <w:t>。</w:t>
      </w:r>
      <w:r>
        <w:rPr>
          <w:rFonts w:ascii="宋体" w:eastAsia="宋体" w:hAnsi="宋体" w:cs="微软雅黑" w:hint="eastAsia"/>
          <w:sz w:val="24"/>
          <w:szCs w:val="24"/>
        </w:rPr>
        <w:t>基金管理人、基金托管人分别独立地设置</w:t>
      </w:r>
      <w:r>
        <w:rPr>
          <w:rFonts w:ascii="宋体" w:eastAsia="宋体" w:hAnsi="宋体" w:cs="Malgun Gothic Semilight" w:hint="eastAsia"/>
          <w:sz w:val="24"/>
          <w:szCs w:val="24"/>
        </w:rPr>
        <w:t>、</w:t>
      </w:r>
      <w:r>
        <w:rPr>
          <w:rFonts w:ascii="宋体" w:eastAsia="宋体" w:hAnsi="宋体" w:cs="微软雅黑" w:hint="eastAsia"/>
          <w:sz w:val="24"/>
          <w:szCs w:val="24"/>
        </w:rPr>
        <w:t>记录和保管本基金的全套账册</w:t>
      </w:r>
      <w:r>
        <w:rPr>
          <w:rFonts w:ascii="宋体" w:eastAsia="宋体" w:hAnsi="宋体" w:cs="Malgun Gothic Semilight" w:hint="eastAsia"/>
          <w:sz w:val="24"/>
          <w:szCs w:val="24"/>
        </w:rPr>
        <w:t>。</w:t>
      </w:r>
      <w:proofErr w:type="gramStart"/>
      <w:r>
        <w:rPr>
          <w:rFonts w:ascii="宋体" w:eastAsia="宋体" w:hAnsi="宋体" w:cs="微软雅黑" w:hint="eastAsia"/>
          <w:sz w:val="24"/>
          <w:szCs w:val="24"/>
        </w:rPr>
        <w:t>若基金</w:t>
      </w:r>
      <w:proofErr w:type="gramEnd"/>
      <w:r>
        <w:rPr>
          <w:rFonts w:ascii="宋体" w:eastAsia="宋体" w:hAnsi="宋体" w:cs="微软雅黑" w:hint="eastAsia"/>
          <w:sz w:val="24"/>
          <w:szCs w:val="24"/>
        </w:rPr>
        <w:t>管理人和基金托管人对会计处理方法存在分歧</w:t>
      </w:r>
      <w:r>
        <w:rPr>
          <w:rFonts w:ascii="宋体" w:eastAsia="宋体" w:hAnsi="宋体" w:cs="Malgun Gothic Semilight" w:hint="eastAsia"/>
          <w:sz w:val="24"/>
          <w:szCs w:val="24"/>
        </w:rPr>
        <w:t>，</w:t>
      </w:r>
      <w:r>
        <w:rPr>
          <w:rFonts w:ascii="宋体" w:eastAsia="宋体" w:hAnsi="宋体" w:cs="微软雅黑" w:hint="eastAsia"/>
          <w:sz w:val="24"/>
          <w:szCs w:val="24"/>
        </w:rPr>
        <w:t>应以基金管理人的处理方法为准</w:t>
      </w:r>
      <w:r>
        <w:rPr>
          <w:rFonts w:ascii="宋体" w:eastAsia="宋体" w:hAnsi="宋体" w:cs="Malgun Gothic Semilight" w:hint="eastAsia"/>
          <w:sz w:val="24"/>
          <w:szCs w:val="24"/>
        </w:rPr>
        <w:t>。</w:t>
      </w:r>
      <w:r>
        <w:rPr>
          <w:rFonts w:ascii="宋体" w:eastAsia="宋体" w:hAnsi="宋体" w:cs="微软雅黑" w:hint="eastAsia"/>
          <w:sz w:val="24"/>
          <w:szCs w:val="24"/>
        </w:rPr>
        <w:t>若当日核对不符</w:t>
      </w:r>
      <w:r>
        <w:rPr>
          <w:rFonts w:ascii="宋体" w:eastAsia="宋体" w:hAnsi="宋体" w:cs="Malgun Gothic Semilight" w:hint="eastAsia"/>
          <w:sz w:val="24"/>
          <w:szCs w:val="24"/>
        </w:rPr>
        <w:t>，</w:t>
      </w:r>
      <w:r>
        <w:rPr>
          <w:rFonts w:ascii="宋体" w:eastAsia="宋体" w:hAnsi="宋体" w:cs="微软雅黑" w:hint="eastAsia"/>
          <w:sz w:val="24"/>
          <w:szCs w:val="24"/>
        </w:rPr>
        <w:t>暂时无法查找到错账的原因而影响到基金净值信息的计算和公告的</w:t>
      </w:r>
      <w:r>
        <w:rPr>
          <w:rFonts w:ascii="宋体" w:eastAsia="宋体" w:hAnsi="宋体" w:cs="Malgun Gothic Semilight" w:hint="eastAsia"/>
          <w:sz w:val="24"/>
          <w:szCs w:val="24"/>
        </w:rPr>
        <w:t>，</w:t>
      </w:r>
      <w:r>
        <w:rPr>
          <w:rFonts w:ascii="宋体" w:eastAsia="宋体" w:hAnsi="宋体" w:cs="微软雅黑" w:hint="eastAsia"/>
          <w:sz w:val="24"/>
          <w:szCs w:val="24"/>
        </w:rPr>
        <w:t>以基金管理人的账册为准</w:t>
      </w:r>
      <w:r>
        <w:rPr>
          <w:rFonts w:ascii="宋体" w:eastAsia="宋体" w:hAnsi="宋体" w:cs="Malgun Gothic Semilight" w:hint="eastAsia"/>
          <w:sz w:val="24"/>
          <w:szCs w:val="24"/>
        </w:rPr>
        <w:t>。</w:t>
      </w:r>
    </w:p>
    <w:p w14:paraId="639E6985" w14:textId="77777777" w:rsidR="00F012EE" w:rsidRDefault="00477FBC">
      <w:pPr>
        <w:adjustRightInd w:val="0"/>
        <w:snapToGri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（七）基金财务报表与报告的编制和复核</w:t>
      </w:r>
    </w:p>
    <w:p w14:paraId="4F4305A8"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w:t>
      </w:r>
      <w:r>
        <w:rPr>
          <w:rFonts w:ascii="宋体" w:eastAsia="宋体" w:hAnsi="宋体" w:cs="微软雅黑" w:hint="eastAsia"/>
          <w:sz w:val="24"/>
          <w:szCs w:val="24"/>
        </w:rPr>
        <w:t>财务报表的编制</w:t>
      </w:r>
    </w:p>
    <w:p w14:paraId="593CDEEA"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基金财务报表由基金管理人编制</w:t>
      </w:r>
      <w:r>
        <w:rPr>
          <w:rFonts w:ascii="宋体" w:eastAsia="宋体" w:hAnsi="宋体" w:cs="Malgun Gothic Semilight" w:hint="eastAsia"/>
          <w:sz w:val="24"/>
          <w:szCs w:val="24"/>
        </w:rPr>
        <w:t>，</w:t>
      </w:r>
      <w:r>
        <w:rPr>
          <w:rFonts w:ascii="宋体" w:eastAsia="宋体" w:hAnsi="宋体" w:cs="微软雅黑" w:hint="eastAsia"/>
          <w:sz w:val="24"/>
          <w:szCs w:val="24"/>
        </w:rPr>
        <w:t>基金托管人复核</w:t>
      </w:r>
      <w:r>
        <w:rPr>
          <w:rFonts w:ascii="宋体" w:eastAsia="宋体" w:hAnsi="宋体" w:cs="Malgun Gothic Semilight" w:hint="eastAsia"/>
          <w:sz w:val="24"/>
          <w:szCs w:val="24"/>
        </w:rPr>
        <w:t>。</w:t>
      </w:r>
    </w:p>
    <w:p w14:paraId="0F408B88"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微软雅黑" w:hint="eastAsia"/>
          <w:sz w:val="24"/>
          <w:szCs w:val="24"/>
        </w:rPr>
        <w:t>报表复核</w:t>
      </w:r>
    </w:p>
    <w:p w14:paraId="3A358FB0"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基金托管人在收到基金管理人编制的基金财务报表后</w:t>
      </w:r>
      <w:r>
        <w:rPr>
          <w:rFonts w:ascii="宋体" w:eastAsia="宋体" w:hAnsi="宋体" w:cs="Malgun Gothic Semilight" w:hint="eastAsia"/>
          <w:sz w:val="24"/>
          <w:szCs w:val="24"/>
        </w:rPr>
        <w:t>，</w:t>
      </w:r>
      <w:r>
        <w:rPr>
          <w:rFonts w:ascii="宋体" w:eastAsia="宋体" w:hAnsi="宋体" w:cs="微软雅黑" w:hint="eastAsia"/>
          <w:sz w:val="24"/>
          <w:szCs w:val="24"/>
        </w:rPr>
        <w:t>进行独立的复核</w:t>
      </w:r>
      <w:r>
        <w:rPr>
          <w:rFonts w:ascii="宋体" w:eastAsia="宋体" w:hAnsi="宋体" w:cs="Malgun Gothic Semilight" w:hint="eastAsia"/>
          <w:sz w:val="24"/>
          <w:szCs w:val="24"/>
        </w:rPr>
        <w:t>。</w:t>
      </w:r>
      <w:r>
        <w:rPr>
          <w:rFonts w:ascii="宋体" w:eastAsia="宋体" w:hAnsi="宋体" w:cs="微软雅黑" w:hint="eastAsia"/>
          <w:sz w:val="24"/>
          <w:szCs w:val="24"/>
        </w:rPr>
        <w:t>核对不符时</w:t>
      </w:r>
      <w:r>
        <w:rPr>
          <w:rFonts w:ascii="宋体" w:eastAsia="宋体" w:hAnsi="宋体" w:cs="Malgun Gothic Semilight" w:hint="eastAsia"/>
          <w:sz w:val="24"/>
          <w:szCs w:val="24"/>
        </w:rPr>
        <w:t>，</w:t>
      </w:r>
      <w:r>
        <w:rPr>
          <w:rFonts w:ascii="宋体" w:eastAsia="宋体" w:hAnsi="宋体" w:cs="微软雅黑" w:hint="eastAsia"/>
          <w:sz w:val="24"/>
          <w:szCs w:val="24"/>
        </w:rPr>
        <w:t>应及时通知基金管理人共同查出原因</w:t>
      </w:r>
      <w:r>
        <w:rPr>
          <w:rFonts w:ascii="宋体" w:eastAsia="宋体" w:hAnsi="宋体" w:cs="Malgun Gothic Semilight" w:hint="eastAsia"/>
          <w:sz w:val="24"/>
          <w:szCs w:val="24"/>
        </w:rPr>
        <w:t>，</w:t>
      </w:r>
      <w:r>
        <w:rPr>
          <w:rFonts w:ascii="宋体" w:eastAsia="宋体" w:hAnsi="宋体" w:cs="微软雅黑" w:hint="eastAsia"/>
          <w:sz w:val="24"/>
          <w:szCs w:val="24"/>
        </w:rPr>
        <w:t>进行调整</w:t>
      </w:r>
      <w:r>
        <w:rPr>
          <w:rFonts w:ascii="宋体" w:eastAsia="宋体" w:hAnsi="宋体" w:cs="Malgun Gothic Semilight" w:hint="eastAsia"/>
          <w:sz w:val="24"/>
          <w:szCs w:val="24"/>
        </w:rPr>
        <w:t>，</w:t>
      </w:r>
      <w:r>
        <w:rPr>
          <w:rFonts w:ascii="宋体" w:eastAsia="宋体" w:hAnsi="宋体" w:cs="微软雅黑" w:hint="eastAsia"/>
          <w:sz w:val="24"/>
          <w:szCs w:val="24"/>
        </w:rPr>
        <w:t>直至双方数据完全一致</w:t>
      </w:r>
      <w:r>
        <w:rPr>
          <w:rFonts w:ascii="宋体" w:eastAsia="宋体" w:hAnsi="宋体" w:cs="Malgun Gothic Semilight" w:hint="eastAsia"/>
          <w:sz w:val="24"/>
          <w:szCs w:val="24"/>
        </w:rPr>
        <w:t>。</w:t>
      </w:r>
    </w:p>
    <w:p w14:paraId="33D61E04"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3.</w:t>
      </w:r>
      <w:r>
        <w:rPr>
          <w:rFonts w:ascii="宋体" w:eastAsia="宋体" w:hAnsi="宋体" w:cs="微软雅黑" w:hint="eastAsia"/>
          <w:sz w:val="24"/>
          <w:szCs w:val="24"/>
        </w:rPr>
        <w:t>财务报表的编制与复核时间安排</w:t>
      </w:r>
    </w:p>
    <w:p w14:paraId="384A5971"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w:t>
      </w:r>
      <w:r>
        <w:rPr>
          <w:rFonts w:ascii="宋体" w:eastAsia="宋体" w:hAnsi="宋体" w:cs="微软雅黑" w:hint="eastAsia"/>
          <w:sz w:val="24"/>
          <w:szCs w:val="24"/>
        </w:rPr>
        <w:t>报表的编制</w:t>
      </w:r>
    </w:p>
    <w:p w14:paraId="175623A9"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基金管理人应当在每月结束后</w:t>
      </w:r>
      <w:r>
        <w:rPr>
          <w:rFonts w:ascii="宋体" w:eastAsia="宋体" w:hAnsi="宋体" w:cs="Arial" w:hint="eastAsia"/>
          <w:sz w:val="24"/>
          <w:szCs w:val="24"/>
        </w:rPr>
        <w:t>5</w:t>
      </w:r>
      <w:r>
        <w:rPr>
          <w:rFonts w:ascii="宋体" w:eastAsia="宋体" w:hAnsi="宋体" w:cs="微软雅黑" w:hint="eastAsia"/>
          <w:sz w:val="24"/>
          <w:szCs w:val="24"/>
        </w:rPr>
        <w:t>个工作日内完成月度报表的编制</w:t>
      </w:r>
      <w:r>
        <w:rPr>
          <w:rFonts w:ascii="宋体" w:eastAsia="宋体" w:hAnsi="宋体" w:cs="Malgun Gothic Semilight" w:hint="eastAsia"/>
          <w:sz w:val="24"/>
          <w:szCs w:val="24"/>
        </w:rPr>
        <w:t>；</w:t>
      </w:r>
      <w:r>
        <w:rPr>
          <w:rFonts w:ascii="宋体" w:eastAsia="宋体" w:hAnsi="宋体" w:cs="微软雅黑" w:hint="eastAsia"/>
          <w:sz w:val="24"/>
          <w:szCs w:val="24"/>
        </w:rPr>
        <w:t>在每个季度结束之日起</w:t>
      </w:r>
      <w:r>
        <w:rPr>
          <w:rFonts w:ascii="宋体" w:eastAsia="宋体" w:hAnsi="宋体" w:cs="Arial" w:hint="eastAsia"/>
          <w:sz w:val="24"/>
          <w:szCs w:val="24"/>
        </w:rPr>
        <w:t>15</w:t>
      </w:r>
      <w:r>
        <w:rPr>
          <w:rFonts w:ascii="宋体" w:eastAsia="宋体" w:hAnsi="宋体" w:cs="微软雅黑" w:hint="eastAsia"/>
          <w:sz w:val="24"/>
          <w:szCs w:val="24"/>
        </w:rPr>
        <w:t>个工作日内完成基金季度报告的编制</w:t>
      </w:r>
      <w:r>
        <w:rPr>
          <w:rFonts w:ascii="宋体" w:eastAsia="宋体" w:hAnsi="宋体" w:cs="Malgun Gothic Semilight" w:hint="eastAsia"/>
          <w:sz w:val="24"/>
          <w:szCs w:val="24"/>
        </w:rPr>
        <w:t>；</w:t>
      </w:r>
      <w:r>
        <w:rPr>
          <w:rFonts w:ascii="宋体" w:eastAsia="宋体" w:hAnsi="宋体" w:cs="微软雅黑" w:hint="eastAsia"/>
          <w:sz w:val="24"/>
          <w:szCs w:val="24"/>
        </w:rPr>
        <w:t>在上半年结束之日起</w:t>
      </w:r>
      <w:r>
        <w:rPr>
          <w:rFonts w:ascii="宋体" w:eastAsia="宋体" w:hAnsi="宋体" w:cs="Arial" w:hint="eastAsia"/>
          <w:sz w:val="24"/>
          <w:szCs w:val="24"/>
        </w:rPr>
        <w:t>2</w:t>
      </w:r>
      <w:r>
        <w:rPr>
          <w:rFonts w:ascii="宋体" w:eastAsia="宋体" w:hAnsi="宋体" w:cs="微软雅黑" w:hint="eastAsia"/>
          <w:sz w:val="24"/>
          <w:szCs w:val="24"/>
        </w:rPr>
        <w:t>个月内完成基金中期报告的编制</w:t>
      </w:r>
      <w:r>
        <w:rPr>
          <w:rFonts w:ascii="宋体" w:eastAsia="宋体" w:hAnsi="宋体" w:cs="Malgun Gothic Semilight" w:hint="eastAsia"/>
          <w:sz w:val="24"/>
          <w:szCs w:val="24"/>
        </w:rPr>
        <w:t>；</w:t>
      </w:r>
      <w:r>
        <w:rPr>
          <w:rFonts w:ascii="宋体" w:eastAsia="宋体" w:hAnsi="宋体" w:cs="微软雅黑" w:hint="eastAsia"/>
          <w:sz w:val="24"/>
          <w:szCs w:val="24"/>
        </w:rPr>
        <w:t>在每年结束之日起</w:t>
      </w:r>
      <w:r>
        <w:rPr>
          <w:rFonts w:ascii="宋体" w:eastAsia="宋体" w:hAnsi="宋体" w:cs="Arial" w:hint="eastAsia"/>
          <w:sz w:val="24"/>
          <w:szCs w:val="24"/>
        </w:rPr>
        <w:t>3</w:t>
      </w:r>
      <w:r>
        <w:rPr>
          <w:rFonts w:ascii="宋体" w:eastAsia="宋体" w:hAnsi="宋体" w:cs="微软雅黑" w:hint="eastAsia"/>
          <w:sz w:val="24"/>
          <w:szCs w:val="24"/>
        </w:rPr>
        <w:t>个月内完成基金年度报告的编制</w:t>
      </w:r>
      <w:r>
        <w:rPr>
          <w:rFonts w:ascii="宋体" w:eastAsia="宋体" w:hAnsi="宋体" w:cs="Malgun Gothic Semilight" w:hint="eastAsia"/>
          <w:sz w:val="24"/>
          <w:szCs w:val="24"/>
        </w:rPr>
        <w:t>。</w:t>
      </w:r>
      <w:r>
        <w:rPr>
          <w:rFonts w:ascii="宋体" w:eastAsia="宋体" w:hAnsi="宋体" w:cs="微软雅黑" w:hint="eastAsia"/>
          <w:sz w:val="24"/>
          <w:szCs w:val="24"/>
        </w:rPr>
        <w:t>基金年度报告中的财务会计报告应当经过符合</w:t>
      </w:r>
      <w:r>
        <w:rPr>
          <w:rFonts w:ascii="宋体" w:eastAsia="宋体" w:hAnsi="宋体" w:cs="Malgun Gothic Semilight" w:hint="eastAsia"/>
          <w:sz w:val="24"/>
          <w:szCs w:val="24"/>
        </w:rPr>
        <w:t>《</w:t>
      </w:r>
      <w:r>
        <w:rPr>
          <w:rFonts w:ascii="宋体" w:eastAsia="宋体" w:hAnsi="宋体" w:cs="微软雅黑" w:hint="eastAsia"/>
          <w:sz w:val="24"/>
          <w:szCs w:val="24"/>
        </w:rPr>
        <w:t>证券法</w:t>
      </w:r>
      <w:r>
        <w:rPr>
          <w:rFonts w:ascii="宋体" w:eastAsia="宋体" w:hAnsi="宋体" w:cs="Malgun Gothic Semilight" w:hint="eastAsia"/>
          <w:sz w:val="24"/>
          <w:szCs w:val="24"/>
        </w:rPr>
        <w:t>》</w:t>
      </w:r>
      <w:r>
        <w:rPr>
          <w:rFonts w:ascii="宋体" w:eastAsia="宋体" w:hAnsi="宋体" w:cs="微软雅黑" w:hint="eastAsia"/>
          <w:sz w:val="24"/>
          <w:szCs w:val="24"/>
        </w:rPr>
        <w:t>规定的会计师事务所审计</w:t>
      </w:r>
      <w:r>
        <w:rPr>
          <w:rFonts w:ascii="宋体" w:eastAsia="宋体" w:hAnsi="宋体" w:cs="Malgun Gothic Semilight"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生效不足两个月的</w:t>
      </w:r>
      <w:r>
        <w:rPr>
          <w:rFonts w:ascii="宋体" w:eastAsia="宋体" w:hAnsi="宋体" w:cs="Malgun Gothic Semilight" w:hint="eastAsia"/>
          <w:sz w:val="24"/>
          <w:szCs w:val="24"/>
        </w:rPr>
        <w:t>，</w:t>
      </w:r>
      <w:r>
        <w:rPr>
          <w:rFonts w:ascii="宋体" w:eastAsia="宋体" w:hAnsi="宋体" w:cs="微软雅黑" w:hint="eastAsia"/>
          <w:sz w:val="24"/>
          <w:szCs w:val="24"/>
        </w:rPr>
        <w:t>基金管理人可以不编制当期季度报告</w:t>
      </w:r>
      <w:r>
        <w:rPr>
          <w:rFonts w:ascii="宋体" w:eastAsia="宋体" w:hAnsi="宋体" w:cs="Malgun Gothic Semilight" w:hint="eastAsia"/>
          <w:sz w:val="24"/>
          <w:szCs w:val="24"/>
        </w:rPr>
        <w:t>、</w:t>
      </w:r>
      <w:r>
        <w:rPr>
          <w:rFonts w:ascii="宋体" w:eastAsia="宋体" w:hAnsi="宋体" w:cs="微软雅黑" w:hint="eastAsia"/>
          <w:sz w:val="24"/>
          <w:szCs w:val="24"/>
        </w:rPr>
        <w:t>中期报告或者年度报告</w:t>
      </w:r>
      <w:r>
        <w:rPr>
          <w:rFonts w:ascii="宋体" w:eastAsia="宋体" w:hAnsi="宋体" w:cs="Malgun Gothic Semilight" w:hint="eastAsia"/>
          <w:sz w:val="24"/>
          <w:szCs w:val="24"/>
        </w:rPr>
        <w:t>。</w:t>
      </w:r>
    </w:p>
    <w:p w14:paraId="5EA2DB8A"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微软雅黑" w:hint="eastAsia"/>
          <w:sz w:val="24"/>
          <w:szCs w:val="24"/>
        </w:rPr>
        <w:t>报表的复核</w:t>
      </w:r>
    </w:p>
    <w:p w14:paraId="28CD3279"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基金管理人应及时完成报表编制</w:t>
      </w:r>
      <w:r>
        <w:rPr>
          <w:rFonts w:ascii="宋体" w:eastAsia="宋体" w:hAnsi="宋体" w:cs="Malgun Gothic Semilight" w:hint="eastAsia"/>
          <w:sz w:val="24"/>
          <w:szCs w:val="24"/>
        </w:rPr>
        <w:t>，</w:t>
      </w:r>
      <w:r>
        <w:rPr>
          <w:rFonts w:ascii="宋体" w:eastAsia="宋体" w:hAnsi="宋体" w:cs="微软雅黑" w:hint="eastAsia"/>
          <w:sz w:val="24"/>
          <w:szCs w:val="24"/>
        </w:rPr>
        <w:t>将有关报表提供基金托管人复核</w:t>
      </w:r>
      <w:r>
        <w:rPr>
          <w:rFonts w:ascii="宋体" w:eastAsia="宋体" w:hAnsi="宋体" w:cs="Malgun Gothic Semilight" w:hint="eastAsia"/>
          <w:sz w:val="24"/>
          <w:szCs w:val="24"/>
        </w:rPr>
        <w:t>；</w:t>
      </w:r>
      <w:r>
        <w:rPr>
          <w:rFonts w:ascii="宋体" w:eastAsia="宋体" w:hAnsi="宋体" w:cs="微软雅黑" w:hint="eastAsia"/>
          <w:sz w:val="24"/>
          <w:szCs w:val="24"/>
        </w:rPr>
        <w:t>基金托管人在复核过程中</w:t>
      </w:r>
      <w:r>
        <w:rPr>
          <w:rFonts w:ascii="宋体" w:eastAsia="宋体" w:hAnsi="宋体" w:cs="Malgun Gothic Semilight" w:hint="eastAsia"/>
          <w:sz w:val="24"/>
          <w:szCs w:val="24"/>
        </w:rPr>
        <w:t>，</w:t>
      </w:r>
      <w:r>
        <w:rPr>
          <w:rFonts w:ascii="宋体" w:eastAsia="宋体" w:hAnsi="宋体" w:cs="微软雅黑" w:hint="eastAsia"/>
          <w:sz w:val="24"/>
          <w:szCs w:val="24"/>
        </w:rPr>
        <w:t>发现双方的报表存在不符时</w:t>
      </w:r>
      <w:r>
        <w:rPr>
          <w:rFonts w:ascii="宋体" w:eastAsia="宋体" w:hAnsi="宋体" w:cs="Malgun Gothic Semilight" w:hint="eastAsia"/>
          <w:sz w:val="24"/>
          <w:szCs w:val="24"/>
        </w:rPr>
        <w:t>，</w:t>
      </w:r>
      <w:r>
        <w:rPr>
          <w:rFonts w:ascii="宋体" w:eastAsia="宋体" w:hAnsi="宋体" w:cs="微软雅黑" w:hint="eastAsia"/>
          <w:sz w:val="24"/>
          <w:szCs w:val="24"/>
        </w:rPr>
        <w:t>基金管理人和基金托管人应共同查明原因</w:t>
      </w:r>
      <w:r>
        <w:rPr>
          <w:rFonts w:ascii="宋体" w:eastAsia="宋体" w:hAnsi="宋体" w:cs="Malgun Gothic Semilight" w:hint="eastAsia"/>
          <w:sz w:val="24"/>
          <w:szCs w:val="24"/>
        </w:rPr>
        <w:t>，</w:t>
      </w:r>
      <w:r>
        <w:rPr>
          <w:rFonts w:ascii="宋体" w:eastAsia="宋体" w:hAnsi="宋体" w:cs="微软雅黑" w:hint="eastAsia"/>
          <w:sz w:val="24"/>
          <w:szCs w:val="24"/>
        </w:rPr>
        <w:t>进行调整</w:t>
      </w:r>
      <w:r>
        <w:rPr>
          <w:rFonts w:ascii="宋体" w:eastAsia="宋体" w:hAnsi="宋体" w:cs="Malgun Gothic Semilight" w:hint="eastAsia"/>
          <w:sz w:val="24"/>
          <w:szCs w:val="24"/>
        </w:rPr>
        <w:t>，</w:t>
      </w:r>
      <w:r>
        <w:rPr>
          <w:rFonts w:ascii="宋体" w:eastAsia="宋体" w:hAnsi="宋体" w:cs="微软雅黑" w:hint="eastAsia"/>
          <w:sz w:val="24"/>
          <w:szCs w:val="24"/>
        </w:rPr>
        <w:t>调整以国家有关规定为准</w:t>
      </w:r>
      <w:r>
        <w:rPr>
          <w:rFonts w:ascii="宋体" w:eastAsia="宋体" w:hAnsi="宋体" w:cs="Malgun Gothic Semilight" w:hint="eastAsia"/>
          <w:sz w:val="24"/>
          <w:szCs w:val="24"/>
        </w:rPr>
        <w:t>。</w:t>
      </w:r>
    </w:p>
    <w:p w14:paraId="631610AA" w14:textId="77777777" w:rsidR="00F012EE" w:rsidRDefault="00477FBC">
      <w:pPr>
        <w:adjustRightInd w:val="0"/>
        <w:snapToGrid w:val="0"/>
        <w:spacing w:line="360" w:lineRule="auto"/>
        <w:ind w:firstLineChars="200" w:firstLine="480"/>
        <w:rPr>
          <w:rFonts w:ascii="宋体" w:eastAsia="宋体" w:hAnsi="宋体" w:cs="微软雅黑"/>
          <w:sz w:val="24"/>
          <w:szCs w:val="24"/>
        </w:rPr>
      </w:pPr>
      <w:r>
        <w:rPr>
          <w:rFonts w:ascii="宋体" w:eastAsia="宋体" w:hAnsi="宋体" w:cs="微软雅黑" w:hint="eastAsia"/>
          <w:sz w:val="24"/>
          <w:szCs w:val="24"/>
        </w:rPr>
        <w:t>基金管理人应留足充分的时间，便于基金托管人复核相关报表及报告。如果基金管理人与基金托管人不能</w:t>
      </w:r>
      <w:proofErr w:type="gramStart"/>
      <w:r>
        <w:rPr>
          <w:rFonts w:ascii="宋体" w:eastAsia="宋体" w:hAnsi="宋体" w:cs="微软雅黑" w:hint="eastAsia"/>
          <w:sz w:val="24"/>
          <w:szCs w:val="24"/>
        </w:rPr>
        <w:t>于应当</w:t>
      </w:r>
      <w:proofErr w:type="gramEnd"/>
      <w:r>
        <w:rPr>
          <w:rFonts w:ascii="宋体" w:eastAsia="宋体" w:hAnsi="宋体" w:cs="微软雅黑" w:hint="eastAsia"/>
          <w:sz w:val="24"/>
          <w:szCs w:val="24"/>
        </w:rPr>
        <w:t>发布公告之日之前就相关报表达成一致，基金管理人按照其编制的报表对外发布公告，基金托管人有权就相关情况报中国证监会备案。</w:t>
      </w:r>
    </w:p>
    <w:p w14:paraId="608A3940" w14:textId="77777777" w:rsidR="00F012EE" w:rsidRDefault="00477FBC">
      <w:pPr>
        <w:adjustRightInd w:val="0"/>
        <w:snapToGrid w:val="0"/>
        <w:spacing w:line="360" w:lineRule="auto"/>
        <w:ind w:firstLineChars="200" w:firstLine="480"/>
        <w:rPr>
          <w:rFonts w:ascii="宋体" w:hAnsi="宋体" w:cs="微软雅黑"/>
          <w:sz w:val="24"/>
        </w:rPr>
      </w:pPr>
      <w:r>
        <w:rPr>
          <w:rFonts w:ascii="宋体" w:eastAsia="宋体" w:hAnsi="宋体" w:cs="微软雅黑" w:hint="eastAsia"/>
          <w:sz w:val="24"/>
          <w:szCs w:val="24"/>
        </w:rPr>
        <w:t>（八）基金管理人应在编制季度报告、中期报告或者年度报告之前及时向基金托管人提供基金业绩比较基准的基础数据和编制结果。</w:t>
      </w:r>
    </w:p>
    <w:p w14:paraId="31C330E1" w14:textId="77777777" w:rsidR="00F012EE" w:rsidRDefault="00F012EE">
      <w:pPr>
        <w:adjustRightInd w:val="0"/>
        <w:snapToGrid w:val="0"/>
        <w:spacing w:line="360" w:lineRule="auto"/>
        <w:rPr>
          <w:rFonts w:ascii="宋体" w:eastAsia="宋体" w:hAnsi="宋体" w:cs="Arial"/>
          <w:sz w:val="24"/>
          <w:szCs w:val="24"/>
        </w:rPr>
      </w:pPr>
    </w:p>
    <w:p w14:paraId="2836FF68" w14:textId="77777777" w:rsidR="00F012EE" w:rsidRDefault="00477FBC">
      <w:pPr>
        <w:keepNext/>
        <w:keepLines/>
        <w:spacing w:before="260" w:after="260" w:line="360" w:lineRule="auto"/>
        <w:jc w:val="center"/>
        <w:outlineLvl w:val="1"/>
        <w:rPr>
          <w:rFonts w:ascii="宋体" w:eastAsia="宋体" w:hAnsi="宋体" w:cs="Times New Roman"/>
          <w:b/>
          <w:sz w:val="30"/>
          <w:szCs w:val="20"/>
        </w:rPr>
      </w:pPr>
      <w:bookmarkStart w:id="89" w:name="_Toc124325893"/>
      <w:r>
        <w:rPr>
          <w:rFonts w:ascii="宋体" w:eastAsia="宋体" w:hAnsi="宋体" w:cs="微软雅黑" w:hint="eastAsia"/>
          <w:b/>
          <w:sz w:val="30"/>
          <w:szCs w:val="20"/>
        </w:rPr>
        <w:t>九</w:t>
      </w:r>
      <w:r>
        <w:rPr>
          <w:rFonts w:ascii="宋体" w:eastAsia="宋体" w:hAnsi="宋体" w:cs="Malgun Gothic Semilight" w:hint="eastAsia"/>
          <w:b/>
          <w:sz w:val="30"/>
          <w:szCs w:val="20"/>
        </w:rPr>
        <w:t>、</w:t>
      </w:r>
      <w:r>
        <w:rPr>
          <w:rFonts w:ascii="宋体" w:eastAsia="宋体" w:hAnsi="宋体" w:cs="微软雅黑" w:hint="eastAsia"/>
          <w:b/>
          <w:sz w:val="30"/>
          <w:szCs w:val="20"/>
        </w:rPr>
        <w:t>基金收益分配</w:t>
      </w:r>
      <w:bookmarkEnd w:id="89"/>
    </w:p>
    <w:p w14:paraId="60F10030"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基金收益分配是指按规定将基金的可分配收益按基金份额进行比例分配</w:t>
      </w:r>
      <w:r>
        <w:rPr>
          <w:rFonts w:ascii="宋体" w:eastAsia="宋体" w:hAnsi="宋体" w:cs="Malgun Gothic Semilight" w:hint="eastAsia"/>
          <w:sz w:val="24"/>
          <w:szCs w:val="24"/>
        </w:rPr>
        <w:t>。</w:t>
      </w:r>
    </w:p>
    <w:p w14:paraId="18A10F40"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（一）基金收益分配的原则</w:t>
      </w:r>
    </w:p>
    <w:p w14:paraId="75D2CD9C"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基金收益分配应遵循下列原则</w:t>
      </w:r>
      <w:r>
        <w:rPr>
          <w:rFonts w:ascii="宋体" w:eastAsia="宋体" w:hAnsi="宋体" w:cs="Malgun Gothic Semilight" w:hint="eastAsia"/>
          <w:sz w:val="24"/>
          <w:szCs w:val="24"/>
        </w:rPr>
        <w:t>：</w:t>
      </w:r>
    </w:p>
    <w:p w14:paraId="3326BED4" w14:textId="77777777" w:rsidR="00F012EE" w:rsidRDefault="00477FBC">
      <w:pPr>
        <w:adjustRightInd w:val="0"/>
        <w:snapToGrid w:val="0"/>
        <w:spacing w:line="360" w:lineRule="auto"/>
        <w:ind w:firstLineChars="200" w:firstLine="480"/>
        <w:rPr>
          <w:rFonts w:ascii="宋体" w:eastAsia="宋体" w:hAnsi="宋体" w:cs="微软雅黑"/>
          <w:sz w:val="24"/>
          <w:szCs w:val="24"/>
        </w:rPr>
      </w:pPr>
      <w:r>
        <w:rPr>
          <w:rFonts w:ascii="宋体" w:eastAsia="宋体" w:hAnsi="宋体" w:cs="微软雅黑"/>
          <w:sz w:val="24"/>
          <w:szCs w:val="24"/>
        </w:rPr>
        <w:t>1、每份基金份额享有同等分配权；</w:t>
      </w:r>
    </w:p>
    <w:p w14:paraId="707386E1" w14:textId="77777777" w:rsidR="00F012EE" w:rsidRDefault="00477FBC">
      <w:pPr>
        <w:adjustRightInd w:val="0"/>
        <w:snapToGrid w:val="0"/>
        <w:spacing w:line="360" w:lineRule="auto"/>
        <w:ind w:firstLineChars="200" w:firstLine="480"/>
        <w:rPr>
          <w:rFonts w:ascii="宋体" w:eastAsia="宋体" w:hAnsi="宋体" w:cs="微软雅黑"/>
          <w:sz w:val="24"/>
          <w:szCs w:val="24"/>
        </w:rPr>
      </w:pPr>
      <w:r>
        <w:rPr>
          <w:rFonts w:ascii="宋体" w:eastAsia="宋体" w:hAnsi="宋体" w:cs="微软雅黑"/>
          <w:sz w:val="24"/>
          <w:szCs w:val="24"/>
        </w:rPr>
        <w:t>2、</w:t>
      </w:r>
      <w:proofErr w:type="gramStart"/>
      <w:r>
        <w:rPr>
          <w:rFonts w:ascii="宋体" w:eastAsia="宋体" w:hAnsi="宋体" w:cs="微软雅黑"/>
          <w:sz w:val="24"/>
          <w:szCs w:val="24"/>
        </w:rPr>
        <w:t>若基金</w:t>
      </w:r>
      <w:proofErr w:type="gramEnd"/>
      <w:r>
        <w:rPr>
          <w:rFonts w:ascii="宋体" w:eastAsia="宋体" w:hAnsi="宋体" w:cs="微软雅黑"/>
          <w:sz w:val="24"/>
          <w:szCs w:val="24"/>
        </w:rPr>
        <w:t>合同生效不满3个月可不进行收益分配；</w:t>
      </w:r>
    </w:p>
    <w:p w14:paraId="1B0A6AF7" w14:textId="77777777" w:rsidR="00F012EE" w:rsidRDefault="00477FBC">
      <w:pPr>
        <w:adjustRightInd w:val="0"/>
        <w:snapToGrid w:val="0"/>
        <w:spacing w:line="360" w:lineRule="auto"/>
        <w:ind w:firstLineChars="200" w:firstLine="480"/>
        <w:rPr>
          <w:rFonts w:ascii="宋体" w:eastAsia="宋体" w:hAnsi="宋体" w:cs="微软雅黑"/>
          <w:sz w:val="24"/>
          <w:szCs w:val="24"/>
        </w:rPr>
      </w:pPr>
      <w:r>
        <w:rPr>
          <w:rFonts w:ascii="宋体" w:eastAsia="宋体" w:hAnsi="宋体" w:cs="微软雅黑"/>
          <w:sz w:val="24"/>
          <w:szCs w:val="24"/>
        </w:rPr>
        <w:t>3、基于本基金的性质和特点，本基金收益分配不须以弥补亏损为前提，收益分配后有可能使基金份额净值低于面值，基金收益分配基准日（即收益评价日）的基金份额净值减去每单位基金份额收益分配金额后可能低于面值；</w:t>
      </w:r>
    </w:p>
    <w:p w14:paraId="79B637B4" w14:textId="77777777" w:rsidR="00F012EE" w:rsidRDefault="00477FBC">
      <w:pPr>
        <w:adjustRightInd w:val="0"/>
        <w:snapToGrid w:val="0"/>
        <w:spacing w:line="360" w:lineRule="auto"/>
        <w:ind w:firstLineChars="200" w:firstLine="480"/>
        <w:rPr>
          <w:rFonts w:ascii="宋体" w:eastAsia="宋体" w:hAnsi="宋体" w:cs="微软雅黑"/>
          <w:sz w:val="24"/>
          <w:szCs w:val="24"/>
        </w:rPr>
      </w:pPr>
      <w:r>
        <w:rPr>
          <w:rFonts w:ascii="宋体" w:eastAsia="宋体" w:hAnsi="宋体" w:cs="微软雅黑"/>
          <w:sz w:val="24"/>
          <w:szCs w:val="24"/>
        </w:rPr>
        <w:t>4、本基金收益分配采取现金方式；</w:t>
      </w:r>
    </w:p>
    <w:p w14:paraId="5E83FA83" w14:textId="77777777" w:rsidR="00F012EE" w:rsidRDefault="00477FBC">
      <w:pPr>
        <w:adjustRightInd w:val="0"/>
        <w:snapToGrid w:val="0"/>
        <w:spacing w:line="360" w:lineRule="auto"/>
        <w:ind w:firstLineChars="200" w:firstLine="480"/>
        <w:rPr>
          <w:rFonts w:ascii="宋体" w:eastAsia="宋体" w:hAnsi="宋体" w:cs="微软雅黑"/>
          <w:sz w:val="24"/>
          <w:szCs w:val="24"/>
        </w:rPr>
      </w:pPr>
      <w:r>
        <w:rPr>
          <w:rFonts w:ascii="宋体" w:eastAsia="宋体" w:hAnsi="宋体" w:cs="微软雅黑"/>
          <w:sz w:val="24"/>
          <w:szCs w:val="24"/>
        </w:rPr>
        <w:t>5、在符合以下基金分红条件的情形下，基金管理人有权根据实际情况决定是否进行分红，具体分配方案以届时的公告为准：</w:t>
      </w:r>
    </w:p>
    <w:p w14:paraId="082E52D4" w14:textId="77777777" w:rsidR="00F012EE" w:rsidRDefault="00477FBC">
      <w:pPr>
        <w:adjustRightInd w:val="0"/>
        <w:snapToGrid w:val="0"/>
        <w:spacing w:line="360" w:lineRule="auto"/>
        <w:ind w:firstLineChars="200" w:firstLine="480"/>
        <w:rPr>
          <w:rFonts w:ascii="宋体" w:eastAsia="宋体" w:hAnsi="宋体" w:cs="微软雅黑"/>
          <w:sz w:val="24"/>
          <w:szCs w:val="24"/>
        </w:rPr>
      </w:pPr>
      <w:r>
        <w:rPr>
          <w:rFonts w:ascii="宋体" w:eastAsia="宋体" w:hAnsi="宋体" w:cs="微软雅黑" w:hint="eastAsia"/>
          <w:sz w:val="24"/>
          <w:szCs w:val="24"/>
        </w:rPr>
        <w:t>每季度最后一个交易日对本基金相对标的指数的超额收益率进行评价，计算基金累计报酬率、标的指数同期累计报酬率和超额收益率；当超额收益率大于</w:t>
      </w:r>
      <w:r>
        <w:rPr>
          <w:rFonts w:ascii="宋体" w:eastAsia="宋体" w:hAnsi="宋体" w:cs="微软雅黑"/>
          <w:sz w:val="24"/>
          <w:szCs w:val="24"/>
        </w:rPr>
        <w:t>0时，本基金可进行收益分配；</w:t>
      </w:r>
    </w:p>
    <w:p w14:paraId="742C3D52" w14:textId="77777777" w:rsidR="00F012EE" w:rsidRDefault="00477FBC">
      <w:pPr>
        <w:adjustRightInd w:val="0"/>
        <w:snapToGrid w:val="0"/>
        <w:spacing w:line="360" w:lineRule="auto"/>
        <w:ind w:firstLineChars="200" w:firstLine="480"/>
        <w:rPr>
          <w:rFonts w:ascii="宋体" w:eastAsia="宋体" w:hAnsi="宋体" w:cs="微软雅黑"/>
          <w:sz w:val="24"/>
          <w:szCs w:val="24"/>
        </w:rPr>
      </w:pPr>
      <w:r>
        <w:rPr>
          <w:rFonts w:ascii="宋体" w:eastAsia="宋体" w:hAnsi="宋体" w:cs="微软雅黑"/>
          <w:sz w:val="24"/>
          <w:szCs w:val="24"/>
        </w:rPr>
        <w:t>6、法律法规或监管机关另有规定的，从其规定。</w:t>
      </w:r>
    </w:p>
    <w:p w14:paraId="6039565E" w14:textId="77777777" w:rsidR="00F012EE" w:rsidRDefault="00477FBC">
      <w:pPr>
        <w:adjustRightInd w:val="0"/>
        <w:snapToGrid w:val="0"/>
        <w:spacing w:line="360" w:lineRule="auto"/>
        <w:ind w:firstLineChars="200" w:firstLine="480"/>
        <w:rPr>
          <w:rFonts w:ascii="宋体" w:eastAsia="宋体" w:hAnsi="宋体" w:cs="微软雅黑"/>
          <w:sz w:val="24"/>
          <w:szCs w:val="24"/>
        </w:rPr>
      </w:pPr>
      <w:r>
        <w:rPr>
          <w:rFonts w:ascii="宋体" w:eastAsia="宋体" w:hAnsi="宋体" w:cs="微软雅黑" w:hint="eastAsia"/>
          <w:sz w:val="24"/>
          <w:szCs w:val="24"/>
        </w:rPr>
        <w:t>在对基金份额持有人利益无实质不利影响的前提下，基金管理人在与基金托管人协商一致并履行适当程序后可对基金收益分配原则和支付方式进行调整，但应于变更实施日前按照《信息披露办法》的要求在规定媒介公告。</w:t>
      </w:r>
    </w:p>
    <w:p w14:paraId="12B33D6D"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（二）基金收益分配的时间和程序</w:t>
      </w:r>
    </w:p>
    <w:p w14:paraId="014839F2" w14:textId="77777777" w:rsidR="00F012EE" w:rsidRDefault="00477FBC">
      <w:pPr>
        <w:adjustRightInd w:val="0"/>
        <w:snapToGrid w:val="0"/>
        <w:spacing w:line="360" w:lineRule="auto"/>
        <w:ind w:firstLineChars="200" w:firstLine="480"/>
        <w:rPr>
          <w:rFonts w:ascii="宋体" w:eastAsia="宋体" w:hAnsi="宋体" w:cs="微软雅黑"/>
          <w:sz w:val="24"/>
          <w:szCs w:val="24"/>
        </w:rPr>
      </w:pPr>
      <w:r>
        <w:rPr>
          <w:rFonts w:ascii="宋体" w:eastAsia="宋体" w:hAnsi="宋体" w:cs="微软雅黑" w:hint="eastAsia"/>
          <w:sz w:val="24"/>
          <w:szCs w:val="24"/>
        </w:rPr>
        <w:t>本基金收益分配方案由基金管理人拟定，并由基金托管人复核，基金管理人依照《信息披露办法》的有关规定在规定媒介公告。</w:t>
      </w:r>
    </w:p>
    <w:p w14:paraId="4AE3A6FF" w14:textId="77777777" w:rsidR="00F012EE" w:rsidRDefault="00477FBC">
      <w:pPr>
        <w:adjustRightInd w:val="0"/>
        <w:snapToGrid w:val="0"/>
        <w:spacing w:line="360" w:lineRule="auto"/>
        <w:ind w:firstLineChars="200" w:firstLine="480"/>
        <w:rPr>
          <w:rFonts w:ascii="宋体" w:eastAsia="宋体" w:hAnsi="宋体" w:cs="微软雅黑"/>
          <w:sz w:val="24"/>
          <w:szCs w:val="24"/>
        </w:rPr>
      </w:pPr>
      <w:r>
        <w:rPr>
          <w:rFonts w:ascii="宋体" w:eastAsia="宋体" w:hAnsi="宋体" w:cs="微软雅黑" w:hint="eastAsia"/>
          <w:sz w:val="24"/>
          <w:szCs w:val="24"/>
        </w:rPr>
        <w:t>收益分配时发生的银行转账等手续费用由基金份额持有人自行承担。</w:t>
      </w:r>
    </w:p>
    <w:p w14:paraId="1A8A5351" w14:textId="77777777" w:rsidR="00F012EE" w:rsidRDefault="00F012EE">
      <w:pPr>
        <w:adjustRightInd w:val="0"/>
        <w:snapToGrid w:val="0"/>
        <w:spacing w:line="360" w:lineRule="auto"/>
        <w:ind w:firstLineChars="200" w:firstLine="480"/>
        <w:rPr>
          <w:rFonts w:ascii="宋体" w:eastAsia="宋体" w:hAnsi="宋体" w:cs="微软雅黑"/>
          <w:sz w:val="24"/>
          <w:szCs w:val="24"/>
        </w:rPr>
      </w:pPr>
    </w:p>
    <w:p w14:paraId="47AAFEBA" w14:textId="77777777" w:rsidR="00F012EE" w:rsidRDefault="00477FBC">
      <w:pPr>
        <w:keepNext/>
        <w:keepLines/>
        <w:spacing w:before="260" w:after="260" w:line="360" w:lineRule="auto"/>
        <w:jc w:val="center"/>
        <w:outlineLvl w:val="1"/>
        <w:rPr>
          <w:rFonts w:ascii="宋体" w:eastAsia="宋体" w:hAnsi="宋体" w:cs="Times New Roman"/>
          <w:b/>
          <w:sz w:val="30"/>
          <w:szCs w:val="20"/>
        </w:rPr>
      </w:pPr>
      <w:bookmarkStart w:id="90" w:name="_Toc124325894"/>
      <w:r>
        <w:rPr>
          <w:rFonts w:ascii="宋体" w:eastAsia="宋体" w:hAnsi="宋体" w:cs="微软雅黑" w:hint="eastAsia"/>
          <w:b/>
          <w:sz w:val="30"/>
          <w:szCs w:val="20"/>
        </w:rPr>
        <w:t>十</w:t>
      </w:r>
      <w:r>
        <w:rPr>
          <w:rFonts w:ascii="宋体" w:eastAsia="宋体" w:hAnsi="宋体" w:cs="Malgun Gothic Semilight" w:hint="eastAsia"/>
          <w:b/>
          <w:sz w:val="30"/>
          <w:szCs w:val="20"/>
        </w:rPr>
        <w:t>、</w:t>
      </w:r>
      <w:r>
        <w:rPr>
          <w:rFonts w:ascii="宋体" w:eastAsia="宋体" w:hAnsi="宋体" w:cs="微软雅黑" w:hint="eastAsia"/>
          <w:b/>
          <w:sz w:val="30"/>
          <w:szCs w:val="20"/>
        </w:rPr>
        <w:t>基金信息披露</w:t>
      </w:r>
      <w:bookmarkEnd w:id="90"/>
    </w:p>
    <w:p w14:paraId="05FAF72C"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（一）保密义务</w:t>
      </w:r>
    </w:p>
    <w:p w14:paraId="07E8FF0C"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lastRenderedPageBreak/>
        <w:t>基金托管人和基金管理人应按法律法规</w:t>
      </w:r>
      <w:r>
        <w:rPr>
          <w:rFonts w:ascii="宋体" w:eastAsia="宋体" w:hAnsi="宋体" w:cs="Malgun Gothic Semilight"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的有关规定进行信息披露</w:t>
      </w:r>
      <w:r>
        <w:rPr>
          <w:rFonts w:ascii="宋体" w:eastAsia="宋体" w:hAnsi="宋体" w:cs="Malgun Gothic Semilight" w:hint="eastAsia"/>
          <w:sz w:val="24"/>
          <w:szCs w:val="24"/>
        </w:rPr>
        <w:t>，</w:t>
      </w:r>
      <w:r>
        <w:rPr>
          <w:rFonts w:ascii="宋体" w:eastAsia="宋体" w:hAnsi="宋体" w:cs="微软雅黑" w:hint="eastAsia"/>
          <w:sz w:val="24"/>
          <w:szCs w:val="24"/>
        </w:rPr>
        <w:t>拟公开披露的信息在公开披露之前应予保密</w:t>
      </w:r>
      <w:r>
        <w:rPr>
          <w:rFonts w:ascii="宋体" w:eastAsia="宋体" w:hAnsi="宋体" w:cs="Malgun Gothic Semilight" w:hint="eastAsia"/>
          <w:sz w:val="24"/>
          <w:szCs w:val="24"/>
        </w:rPr>
        <w:t>。</w:t>
      </w:r>
      <w:r>
        <w:rPr>
          <w:rFonts w:ascii="宋体" w:eastAsia="宋体" w:hAnsi="宋体" w:cs="微软雅黑" w:hint="eastAsia"/>
          <w:sz w:val="24"/>
          <w:szCs w:val="24"/>
        </w:rPr>
        <w:t>除按</w:t>
      </w:r>
      <w:r>
        <w:rPr>
          <w:rFonts w:ascii="宋体" w:eastAsia="宋体" w:hAnsi="宋体" w:cs="Malgun Gothic Semilight" w:hint="eastAsia"/>
          <w:sz w:val="24"/>
          <w:szCs w:val="24"/>
        </w:rPr>
        <w:t>《</w:t>
      </w:r>
      <w:r>
        <w:rPr>
          <w:rFonts w:ascii="宋体" w:eastAsia="宋体" w:hAnsi="宋体" w:cs="微软雅黑" w:hint="eastAsia"/>
          <w:sz w:val="24"/>
          <w:szCs w:val="24"/>
        </w:rPr>
        <w:t>基金法</w:t>
      </w:r>
      <w:r>
        <w:rPr>
          <w:rFonts w:ascii="宋体" w:eastAsia="宋体" w:hAnsi="宋体" w:cs="Malgun Gothic Semilight"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》、《信息披露办法》、</w:t>
      </w:r>
      <w:r>
        <w:rPr>
          <w:rFonts w:ascii="宋体" w:eastAsia="宋体" w:hAnsi="宋体" w:cs="微软雅黑" w:hint="eastAsia"/>
          <w:sz w:val="24"/>
          <w:szCs w:val="24"/>
        </w:rPr>
        <w:t>《流动性风险管理规定》及其他有关规定进行信息披露外</w:t>
      </w:r>
      <w:r>
        <w:rPr>
          <w:rFonts w:ascii="宋体" w:eastAsia="宋体" w:hAnsi="宋体" w:cs="Malgun Gothic Semilight" w:hint="eastAsia"/>
          <w:sz w:val="24"/>
          <w:szCs w:val="24"/>
        </w:rPr>
        <w:t>，</w:t>
      </w:r>
      <w:r>
        <w:rPr>
          <w:rFonts w:ascii="宋体" w:eastAsia="宋体" w:hAnsi="宋体" w:cs="微软雅黑" w:hint="eastAsia"/>
          <w:sz w:val="24"/>
          <w:szCs w:val="24"/>
        </w:rPr>
        <w:t>基金管理人和基金托管人对基金运作中产生的信息以及从对方获得的业务信息应予保密</w:t>
      </w:r>
      <w:r>
        <w:rPr>
          <w:rFonts w:ascii="宋体" w:eastAsia="宋体" w:hAnsi="宋体" w:cs="Malgun Gothic Semilight" w:hint="eastAsia"/>
          <w:sz w:val="24"/>
          <w:szCs w:val="24"/>
        </w:rPr>
        <w:t>。</w:t>
      </w:r>
      <w:r>
        <w:rPr>
          <w:rFonts w:ascii="宋体" w:eastAsia="宋体" w:hAnsi="宋体" w:cs="微软雅黑" w:hint="eastAsia"/>
          <w:sz w:val="24"/>
          <w:szCs w:val="24"/>
        </w:rPr>
        <w:t>但是</w:t>
      </w:r>
      <w:r>
        <w:rPr>
          <w:rFonts w:ascii="宋体" w:eastAsia="宋体" w:hAnsi="宋体" w:cs="Malgun Gothic Semilight" w:hint="eastAsia"/>
          <w:sz w:val="24"/>
          <w:szCs w:val="24"/>
        </w:rPr>
        <w:t>，</w:t>
      </w:r>
      <w:r>
        <w:rPr>
          <w:rFonts w:ascii="宋体" w:eastAsia="宋体" w:hAnsi="宋体" w:cs="微软雅黑" w:hint="eastAsia"/>
          <w:sz w:val="24"/>
          <w:szCs w:val="24"/>
        </w:rPr>
        <w:t>如下情况不应视为基金管理人或基金托管人违反保密义务</w:t>
      </w:r>
      <w:r>
        <w:rPr>
          <w:rFonts w:ascii="宋体" w:eastAsia="宋体" w:hAnsi="宋体" w:cs="Malgun Gothic Semilight" w:hint="eastAsia"/>
          <w:sz w:val="24"/>
          <w:szCs w:val="24"/>
        </w:rPr>
        <w:t>：</w:t>
      </w:r>
    </w:p>
    <w:p w14:paraId="108D1B58"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w:t>
      </w:r>
      <w:r>
        <w:rPr>
          <w:rFonts w:ascii="宋体" w:eastAsia="宋体" w:hAnsi="宋体" w:cs="微软雅黑" w:hint="eastAsia"/>
          <w:sz w:val="24"/>
          <w:szCs w:val="24"/>
        </w:rPr>
        <w:t>非因基金管理人和基金托管人的原因导致保密信息被披露</w:t>
      </w:r>
      <w:r>
        <w:rPr>
          <w:rFonts w:ascii="宋体" w:eastAsia="宋体" w:hAnsi="宋体" w:cs="Malgun Gothic Semilight" w:hint="eastAsia"/>
          <w:sz w:val="24"/>
          <w:szCs w:val="24"/>
        </w:rPr>
        <w:t>、</w:t>
      </w:r>
      <w:r>
        <w:rPr>
          <w:rFonts w:ascii="宋体" w:eastAsia="宋体" w:hAnsi="宋体" w:cs="微软雅黑" w:hint="eastAsia"/>
          <w:sz w:val="24"/>
          <w:szCs w:val="24"/>
        </w:rPr>
        <w:t>泄露或公开</w:t>
      </w:r>
      <w:r>
        <w:rPr>
          <w:rFonts w:ascii="宋体" w:eastAsia="宋体" w:hAnsi="宋体" w:cs="Malgun Gothic Semilight" w:hint="eastAsia"/>
          <w:sz w:val="24"/>
          <w:szCs w:val="24"/>
        </w:rPr>
        <w:t>；</w:t>
      </w:r>
    </w:p>
    <w:p w14:paraId="105ECA5A"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微软雅黑" w:hint="eastAsia"/>
          <w:sz w:val="24"/>
          <w:szCs w:val="24"/>
        </w:rPr>
        <w:t>基金管理人和基金托管人为遵守和服从法院判决或裁定</w:t>
      </w:r>
      <w:r>
        <w:rPr>
          <w:rFonts w:ascii="宋体" w:eastAsia="宋体" w:hAnsi="宋体" w:cs="Malgun Gothic Semilight" w:hint="eastAsia"/>
          <w:sz w:val="24"/>
          <w:szCs w:val="24"/>
        </w:rPr>
        <w:t>、</w:t>
      </w:r>
      <w:r>
        <w:rPr>
          <w:rFonts w:ascii="宋体" w:eastAsia="宋体" w:hAnsi="宋体" w:cs="微软雅黑" w:hint="eastAsia"/>
          <w:sz w:val="24"/>
          <w:szCs w:val="24"/>
        </w:rPr>
        <w:t>仲裁裁决或中国证监会等监管机构的命令</w:t>
      </w:r>
      <w:r>
        <w:rPr>
          <w:rFonts w:ascii="宋体" w:eastAsia="宋体" w:hAnsi="宋体" w:cs="Malgun Gothic Semilight" w:hint="eastAsia"/>
          <w:sz w:val="24"/>
          <w:szCs w:val="24"/>
        </w:rPr>
        <w:t>、</w:t>
      </w:r>
      <w:r>
        <w:rPr>
          <w:rFonts w:ascii="宋体" w:eastAsia="宋体" w:hAnsi="宋体" w:cs="微软雅黑" w:hint="eastAsia"/>
          <w:sz w:val="24"/>
          <w:szCs w:val="24"/>
        </w:rPr>
        <w:t>决定所做出的信息披露或公开</w:t>
      </w:r>
      <w:r>
        <w:rPr>
          <w:rFonts w:ascii="宋体" w:eastAsia="宋体" w:hAnsi="宋体" w:cs="Malgun Gothic Semilight" w:hint="eastAsia"/>
          <w:sz w:val="24"/>
          <w:szCs w:val="24"/>
        </w:rPr>
        <w:t>；</w:t>
      </w:r>
    </w:p>
    <w:p w14:paraId="1F8587D5" w14:textId="77777777" w:rsidR="00F012EE" w:rsidRDefault="00477FBC">
      <w:pPr>
        <w:adjustRightInd w:val="0"/>
        <w:snapToGrid w:val="0"/>
        <w:spacing w:line="360" w:lineRule="auto"/>
        <w:ind w:firstLineChars="200" w:firstLine="480"/>
        <w:rPr>
          <w:rFonts w:ascii="宋体" w:eastAsia="宋体" w:hAnsi="宋体" w:cs="Arial"/>
          <w:sz w:val="24"/>
          <w:szCs w:val="24"/>
          <w:lang w:val="zh-CN"/>
        </w:rPr>
      </w:pPr>
      <w:r>
        <w:rPr>
          <w:rFonts w:ascii="宋体" w:eastAsia="宋体" w:hAnsi="宋体" w:cs="Arial" w:hint="eastAsia"/>
          <w:sz w:val="24"/>
          <w:szCs w:val="24"/>
        </w:rPr>
        <w:t>3</w:t>
      </w:r>
      <w:r>
        <w:rPr>
          <w:rFonts w:ascii="宋体" w:eastAsia="宋体" w:hAnsi="宋体" w:cs="Arial"/>
          <w:sz w:val="24"/>
          <w:szCs w:val="24"/>
        </w:rPr>
        <w:t>.</w:t>
      </w:r>
      <w:r>
        <w:rPr>
          <w:rFonts w:ascii="宋体" w:eastAsia="宋体" w:hAnsi="宋体" w:cs="微软雅黑" w:hint="eastAsia"/>
          <w:sz w:val="24"/>
          <w:szCs w:val="24"/>
        </w:rPr>
        <w:t>向审计</w:t>
      </w:r>
      <w:r>
        <w:rPr>
          <w:rFonts w:ascii="宋体" w:eastAsia="宋体" w:hAnsi="宋体" w:cs="Malgun Gothic Semilight" w:hint="eastAsia"/>
          <w:sz w:val="24"/>
          <w:szCs w:val="24"/>
        </w:rPr>
        <w:t>、</w:t>
      </w:r>
      <w:r>
        <w:rPr>
          <w:rFonts w:ascii="宋体" w:eastAsia="宋体" w:hAnsi="宋体" w:cs="微软雅黑" w:hint="eastAsia"/>
          <w:sz w:val="24"/>
          <w:szCs w:val="24"/>
        </w:rPr>
        <w:t>法律等专业服务向外部专业顾问提供信息</w:t>
      </w:r>
      <w:r>
        <w:rPr>
          <w:rFonts w:ascii="宋体" w:eastAsia="宋体" w:hAnsi="宋体" w:cs="Malgun Gothic Semilight" w:hint="eastAsia"/>
          <w:sz w:val="24"/>
          <w:szCs w:val="24"/>
        </w:rPr>
        <w:t>。</w:t>
      </w:r>
    </w:p>
    <w:p w14:paraId="60B8C580"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（二）信息披露的内容</w:t>
      </w:r>
    </w:p>
    <w:p w14:paraId="2B7DB883"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基金的信息披露内容主要包括基金招募说明书、《基金合同》、基金托管协议、基金产品资料概要、基金份额发售公告、《基金合同》生效公告、基金净值信息、申购赎回清单、基金份额上市交易公告书、基金份额申购、赎回对价、基金份额折算日公告、基金份额折算结果公告、基金定期报告（包括基金年度报告、基金中期报告和基金季度报告）、临时报告、澄清公告、基金份额持有人大会决议、清算报告、中国证监会规定应予公开披露的其他信息。基金年度报告中的财务会计报告需</w:t>
      </w:r>
      <w:proofErr w:type="gramStart"/>
      <w:r>
        <w:rPr>
          <w:rFonts w:ascii="宋体" w:eastAsia="宋体" w:hAnsi="宋体" w:cs="Arial" w:hint="eastAsia"/>
          <w:sz w:val="24"/>
          <w:szCs w:val="24"/>
        </w:rPr>
        <w:t>经符合</w:t>
      </w:r>
      <w:proofErr w:type="gramEnd"/>
      <w:r>
        <w:rPr>
          <w:rFonts w:ascii="宋体" w:eastAsia="宋体" w:hAnsi="宋体" w:cs="Arial" w:hint="eastAsia"/>
          <w:sz w:val="24"/>
          <w:szCs w:val="24"/>
        </w:rPr>
        <w:t>《证券法》规定的会计师事务所审计后，方可披露。</w:t>
      </w:r>
    </w:p>
    <w:p w14:paraId="111C3A7B" w14:textId="77777777" w:rsidR="00F012EE" w:rsidRDefault="00477FBC">
      <w:pPr>
        <w:adjustRightInd w:val="0"/>
        <w:snapToGrid w:val="0"/>
        <w:spacing w:line="360" w:lineRule="auto"/>
        <w:ind w:firstLineChars="200" w:firstLine="480"/>
        <w:rPr>
          <w:rFonts w:ascii="宋体" w:eastAsia="宋体" w:hAnsi="宋体" w:cs="Arial"/>
          <w:sz w:val="24"/>
          <w:szCs w:val="24"/>
        </w:rPr>
      </w:pPr>
      <w:bookmarkStart w:id="91" w:name="OLE_LINK13"/>
      <w:r>
        <w:rPr>
          <w:rFonts w:ascii="宋体" w:eastAsia="宋体" w:hAnsi="宋体" w:cs="Arial" w:hint="eastAsia"/>
          <w:sz w:val="24"/>
          <w:szCs w:val="24"/>
        </w:rPr>
        <w:t>若本基金投资股指期货、国债期货、股票期权、资产支持证券，参与融资及转融通证券出借业务，基金管理人将按相关法律法规要求进行披露。</w:t>
      </w:r>
    </w:p>
    <w:p w14:paraId="02FC3FB4" w14:textId="77777777" w:rsidR="00F012EE" w:rsidRDefault="00477FBC">
      <w:pPr>
        <w:adjustRightInd w:val="0"/>
        <w:snapToGrid w:val="0"/>
        <w:spacing w:line="360" w:lineRule="auto"/>
        <w:ind w:firstLineChars="200" w:firstLine="480"/>
        <w:rPr>
          <w:rFonts w:ascii="宋体" w:eastAsia="宋体" w:hAnsi="宋体" w:cs="Arial"/>
          <w:sz w:val="24"/>
          <w:szCs w:val="24"/>
        </w:rPr>
      </w:pPr>
      <w:proofErr w:type="gramStart"/>
      <w:r>
        <w:rPr>
          <w:rFonts w:ascii="宋体" w:eastAsia="宋体" w:hAnsi="宋体" w:cs="Arial" w:hint="eastAsia"/>
          <w:sz w:val="24"/>
          <w:szCs w:val="24"/>
        </w:rPr>
        <w:t>当相关</w:t>
      </w:r>
      <w:proofErr w:type="gramEnd"/>
      <w:r>
        <w:rPr>
          <w:rFonts w:ascii="宋体" w:eastAsia="宋体" w:hAnsi="宋体" w:cs="Arial" w:hint="eastAsia"/>
          <w:sz w:val="24"/>
          <w:szCs w:val="24"/>
        </w:rPr>
        <w:t>法律法规关于上述信息披露的规定发生变化时，基金管理人将按最新规定进行信息披露。</w:t>
      </w:r>
    </w:p>
    <w:bookmarkEnd w:id="91"/>
    <w:p w14:paraId="222486A7"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（三）基金托管人和基金管理人在信息披露中的职责和信息披露程序</w:t>
      </w:r>
    </w:p>
    <w:p w14:paraId="6E4E793A"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w:t>
      </w:r>
      <w:r>
        <w:rPr>
          <w:rFonts w:ascii="宋体" w:eastAsia="宋体" w:hAnsi="宋体" w:cs="微软雅黑" w:hint="eastAsia"/>
          <w:sz w:val="24"/>
          <w:szCs w:val="24"/>
        </w:rPr>
        <w:t>职责</w:t>
      </w:r>
    </w:p>
    <w:p w14:paraId="538D9EA1" w14:textId="74F0E64F" w:rsidR="00F012EE" w:rsidRDefault="00477FBC">
      <w:pPr>
        <w:adjustRightInd w:val="0"/>
        <w:snapToGrid w:val="0"/>
        <w:spacing w:line="360" w:lineRule="auto"/>
        <w:ind w:firstLineChars="200" w:firstLine="480"/>
        <w:rPr>
          <w:rFonts w:ascii="宋体" w:eastAsia="宋体" w:hAnsi="宋体" w:cs="Malgun Gothic Semilight"/>
          <w:sz w:val="24"/>
          <w:szCs w:val="24"/>
        </w:rPr>
      </w:pPr>
      <w:r>
        <w:rPr>
          <w:rFonts w:ascii="宋体" w:eastAsia="宋体" w:hAnsi="宋体" w:cs="微软雅黑" w:hint="eastAsia"/>
          <w:sz w:val="24"/>
          <w:szCs w:val="24"/>
        </w:rPr>
        <w:t>基金托管人和基金管理人在信息披露过程中应以保护基金份额持有人利益为宗旨</w:t>
      </w:r>
      <w:r>
        <w:rPr>
          <w:rFonts w:ascii="宋体" w:eastAsia="宋体" w:hAnsi="宋体" w:cs="Malgun Gothic Semilight" w:hint="eastAsia"/>
          <w:sz w:val="24"/>
          <w:szCs w:val="24"/>
        </w:rPr>
        <w:t>，</w:t>
      </w:r>
      <w:r>
        <w:rPr>
          <w:rFonts w:ascii="宋体" w:eastAsia="宋体" w:hAnsi="宋体" w:cs="微软雅黑" w:hint="eastAsia"/>
          <w:sz w:val="24"/>
          <w:szCs w:val="24"/>
        </w:rPr>
        <w:t>诚实信用</w:t>
      </w:r>
      <w:r>
        <w:rPr>
          <w:rFonts w:ascii="宋体" w:eastAsia="宋体" w:hAnsi="宋体" w:cs="Malgun Gothic Semilight" w:hint="eastAsia"/>
          <w:sz w:val="24"/>
          <w:szCs w:val="24"/>
        </w:rPr>
        <w:t>，</w:t>
      </w:r>
      <w:r>
        <w:rPr>
          <w:rFonts w:ascii="宋体" w:eastAsia="宋体" w:hAnsi="宋体" w:cs="微软雅黑" w:hint="eastAsia"/>
          <w:sz w:val="24"/>
          <w:szCs w:val="24"/>
        </w:rPr>
        <w:t>严守秘密</w:t>
      </w:r>
      <w:r>
        <w:rPr>
          <w:rFonts w:ascii="宋体" w:eastAsia="宋体" w:hAnsi="宋体" w:cs="Malgun Gothic Semilight" w:hint="eastAsia"/>
          <w:sz w:val="24"/>
          <w:szCs w:val="24"/>
        </w:rPr>
        <w:t>。</w:t>
      </w:r>
      <w:r>
        <w:rPr>
          <w:rFonts w:ascii="宋体" w:eastAsia="宋体" w:hAnsi="宋体" w:cs="微软雅黑" w:hint="eastAsia"/>
          <w:sz w:val="24"/>
          <w:szCs w:val="24"/>
        </w:rPr>
        <w:t>基金管理人负责办理与基金有关的信息披露事宜</w:t>
      </w:r>
      <w:r>
        <w:rPr>
          <w:rFonts w:ascii="宋体" w:eastAsia="宋体" w:hAnsi="宋体" w:cs="Malgun Gothic Semilight" w:hint="eastAsia"/>
          <w:sz w:val="24"/>
          <w:szCs w:val="24"/>
        </w:rPr>
        <w:t>，</w:t>
      </w:r>
      <w:r>
        <w:rPr>
          <w:rFonts w:ascii="宋体" w:eastAsia="宋体" w:hAnsi="宋体" w:cs="微软雅黑" w:hint="eastAsia"/>
          <w:sz w:val="24"/>
          <w:szCs w:val="24"/>
        </w:rPr>
        <w:t>基金托管人应当按照相关法律法规和</w:t>
      </w:r>
      <w:r>
        <w:rPr>
          <w:rFonts w:ascii="宋体" w:eastAsia="宋体" w:hAnsi="宋体" w:cs="Malgun Gothic Semilight"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的约定</w:t>
      </w:r>
      <w:r>
        <w:rPr>
          <w:rFonts w:ascii="宋体" w:eastAsia="宋体" w:hAnsi="宋体" w:cs="Malgun Gothic Semilight" w:hint="eastAsia"/>
          <w:sz w:val="24"/>
          <w:szCs w:val="24"/>
        </w:rPr>
        <w:t>，</w:t>
      </w:r>
      <w:r>
        <w:rPr>
          <w:rFonts w:ascii="宋体" w:eastAsia="宋体" w:hAnsi="宋体" w:cs="微软雅黑" w:hint="eastAsia"/>
          <w:sz w:val="24"/>
          <w:szCs w:val="24"/>
        </w:rPr>
        <w:t>对于上一款规定的应由基金托管人复核的事项进行复核</w:t>
      </w:r>
      <w:r>
        <w:rPr>
          <w:rFonts w:ascii="宋体" w:eastAsia="宋体" w:hAnsi="宋体" w:cs="Malgun Gothic Semilight" w:hint="eastAsia"/>
          <w:sz w:val="24"/>
          <w:szCs w:val="24"/>
        </w:rPr>
        <w:t>，</w:t>
      </w:r>
      <w:r>
        <w:rPr>
          <w:rFonts w:ascii="宋体" w:eastAsia="宋体" w:hAnsi="宋体" w:cs="微软雅黑" w:hint="eastAsia"/>
          <w:sz w:val="24"/>
          <w:szCs w:val="24"/>
        </w:rPr>
        <w:t>基金托管人复核无误后</w:t>
      </w:r>
      <w:r>
        <w:rPr>
          <w:rFonts w:ascii="宋体" w:eastAsia="宋体" w:hAnsi="宋体" w:cs="Malgun Gothic Semilight" w:hint="eastAsia"/>
          <w:sz w:val="24"/>
          <w:szCs w:val="24"/>
        </w:rPr>
        <w:t>，</w:t>
      </w:r>
      <w:r>
        <w:rPr>
          <w:rFonts w:ascii="宋体" w:eastAsia="宋体" w:hAnsi="宋体" w:cs="微软雅黑" w:hint="eastAsia"/>
          <w:sz w:val="24"/>
          <w:szCs w:val="24"/>
        </w:rPr>
        <w:t>由基金管理人予以</w:t>
      </w:r>
      <w:r>
        <w:rPr>
          <w:rFonts w:ascii="宋体" w:eastAsia="宋体" w:hAnsi="宋体" w:cs="Malgun Gothic Semilight" w:hint="eastAsia"/>
          <w:sz w:val="24"/>
          <w:szCs w:val="24"/>
        </w:rPr>
        <w:t>公布。基金管理人在信息披露时，应说明基金托管人所复核的数据和信息。对于</w:t>
      </w:r>
      <w:r w:rsidR="001C5ADA">
        <w:rPr>
          <w:rFonts w:ascii="宋体" w:eastAsia="宋体" w:hAnsi="宋体" w:cs="Malgun Gothic Semilight" w:hint="eastAsia"/>
          <w:sz w:val="24"/>
          <w:szCs w:val="24"/>
        </w:rPr>
        <w:t>基金</w:t>
      </w:r>
      <w:r>
        <w:rPr>
          <w:rFonts w:ascii="宋体" w:eastAsia="宋体" w:hAnsi="宋体" w:cs="Malgun Gothic Semilight" w:hint="eastAsia"/>
          <w:sz w:val="24"/>
          <w:szCs w:val="24"/>
        </w:rPr>
        <w:t>托管人复核结果与</w:t>
      </w:r>
      <w:r w:rsidR="001C5ADA">
        <w:rPr>
          <w:rFonts w:ascii="宋体" w:eastAsia="宋体" w:hAnsi="宋体" w:cs="Malgun Gothic Semilight" w:hint="eastAsia"/>
          <w:sz w:val="24"/>
          <w:szCs w:val="24"/>
        </w:rPr>
        <w:t>基金</w:t>
      </w:r>
      <w:r>
        <w:rPr>
          <w:rFonts w:ascii="宋体" w:eastAsia="宋体" w:hAnsi="宋体" w:cs="Malgun Gothic Semilight" w:hint="eastAsia"/>
          <w:sz w:val="24"/>
          <w:szCs w:val="24"/>
        </w:rPr>
        <w:t>管理人无法达成一致的，</w:t>
      </w:r>
      <w:r w:rsidR="001C5ADA">
        <w:rPr>
          <w:rFonts w:ascii="宋体" w:eastAsia="宋体" w:hAnsi="宋体" w:cs="Malgun Gothic Semilight" w:hint="eastAsia"/>
          <w:sz w:val="24"/>
          <w:szCs w:val="24"/>
        </w:rPr>
        <w:t>基金</w:t>
      </w:r>
      <w:r>
        <w:rPr>
          <w:rFonts w:ascii="宋体" w:eastAsia="宋体" w:hAnsi="宋体" w:cs="Malgun Gothic Semilight" w:hint="eastAsia"/>
          <w:sz w:val="24"/>
          <w:szCs w:val="24"/>
        </w:rPr>
        <w:t>管理人应按照有关法律法规进行信息披露。</w:t>
      </w:r>
    </w:p>
    <w:p w14:paraId="7FFC76DB" w14:textId="77777777" w:rsidR="00F012EE" w:rsidRDefault="00477FBC">
      <w:pPr>
        <w:adjustRightInd w:val="0"/>
        <w:snapToGrid w:val="0"/>
        <w:spacing w:line="360" w:lineRule="auto"/>
        <w:ind w:firstLineChars="200" w:firstLine="480"/>
        <w:rPr>
          <w:rFonts w:ascii="宋体" w:eastAsia="宋体" w:hAnsi="宋体" w:cs="Malgun Gothic Semilight"/>
          <w:sz w:val="24"/>
          <w:szCs w:val="24"/>
        </w:rPr>
      </w:pPr>
      <w:r>
        <w:rPr>
          <w:rFonts w:ascii="宋体" w:eastAsia="宋体" w:hAnsi="宋体" w:cs="Malgun Gothic Semilight" w:hint="eastAsia"/>
          <w:sz w:val="24"/>
          <w:szCs w:val="24"/>
        </w:rPr>
        <w:lastRenderedPageBreak/>
        <w:t>对于不需要基金托管人复核的信息，基金管理人在公告前应告知基金托管人。</w:t>
      </w:r>
    </w:p>
    <w:p w14:paraId="1368A02E" w14:textId="77777777" w:rsidR="00F012EE" w:rsidRDefault="00477FBC">
      <w:pPr>
        <w:adjustRightInd w:val="0"/>
        <w:snapToGrid w:val="0"/>
        <w:spacing w:line="360" w:lineRule="auto"/>
        <w:ind w:firstLineChars="200" w:firstLine="480"/>
        <w:rPr>
          <w:rFonts w:ascii="宋体" w:eastAsia="宋体" w:hAnsi="宋体" w:cs="Malgun Gothic Semilight"/>
          <w:sz w:val="24"/>
          <w:szCs w:val="24"/>
        </w:rPr>
      </w:pPr>
      <w:r>
        <w:rPr>
          <w:rFonts w:ascii="宋体" w:eastAsia="宋体" w:hAnsi="宋体" w:cs="Malgun Gothic Semilight" w:hint="eastAsia"/>
          <w:sz w:val="24"/>
          <w:szCs w:val="24"/>
        </w:rPr>
        <w:t>基金管理人和基金托管人应积极配合、互相监督，保证其履行按照法定方式和限时披露的义务。</w:t>
      </w:r>
    </w:p>
    <w:p w14:paraId="2FD5B87D"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基金管理人应当在中国证监会规定的时间内</w:t>
      </w:r>
      <w:r>
        <w:rPr>
          <w:rFonts w:ascii="宋体" w:eastAsia="宋体" w:hAnsi="宋体" w:cs="Malgun Gothic Semilight" w:hint="eastAsia"/>
          <w:sz w:val="24"/>
          <w:szCs w:val="24"/>
        </w:rPr>
        <w:t>，</w:t>
      </w:r>
      <w:r>
        <w:rPr>
          <w:rFonts w:ascii="宋体" w:eastAsia="宋体" w:hAnsi="宋体" w:cs="微软雅黑" w:hint="eastAsia"/>
          <w:sz w:val="24"/>
          <w:szCs w:val="24"/>
        </w:rPr>
        <w:t>将应予披露的基金信息通过规定媒介披露</w:t>
      </w:r>
      <w:r>
        <w:rPr>
          <w:rFonts w:ascii="宋体" w:eastAsia="宋体" w:hAnsi="宋体" w:cs="Malgun Gothic Semilight" w:hint="eastAsia"/>
          <w:sz w:val="24"/>
          <w:szCs w:val="24"/>
        </w:rPr>
        <w:t>。</w:t>
      </w:r>
      <w:r>
        <w:rPr>
          <w:rFonts w:ascii="宋体" w:eastAsia="宋体" w:hAnsi="宋体" w:cs="微软雅黑" w:hint="eastAsia"/>
          <w:sz w:val="24"/>
          <w:szCs w:val="24"/>
        </w:rPr>
        <w:t>根据法律法规应由基金托管人公开披露的信息</w:t>
      </w:r>
      <w:r>
        <w:rPr>
          <w:rFonts w:ascii="宋体" w:eastAsia="宋体" w:hAnsi="宋体" w:cs="Malgun Gothic Semilight" w:hint="eastAsia"/>
          <w:sz w:val="24"/>
          <w:szCs w:val="24"/>
        </w:rPr>
        <w:t>，</w:t>
      </w:r>
      <w:r>
        <w:rPr>
          <w:rFonts w:ascii="宋体" w:eastAsia="宋体" w:hAnsi="宋体" w:cs="微软雅黑" w:hint="eastAsia"/>
          <w:sz w:val="24"/>
          <w:szCs w:val="24"/>
        </w:rPr>
        <w:t>基金托管人将通过规定媒介公开披露</w:t>
      </w:r>
      <w:r>
        <w:rPr>
          <w:rFonts w:ascii="宋体" w:eastAsia="宋体" w:hAnsi="宋体" w:cs="Malgun Gothic Semilight" w:hint="eastAsia"/>
          <w:sz w:val="24"/>
          <w:szCs w:val="24"/>
        </w:rPr>
        <w:t>。</w:t>
      </w:r>
    </w:p>
    <w:p w14:paraId="35135A98"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当出现下述情况时</w:t>
      </w:r>
      <w:r>
        <w:rPr>
          <w:rFonts w:ascii="宋体" w:eastAsia="宋体" w:hAnsi="宋体" w:cs="Malgun Gothic Semilight" w:hint="eastAsia"/>
          <w:sz w:val="24"/>
          <w:szCs w:val="24"/>
        </w:rPr>
        <w:t>，</w:t>
      </w:r>
      <w:r>
        <w:rPr>
          <w:rFonts w:ascii="宋体" w:eastAsia="宋体" w:hAnsi="宋体" w:cs="微软雅黑" w:hint="eastAsia"/>
          <w:sz w:val="24"/>
          <w:szCs w:val="24"/>
        </w:rPr>
        <w:t>基金管理人和基金托管人可暂停或延迟披露基金相关信息</w:t>
      </w:r>
      <w:r>
        <w:rPr>
          <w:rFonts w:ascii="宋体" w:eastAsia="宋体" w:hAnsi="宋体" w:cs="Malgun Gothic Semilight" w:hint="eastAsia"/>
          <w:sz w:val="24"/>
          <w:szCs w:val="24"/>
        </w:rPr>
        <w:t>：</w:t>
      </w:r>
    </w:p>
    <w:p w14:paraId="42874220"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w:t>
      </w:r>
      <w:r>
        <w:rPr>
          <w:rFonts w:ascii="宋体" w:eastAsia="宋体" w:hAnsi="宋体" w:cs="Arial"/>
          <w:sz w:val="24"/>
          <w:szCs w:val="24"/>
        </w:rPr>
        <w:t>基金投资所涉及的证券、期货交易所遇法定节假日或因其他原因暂停营业时；</w:t>
      </w:r>
    </w:p>
    <w:p w14:paraId="5A009559"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Arial"/>
          <w:sz w:val="24"/>
          <w:szCs w:val="24"/>
        </w:rPr>
        <w:t>因不可抗力或其他情形致使基金管理人、基金托管人无法准确评估基金资产价值时；</w:t>
      </w:r>
    </w:p>
    <w:p w14:paraId="636E5B5C"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（3）</w:t>
      </w:r>
      <w:r>
        <w:rPr>
          <w:rFonts w:ascii="宋体" w:eastAsia="宋体" w:hAnsi="宋体" w:cs="Arial"/>
          <w:sz w:val="24"/>
          <w:szCs w:val="24"/>
        </w:rPr>
        <w:t>法律法规规定、中国证监会或基金合同认定的其他情形。</w:t>
      </w:r>
    </w:p>
    <w:p w14:paraId="1BB3C512"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微软雅黑" w:hint="eastAsia"/>
          <w:sz w:val="24"/>
          <w:szCs w:val="24"/>
        </w:rPr>
        <w:t>程序</w:t>
      </w:r>
    </w:p>
    <w:p w14:paraId="5A9C058D"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按有关规定须经基金托管人复核的信息披露文件</w:t>
      </w:r>
      <w:r>
        <w:rPr>
          <w:rFonts w:ascii="宋体" w:eastAsia="宋体" w:hAnsi="宋体" w:cs="Malgun Gothic Semilight" w:hint="eastAsia"/>
          <w:sz w:val="24"/>
          <w:szCs w:val="24"/>
        </w:rPr>
        <w:t>，</w:t>
      </w:r>
      <w:r>
        <w:rPr>
          <w:rFonts w:ascii="宋体" w:eastAsia="宋体" w:hAnsi="宋体" w:cs="微软雅黑" w:hint="eastAsia"/>
          <w:sz w:val="24"/>
          <w:szCs w:val="24"/>
        </w:rPr>
        <w:t>由基金管理人起草</w:t>
      </w:r>
      <w:r>
        <w:rPr>
          <w:rFonts w:ascii="宋体" w:eastAsia="宋体" w:hAnsi="宋体" w:cs="Malgun Gothic Semilight" w:hint="eastAsia"/>
          <w:sz w:val="24"/>
          <w:szCs w:val="24"/>
        </w:rPr>
        <w:t>、</w:t>
      </w:r>
      <w:r>
        <w:rPr>
          <w:rFonts w:ascii="宋体" w:eastAsia="宋体" w:hAnsi="宋体" w:cs="微软雅黑" w:hint="eastAsia"/>
          <w:sz w:val="24"/>
          <w:szCs w:val="24"/>
        </w:rPr>
        <w:t>并经基金托管人复核后由基金管理人公告</w:t>
      </w:r>
      <w:r>
        <w:rPr>
          <w:rFonts w:ascii="宋体" w:eastAsia="宋体" w:hAnsi="宋体" w:cs="Malgun Gothic Semilight" w:hint="eastAsia"/>
          <w:sz w:val="24"/>
          <w:szCs w:val="24"/>
        </w:rPr>
        <w:t>。</w:t>
      </w:r>
      <w:r>
        <w:rPr>
          <w:rFonts w:ascii="宋体" w:eastAsia="宋体" w:hAnsi="宋体" w:cs="微软雅黑" w:hint="eastAsia"/>
          <w:sz w:val="24"/>
          <w:szCs w:val="24"/>
        </w:rPr>
        <w:t>发生</w:t>
      </w:r>
      <w:r>
        <w:rPr>
          <w:rFonts w:ascii="宋体" w:eastAsia="宋体" w:hAnsi="宋体" w:cs="Malgun Gothic Semilight"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中规定需要披露的事项时</w:t>
      </w:r>
      <w:r>
        <w:rPr>
          <w:rFonts w:ascii="宋体" w:eastAsia="宋体" w:hAnsi="宋体" w:cs="Malgun Gothic Semilight" w:hint="eastAsia"/>
          <w:sz w:val="24"/>
          <w:szCs w:val="24"/>
        </w:rPr>
        <w:t>，</w:t>
      </w:r>
      <w:r>
        <w:rPr>
          <w:rFonts w:ascii="宋体" w:eastAsia="宋体" w:hAnsi="宋体" w:cs="微软雅黑" w:hint="eastAsia"/>
          <w:sz w:val="24"/>
          <w:szCs w:val="24"/>
        </w:rPr>
        <w:t>按</w:t>
      </w:r>
      <w:r>
        <w:rPr>
          <w:rFonts w:ascii="宋体" w:eastAsia="宋体" w:hAnsi="宋体" w:cs="Malgun Gothic Semilight"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规定公布</w:t>
      </w:r>
      <w:r>
        <w:rPr>
          <w:rFonts w:ascii="宋体" w:eastAsia="宋体" w:hAnsi="宋体" w:cs="Malgun Gothic Semilight" w:hint="eastAsia"/>
          <w:sz w:val="24"/>
          <w:szCs w:val="24"/>
        </w:rPr>
        <w:t>。</w:t>
      </w:r>
    </w:p>
    <w:p w14:paraId="2E8DCD0A"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3.</w:t>
      </w:r>
      <w:r>
        <w:rPr>
          <w:rFonts w:ascii="宋体" w:eastAsia="宋体" w:hAnsi="宋体" w:cs="微软雅黑" w:hint="eastAsia"/>
          <w:sz w:val="24"/>
          <w:szCs w:val="24"/>
        </w:rPr>
        <w:t>信息文本的存放</w:t>
      </w:r>
    </w:p>
    <w:p w14:paraId="10FFB1CE"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依法必须披露的信息发布后</w:t>
      </w:r>
      <w:r>
        <w:rPr>
          <w:rFonts w:ascii="宋体" w:eastAsia="宋体" w:hAnsi="宋体" w:cs="Malgun Gothic Semilight" w:hint="eastAsia"/>
          <w:sz w:val="24"/>
          <w:szCs w:val="24"/>
        </w:rPr>
        <w:t>，</w:t>
      </w:r>
      <w:r>
        <w:rPr>
          <w:rFonts w:ascii="宋体" w:eastAsia="宋体" w:hAnsi="宋体" w:cs="微软雅黑" w:hint="eastAsia"/>
          <w:sz w:val="24"/>
          <w:szCs w:val="24"/>
        </w:rPr>
        <w:t>基金管理人</w:t>
      </w:r>
      <w:r>
        <w:rPr>
          <w:rFonts w:ascii="宋体" w:eastAsia="宋体" w:hAnsi="宋体" w:cs="Malgun Gothic Semilight" w:hint="eastAsia"/>
          <w:sz w:val="24"/>
          <w:szCs w:val="24"/>
        </w:rPr>
        <w:t>、</w:t>
      </w:r>
      <w:r>
        <w:rPr>
          <w:rFonts w:ascii="宋体" w:eastAsia="宋体" w:hAnsi="宋体" w:cs="微软雅黑" w:hint="eastAsia"/>
          <w:sz w:val="24"/>
          <w:szCs w:val="24"/>
        </w:rPr>
        <w:t>基金托管人应当按照相关法律法规规定将信息置备于公司住所</w:t>
      </w:r>
      <w:r>
        <w:rPr>
          <w:rFonts w:ascii="宋体" w:eastAsia="宋体" w:hAnsi="宋体" w:cs="Malgun Gothic Semilight" w:hint="eastAsia"/>
          <w:sz w:val="24"/>
          <w:szCs w:val="24"/>
        </w:rPr>
        <w:t>、</w:t>
      </w:r>
      <w:r>
        <w:rPr>
          <w:rFonts w:ascii="宋体" w:eastAsia="宋体" w:hAnsi="宋体" w:cs="微软雅黑" w:hint="eastAsia"/>
          <w:sz w:val="24"/>
          <w:szCs w:val="24"/>
        </w:rPr>
        <w:t>基金上市交易的证券交易所</w:t>
      </w:r>
      <w:r>
        <w:rPr>
          <w:rFonts w:ascii="宋体" w:eastAsia="宋体" w:hAnsi="宋体" w:cs="Malgun Gothic Semilight" w:hint="eastAsia"/>
          <w:sz w:val="24"/>
          <w:szCs w:val="24"/>
        </w:rPr>
        <w:t>，</w:t>
      </w:r>
      <w:r>
        <w:rPr>
          <w:rFonts w:ascii="宋体" w:eastAsia="宋体" w:hAnsi="宋体" w:cs="微软雅黑" w:hint="eastAsia"/>
          <w:sz w:val="24"/>
          <w:szCs w:val="24"/>
        </w:rPr>
        <w:t>供社会公众查阅</w:t>
      </w:r>
      <w:r>
        <w:rPr>
          <w:rFonts w:ascii="宋体" w:eastAsia="宋体" w:hAnsi="宋体" w:cs="Malgun Gothic Semilight" w:hint="eastAsia"/>
          <w:sz w:val="24"/>
          <w:szCs w:val="24"/>
        </w:rPr>
        <w:t>、</w:t>
      </w:r>
      <w:r>
        <w:rPr>
          <w:rFonts w:ascii="宋体" w:eastAsia="宋体" w:hAnsi="宋体" w:cs="微软雅黑" w:hint="eastAsia"/>
          <w:sz w:val="24"/>
          <w:szCs w:val="24"/>
        </w:rPr>
        <w:t>复制</w:t>
      </w:r>
      <w:r>
        <w:rPr>
          <w:rFonts w:ascii="宋体" w:eastAsia="宋体" w:hAnsi="宋体" w:cs="Malgun Gothic Semilight" w:hint="eastAsia"/>
          <w:sz w:val="24"/>
          <w:szCs w:val="24"/>
        </w:rPr>
        <w:t>。</w:t>
      </w:r>
    </w:p>
    <w:p w14:paraId="3C54F604" w14:textId="77777777" w:rsidR="00F012EE" w:rsidRDefault="00477FBC">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四</w:t>
      </w:r>
      <w:r>
        <w:rPr>
          <w:rFonts w:ascii="宋体" w:eastAsia="宋体" w:hAnsi="宋体" w:cs="Malgun Gothic Semilight" w:hint="eastAsia"/>
          <w:sz w:val="24"/>
          <w:szCs w:val="24"/>
        </w:rPr>
        <w:t>）</w:t>
      </w:r>
      <w:r>
        <w:rPr>
          <w:rFonts w:ascii="宋体" w:eastAsia="宋体" w:hAnsi="宋体" w:cs="微软雅黑" w:hint="eastAsia"/>
          <w:sz w:val="24"/>
          <w:szCs w:val="24"/>
        </w:rPr>
        <w:t>法律法规或监管部门对适用于本基金的信息披露另有规定的</w:t>
      </w:r>
      <w:r>
        <w:rPr>
          <w:rFonts w:ascii="宋体" w:eastAsia="宋体" w:hAnsi="宋体" w:cs="Malgun Gothic Semilight" w:hint="eastAsia"/>
          <w:sz w:val="24"/>
          <w:szCs w:val="24"/>
        </w:rPr>
        <w:t>，</w:t>
      </w:r>
      <w:r>
        <w:rPr>
          <w:rFonts w:ascii="宋体" w:eastAsia="宋体" w:hAnsi="宋体" w:cs="微软雅黑" w:hint="eastAsia"/>
          <w:sz w:val="24"/>
          <w:szCs w:val="24"/>
        </w:rPr>
        <w:t>从其规定</w:t>
      </w:r>
      <w:r>
        <w:rPr>
          <w:rFonts w:ascii="宋体" w:eastAsia="宋体" w:hAnsi="宋体" w:cs="Malgun Gothic Semilight" w:hint="eastAsia"/>
          <w:sz w:val="24"/>
          <w:szCs w:val="24"/>
        </w:rPr>
        <w:t>。</w:t>
      </w:r>
      <w:r>
        <w:rPr>
          <w:rFonts w:ascii="宋体" w:eastAsia="宋体" w:hAnsi="宋体" w:cs="微软雅黑" w:hint="eastAsia"/>
          <w:sz w:val="24"/>
          <w:szCs w:val="24"/>
        </w:rPr>
        <w:t>如规定发生变化的</w:t>
      </w:r>
      <w:r>
        <w:rPr>
          <w:rFonts w:ascii="宋体" w:eastAsia="宋体" w:hAnsi="宋体" w:cs="Malgun Gothic Semilight" w:hint="eastAsia"/>
          <w:sz w:val="24"/>
          <w:szCs w:val="24"/>
        </w:rPr>
        <w:t>，</w:t>
      </w:r>
      <w:r>
        <w:rPr>
          <w:rFonts w:ascii="宋体" w:eastAsia="宋体" w:hAnsi="宋体" w:cs="微软雅黑" w:hint="eastAsia"/>
          <w:sz w:val="24"/>
          <w:szCs w:val="24"/>
        </w:rPr>
        <w:t>从其最新规定</w:t>
      </w:r>
      <w:r>
        <w:rPr>
          <w:rFonts w:ascii="宋体" w:eastAsia="宋体" w:hAnsi="宋体" w:cs="Malgun Gothic Semilight" w:hint="eastAsia"/>
          <w:sz w:val="24"/>
          <w:szCs w:val="24"/>
        </w:rPr>
        <w:t>。</w:t>
      </w:r>
    </w:p>
    <w:p w14:paraId="226ECA8D" w14:textId="77777777" w:rsidR="00F012EE" w:rsidRDefault="00F012EE">
      <w:pPr>
        <w:spacing w:line="360" w:lineRule="auto"/>
        <w:rPr>
          <w:rFonts w:ascii="宋体" w:eastAsia="宋体" w:hAnsi="宋体" w:cs="Arial"/>
          <w:sz w:val="24"/>
          <w:szCs w:val="24"/>
        </w:rPr>
      </w:pPr>
    </w:p>
    <w:p w14:paraId="0F5D4790" w14:textId="77777777" w:rsidR="00F012EE" w:rsidRDefault="00477FBC">
      <w:pPr>
        <w:keepNext/>
        <w:keepLines/>
        <w:spacing w:before="260" w:after="260" w:line="360" w:lineRule="auto"/>
        <w:jc w:val="center"/>
        <w:outlineLvl w:val="1"/>
        <w:rPr>
          <w:rFonts w:ascii="宋体" w:eastAsia="宋体" w:hAnsi="宋体" w:cs="Times New Roman"/>
          <w:b/>
          <w:sz w:val="30"/>
          <w:szCs w:val="20"/>
        </w:rPr>
      </w:pPr>
      <w:bookmarkStart w:id="92" w:name="_Toc124325895"/>
      <w:r>
        <w:rPr>
          <w:rFonts w:ascii="宋体" w:eastAsia="宋体" w:hAnsi="宋体" w:cs="微软雅黑" w:hint="eastAsia"/>
          <w:b/>
          <w:sz w:val="30"/>
          <w:szCs w:val="20"/>
        </w:rPr>
        <w:t>十一</w:t>
      </w:r>
      <w:r>
        <w:rPr>
          <w:rFonts w:ascii="宋体" w:eastAsia="宋体" w:hAnsi="宋体" w:cs="Malgun Gothic Semilight" w:hint="eastAsia"/>
          <w:b/>
          <w:sz w:val="30"/>
          <w:szCs w:val="20"/>
        </w:rPr>
        <w:t>、</w:t>
      </w:r>
      <w:r>
        <w:rPr>
          <w:rFonts w:ascii="宋体" w:eastAsia="宋体" w:hAnsi="宋体" w:cs="微软雅黑" w:hint="eastAsia"/>
          <w:b/>
          <w:sz w:val="30"/>
          <w:szCs w:val="20"/>
        </w:rPr>
        <w:t>基金费用</w:t>
      </w:r>
      <w:bookmarkEnd w:id="92"/>
    </w:p>
    <w:p w14:paraId="088F059B"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一</w:t>
      </w:r>
      <w:r>
        <w:rPr>
          <w:rFonts w:ascii="宋体" w:eastAsia="宋体" w:hAnsi="宋体" w:cs="Malgun Gothic Semilight" w:hint="eastAsia"/>
          <w:sz w:val="24"/>
          <w:szCs w:val="24"/>
        </w:rPr>
        <w:t>）</w:t>
      </w:r>
      <w:r>
        <w:rPr>
          <w:rFonts w:ascii="宋体" w:eastAsia="宋体" w:hAnsi="宋体" w:cs="微软雅黑" w:hint="eastAsia"/>
          <w:sz w:val="24"/>
          <w:szCs w:val="24"/>
        </w:rPr>
        <w:t>基金管理费的计提比例和计提方法</w:t>
      </w:r>
    </w:p>
    <w:p w14:paraId="71D6B7D0"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本基金的管理费按前一日基金资产净值的0</w:t>
      </w:r>
      <w:r>
        <w:rPr>
          <w:rFonts w:ascii="宋体" w:eastAsia="宋体" w:hAnsi="宋体" w:cs="微软雅黑"/>
          <w:sz w:val="24"/>
          <w:szCs w:val="24"/>
        </w:rPr>
        <w:t>.15</w:t>
      </w:r>
      <w:r>
        <w:rPr>
          <w:rFonts w:ascii="宋体" w:eastAsia="宋体" w:hAnsi="宋体" w:cs="Arial" w:hint="eastAsia"/>
          <w:sz w:val="24"/>
          <w:szCs w:val="24"/>
        </w:rPr>
        <w:t>%</w:t>
      </w:r>
      <w:r>
        <w:rPr>
          <w:rFonts w:ascii="宋体" w:eastAsia="宋体" w:hAnsi="宋体" w:cs="微软雅黑" w:hint="eastAsia"/>
          <w:sz w:val="24"/>
          <w:szCs w:val="24"/>
        </w:rPr>
        <w:t>年费率计提</w:t>
      </w:r>
      <w:r>
        <w:rPr>
          <w:rFonts w:ascii="宋体" w:eastAsia="宋体" w:hAnsi="宋体" w:cs="Malgun Gothic Semilight" w:hint="eastAsia"/>
          <w:sz w:val="24"/>
          <w:szCs w:val="24"/>
        </w:rPr>
        <w:t>。</w:t>
      </w:r>
      <w:r>
        <w:rPr>
          <w:rFonts w:ascii="宋体" w:eastAsia="宋体" w:hAnsi="宋体" w:cs="微软雅黑" w:hint="eastAsia"/>
          <w:sz w:val="24"/>
          <w:szCs w:val="24"/>
        </w:rPr>
        <w:t>管理费的计算方法如下</w:t>
      </w:r>
      <w:r>
        <w:rPr>
          <w:rFonts w:ascii="宋体" w:eastAsia="宋体" w:hAnsi="宋体" w:cs="Malgun Gothic Semilight" w:hint="eastAsia"/>
          <w:sz w:val="24"/>
          <w:szCs w:val="24"/>
        </w:rPr>
        <w:t>：</w:t>
      </w:r>
    </w:p>
    <w:p w14:paraId="5556A2B8"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H＝E×</w:t>
      </w:r>
      <w:r>
        <w:rPr>
          <w:rFonts w:ascii="宋体" w:eastAsia="宋体" w:hAnsi="宋体" w:cs="微软雅黑" w:hint="eastAsia"/>
          <w:sz w:val="24"/>
          <w:szCs w:val="24"/>
        </w:rPr>
        <w:t>0</w:t>
      </w:r>
      <w:r>
        <w:rPr>
          <w:rFonts w:ascii="宋体" w:eastAsia="宋体" w:hAnsi="宋体" w:cs="微软雅黑"/>
          <w:sz w:val="24"/>
          <w:szCs w:val="24"/>
        </w:rPr>
        <w:t>.1</w:t>
      </w:r>
      <w:r>
        <w:rPr>
          <w:rFonts w:ascii="宋体" w:eastAsia="宋体" w:hAnsi="宋体" w:cs="微软雅黑" w:hint="eastAsia"/>
          <w:sz w:val="24"/>
          <w:szCs w:val="24"/>
        </w:rPr>
        <w:t>5%</w:t>
      </w:r>
      <w:r>
        <w:rPr>
          <w:rFonts w:ascii="宋体" w:eastAsia="宋体" w:hAnsi="宋体" w:cs="Malgun Gothic Semilight" w:hint="eastAsia"/>
          <w:sz w:val="24"/>
          <w:szCs w:val="24"/>
        </w:rPr>
        <w:t>÷</w:t>
      </w:r>
      <w:r>
        <w:rPr>
          <w:rFonts w:ascii="宋体" w:eastAsia="宋体" w:hAnsi="宋体" w:cs="微软雅黑" w:hint="eastAsia"/>
          <w:sz w:val="24"/>
          <w:szCs w:val="24"/>
        </w:rPr>
        <w:t>当年天数</w:t>
      </w:r>
    </w:p>
    <w:p w14:paraId="77AD45EE"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lastRenderedPageBreak/>
        <w:t>H</w:t>
      </w:r>
      <w:r>
        <w:rPr>
          <w:rFonts w:ascii="宋体" w:eastAsia="宋体" w:hAnsi="宋体" w:cs="微软雅黑" w:hint="eastAsia"/>
          <w:sz w:val="24"/>
          <w:szCs w:val="24"/>
        </w:rPr>
        <w:t>为每日应计提的基金管理费</w:t>
      </w:r>
    </w:p>
    <w:p w14:paraId="4D60BA8A"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E</w:t>
      </w:r>
      <w:r>
        <w:rPr>
          <w:rFonts w:ascii="宋体" w:eastAsia="宋体" w:hAnsi="宋体" w:cs="微软雅黑" w:hint="eastAsia"/>
          <w:sz w:val="24"/>
          <w:szCs w:val="24"/>
        </w:rPr>
        <w:t>为前一日的基金资产净值</w:t>
      </w:r>
    </w:p>
    <w:p w14:paraId="12E11C5F"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二</w:t>
      </w:r>
      <w:r>
        <w:rPr>
          <w:rFonts w:ascii="宋体" w:eastAsia="宋体" w:hAnsi="宋体" w:cs="Malgun Gothic Semilight" w:hint="eastAsia"/>
          <w:sz w:val="24"/>
          <w:szCs w:val="24"/>
        </w:rPr>
        <w:t>）</w:t>
      </w:r>
      <w:r>
        <w:rPr>
          <w:rFonts w:ascii="宋体" w:eastAsia="宋体" w:hAnsi="宋体" w:cs="微软雅黑" w:hint="eastAsia"/>
          <w:sz w:val="24"/>
          <w:szCs w:val="24"/>
        </w:rPr>
        <w:t>基金托管费的计提比例和计提方法</w:t>
      </w:r>
    </w:p>
    <w:p w14:paraId="610A32FD"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本基金的托管费按前一日基金资产净值的0</w:t>
      </w:r>
      <w:r>
        <w:rPr>
          <w:rFonts w:ascii="宋体" w:eastAsia="宋体" w:hAnsi="宋体" w:cs="微软雅黑"/>
          <w:sz w:val="24"/>
          <w:szCs w:val="24"/>
        </w:rPr>
        <w:t>.05</w:t>
      </w:r>
      <w:r>
        <w:rPr>
          <w:rFonts w:ascii="宋体" w:eastAsia="宋体" w:hAnsi="宋体" w:cs="Arial" w:hint="eastAsia"/>
          <w:sz w:val="24"/>
          <w:szCs w:val="24"/>
        </w:rPr>
        <w:t>%</w:t>
      </w:r>
      <w:r>
        <w:rPr>
          <w:rFonts w:ascii="宋体" w:eastAsia="宋体" w:hAnsi="宋体" w:cs="微软雅黑" w:hint="eastAsia"/>
          <w:sz w:val="24"/>
          <w:szCs w:val="24"/>
        </w:rPr>
        <w:t>年费率计提</w:t>
      </w:r>
      <w:r>
        <w:rPr>
          <w:rFonts w:ascii="宋体" w:eastAsia="宋体" w:hAnsi="宋体" w:cs="Malgun Gothic Semilight" w:hint="eastAsia"/>
          <w:sz w:val="24"/>
          <w:szCs w:val="24"/>
        </w:rPr>
        <w:t>。</w:t>
      </w:r>
      <w:r>
        <w:rPr>
          <w:rFonts w:ascii="宋体" w:eastAsia="宋体" w:hAnsi="宋体" w:cs="微软雅黑" w:hint="eastAsia"/>
          <w:sz w:val="24"/>
          <w:szCs w:val="24"/>
        </w:rPr>
        <w:t>托管费的计算方法如下</w:t>
      </w:r>
      <w:r>
        <w:rPr>
          <w:rFonts w:ascii="宋体" w:eastAsia="宋体" w:hAnsi="宋体" w:cs="Malgun Gothic Semilight" w:hint="eastAsia"/>
          <w:sz w:val="24"/>
          <w:szCs w:val="24"/>
        </w:rPr>
        <w:t>：</w:t>
      </w:r>
    </w:p>
    <w:p w14:paraId="5F5302E1"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H＝E×</w:t>
      </w:r>
      <w:r>
        <w:rPr>
          <w:rFonts w:ascii="宋体" w:eastAsia="宋体" w:hAnsi="宋体" w:cs="微软雅黑" w:hint="eastAsia"/>
          <w:sz w:val="24"/>
          <w:szCs w:val="24"/>
        </w:rPr>
        <w:t>0</w:t>
      </w:r>
      <w:r>
        <w:rPr>
          <w:rFonts w:ascii="宋体" w:eastAsia="宋体" w:hAnsi="宋体" w:cs="微软雅黑"/>
          <w:sz w:val="24"/>
          <w:szCs w:val="24"/>
        </w:rPr>
        <w:t>.05</w:t>
      </w:r>
      <w:r>
        <w:rPr>
          <w:rFonts w:ascii="宋体" w:eastAsia="宋体" w:hAnsi="宋体" w:cs="微软雅黑" w:hint="eastAsia"/>
          <w:sz w:val="24"/>
          <w:szCs w:val="24"/>
        </w:rPr>
        <w:t>%</w:t>
      </w:r>
      <w:r>
        <w:rPr>
          <w:rFonts w:ascii="宋体" w:eastAsia="宋体" w:hAnsi="宋体" w:cs="Malgun Gothic Semilight" w:hint="eastAsia"/>
          <w:sz w:val="24"/>
          <w:szCs w:val="24"/>
        </w:rPr>
        <w:t>÷</w:t>
      </w:r>
      <w:r>
        <w:rPr>
          <w:rFonts w:ascii="宋体" w:eastAsia="宋体" w:hAnsi="宋体" w:cs="微软雅黑" w:hint="eastAsia"/>
          <w:sz w:val="24"/>
          <w:szCs w:val="24"/>
        </w:rPr>
        <w:t>当年天数</w:t>
      </w:r>
    </w:p>
    <w:p w14:paraId="0EA24BF5"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H</w:t>
      </w:r>
      <w:r>
        <w:rPr>
          <w:rFonts w:ascii="宋体" w:eastAsia="宋体" w:hAnsi="宋体" w:cs="微软雅黑" w:hint="eastAsia"/>
          <w:sz w:val="24"/>
          <w:szCs w:val="24"/>
        </w:rPr>
        <w:t>为每日应计提的基金托管费</w:t>
      </w:r>
    </w:p>
    <w:p w14:paraId="03489DCB"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E</w:t>
      </w:r>
      <w:r>
        <w:rPr>
          <w:rFonts w:ascii="宋体" w:eastAsia="宋体" w:hAnsi="宋体" w:cs="微软雅黑" w:hint="eastAsia"/>
          <w:sz w:val="24"/>
          <w:szCs w:val="24"/>
        </w:rPr>
        <w:t>为前一日的基金资产净值</w:t>
      </w:r>
    </w:p>
    <w:p w14:paraId="13DA3989" w14:textId="77777777" w:rsidR="00F012EE" w:rsidRDefault="00477FBC">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三）《基金合同》生效后与基金相关的信息披露费用、《基金合同》生效后与基金相关的会计师费、律师费和诉讼或仲裁费、基金份额持有人大会费用、因基金的证券、期货、期权交易或结算而产生的费用（包括但不限于经手费、印花税、证管费、过户费、手续费、券商佣金及其他类似性质的费用等）、基金的银行汇划费用、基金的开户费用、账户维护费用、基金上市初费及年费、《基金合同》及相应协议约定可以在基金财产中列支的其他费用，列入当期基金费用。</w:t>
      </w:r>
    </w:p>
    <w:p w14:paraId="35DDE682" w14:textId="77777777" w:rsidR="00F012EE" w:rsidRDefault="00477FBC">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（四）不列入基金费用的项目</w:t>
      </w:r>
    </w:p>
    <w:p w14:paraId="1CE0DA60" w14:textId="77777777" w:rsidR="00F012EE" w:rsidRDefault="00477FBC">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基金合同》生效前的相关费用；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标的</w:t>
      </w:r>
      <w:r>
        <w:rPr>
          <w:rFonts w:ascii="宋体" w:eastAsia="宋体" w:hAnsi="宋体" w:cs="Arial"/>
          <w:sz w:val="24"/>
          <w:szCs w:val="24"/>
        </w:rPr>
        <w:t>指数许可使用费由基金管理人承担</w:t>
      </w:r>
      <w:r>
        <w:rPr>
          <w:rFonts w:ascii="宋体" w:eastAsia="宋体" w:hAnsi="宋体" w:cs="Arial" w:hint="eastAsia"/>
          <w:sz w:val="24"/>
          <w:szCs w:val="24"/>
        </w:rPr>
        <w:t>，不得从基金财产中列支</w:t>
      </w:r>
      <w:r>
        <w:rPr>
          <w:rFonts w:ascii="宋体" w:eastAsia="宋体" w:hAnsi="宋体" w:cs="Arial"/>
          <w:sz w:val="24"/>
          <w:szCs w:val="24"/>
        </w:rPr>
        <w:t>。</w:t>
      </w:r>
    </w:p>
    <w:p w14:paraId="792663D9" w14:textId="77777777" w:rsidR="00F012EE" w:rsidRDefault="00477FBC">
      <w:pPr>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（五）基金管理费、基金托管费的复核程序、支付方式和时间</w:t>
      </w:r>
    </w:p>
    <w:p w14:paraId="50D166E7"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1.复核程序</w:t>
      </w:r>
    </w:p>
    <w:p w14:paraId="0C659B7D"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基金托管人对基金管理人计提的基金管理费、基金托管费等，根据本托管协议和《基金合同》的有关规定进行复核。</w:t>
      </w:r>
    </w:p>
    <w:p w14:paraId="310ACFA5"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微软雅黑" w:hint="eastAsia"/>
          <w:sz w:val="24"/>
          <w:szCs w:val="24"/>
        </w:rPr>
        <w:t>支付方式和时间</w:t>
      </w:r>
    </w:p>
    <w:p w14:paraId="06CCC07E"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基金管理费</w:t>
      </w:r>
      <w:r>
        <w:rPr>
          <w:rFonts w:ascii="宋体" w:eastAsia="宋体" w:hAnsi="宋体" w:cs="Malgun Gothic Semilight" w:hint="eastAsia"/>
          <w:sz w:val="24"/>
          <w:szCs w:val="24"/>
        </w:rPr>
        <w:t>、</w:t>
      </w:r>
      <w:r>
        <w:rPr>
          <w:rFonts w:ascii="宋体" w:eastAsia="宋体" w:hAnsi="宋体" w:cs="微软雅黑" w:hint="eastAsia"/>
          <w:sz w:val="24"/>
          <w:szCs w:val="24"/>
        </w:rPr>
        <w:t>基金托管费每日计提</w:t>
      </w:r>
      <w:r>
        <w:rPr>
          <w:rFonts w:ascii="宋体" w:eastAsia="宋体" w:hAnsi="宋体" w:cs="Malgun Gothic Semilight" w:hint="eastAsia"/>
          <w:sz w:val="24"/>
          <w:szCs w:val="24"/>
        </w:rPr>
        <w:t>，</w:t>
      </w:r>
      <w:r>
        <w:rPr>
          <w:rFonts w:ascii="宋体" w:eastAsia="宋体" w:hAnsi="宋体" w:cs="微软雅黑" w:hint="eastAsia"/>
          <w:sz w:val="24"/>
          <w:szCs w:val="24"/>
        </w:rPr>
        <w:t>按月支付</w:t>
      </w:r>
      <w:r>
        <w:rPr>
          <w:rFonts w:ascii="宋体" w:eastAsia="宋体" w:hAnsi="宋体" w:cs="Malgun Gothic Semilight" w:hint="eastAsia"/>
          <w:sz w:val="24"/>
          <w:szCs w:val="24"/>
        </w:rPr>
        <w:t>。</w:t>
      </w:r>
      <w:r>
        <w:rPr>
          <w:rFonts w:ascii="宋体" w:eastAsia="宋体" w:hAnsi="宋体" w:cs="微软雅黑" w:hint="eastAsia"/>
          <w:sz w:val="24"/>
          <w:szCs w:val="24"/>
        </w:rPr>
        <w:t>由基金托管人根据与基金管理人核对一致的财务数据</w:t>
      </w:r>
      <w:r>
        <w:rPr>
          <w:rFonts w:ascii="宋体" w:eastAsia="宋体" w:hAnsi="宋体" w:cs="Malgun Gothic Semilight" w:hint="eastAsia"/>
          <w:sz w:val="24"/>
          <w:szCs w:val="24"/>
        </w:rPr>
        <w:t>，</w:t>
      </w:r>
      <w:r>
        <w:rPr>
          <w:rFonts w:ascii="宋体" w:eastAsia="宋体" w:hAnsi="宋体" w:cs="微软雅黑" w:hint="eastAsia"/>
          <w:sz w:val="24"/>
          <w:szCs w:val="24"/>
        </w:rPr>
        <w:t>自动在月初</w:t>
      </w:r>
      <w:r>
        <w:rPr>
          <w:rFonts w:ascii="宋体" w:eastAsia="宋体" w:hAnsi="宋体" w:cs="Arial" w:hint="eastAsia"/>
          <w:sz w:val="24"/>
          <w:szCs w:val="24"/>
        </w:rPr>
        <w:t>5</w:t>
      </w:r>
      <w:proofErr w:type="gramStart"/>
      <w:r>
        <w:rPr>
          <w:rFonts w:ascii="宋体" w:eastAsia="宋体" w:hAnsi="宋体" w:cs="微软雅黑" w:hint="eastAsia"/>
          <w:sz w:val="24"/>
          <w:szCs w:val="24"/>
        </w:rPr>
        <w:t>个</w:t>
      </w:r>
      <w:proofErr w:type="gramEnd"/>
      <w:r>
        <w:rPr>
          <w:rFonts w:ascii="宋体" w:eastAsia="宋体" w:hAnsi="宋体" w:cs="微软雅黑" w:hint="eastAsia"/>
          <w:sz w:val="24"/>
          <w:szCs w:val="24"/>
        </w:rPr>
        <w:t>工作日内</w:t>
      </w:r>
      <w:r>
        <w:rPr>
          <w:rFonts w:ascii="宋体" w:eastAsia="宋体" w:hAnsi="宋体" w:cs="Malgun Gothic Semilight" w:hint="eastAsia"/>
          <w:sz w:val="24"/>
          <w:szCs w:val="24"/>
        </w:rPr>
        <w:t>、</w:t>
      </w:r>
      <w:r>
        <w:rPr>
          <w:rFonts w:ascii="宋体" w:eastAsia="宋体" w:hAnsi="宋体" w:cs="微软雅黑" w:hint="eastAsia"/>
          <w:sz w:val="24"/>
          <w:szCs w:val="24"/>
        </w:rPr>
        <w:t>按照指定的账户路径进行资金支付</w:t>
      </w:r>
      <w:r>
        <w:rPr>
          <w:rFonts w:ascii="宋体" w:eastAsia="宋体" w:hAnsi="宋体" w:cs="Malgun Gothic Semilight" w:hint="eastAsia"/>
          <w:sz w:val="24"/>
          <w:szCs w:val="24"/>
        </w:rPr>
        <w:t>，</w:t>
      </w:r>
      <w:r>
        <w:rPr>
          <w:rFonts w:ascii="宋体" w:eastAsia="宋体" w:hAnsi="宋体" w:cs="微软雅黑" w:hint="eastAsia"/>
          <w:sz w:val="24"/>
          <w:szCs w:val="24"/>
        </w:rPr>
        <w:t>基金管理人无需再出具资金划拨指令</w:t>
      </w:r>
      <w:r>
        <w:rPr>
          <w:rFonts w:ascii="宋体" w:eastAsia="宋体" w:hAnsi="宋体" w:cs="Malgun Gothic Semilight" w:hint="eastAsia"/>
          <w:sz w:val="24"/>
          <w:szCs w:val="24"/>
        </w:rPr>
        <w:t>。</w:t>
      </w:r>
      <w:r>
        <w:rPr>
          <w:rFonts w:ascii="宋体" w:eastAsia="宋体" w:hAnsi="宋体" w:cs="微软雅黑" w:hint="eastAsia"/>
          <w:sz w:val="24"/>
          <w:szCs w:val="24"/>
        </w:rPr>
        <w:t>若遇法定节假日</w:t>
      </w:r>
      <w:r>
        <w:rPr>
          <w:rFonts w:ascii="宋体" w:eastAsia="宋体" w:hAnsi="宋体" w:cs="Malgun Gothic Semilight" w:hint="eastAsia"/>
          <w:sz w:val="24"/>
          <w:szCs w:val="24"/>
        </w:rPr>
        <w:t>、</w:t>
      </w:r>
      <w:r>
        <w:rPr>
          <w:rFonts w:ascii="宋体" w:eastAsia="宋体" w:hAnsi="宋体" w:cs="微软雅黑" w:hint="eastAsia"/>
          <w:sz w:val="24"/>
          <w:szCs w:val="24"/>
        </w:rPr>
        <w:t>休息日等</w:t>
      </w:r>
      <w:r>
        <w:rPr>
          <w:rFonts w:ascii="宋体" w:eastAsia="宋体" w:hAnsi="宋体" w:cs="Malgun Gothic Semilight" w:hint="eastAsia"/>
          <w:sz w:val="24"/>
          <w:szCs w:val="24"/>
        </w:rPr>
        <w:t>，</w:t>
      </w:r>
      <w:r>
        <w:rPr>
          <w:rFonts w:ascii="宋体" w:eastAsia="宋体" w:hAnsi="宋体" w:cs="微软雅黑" w:hint="eastAsia"/>
          <w:sz w:val="24"/>
          <w:szCs w:val="24"/>
        </w:rPr>
        <w:t>支付日期顺延</w:t>
      </w:r>
      <w:r>
        <w:rPr>
          <w:rFonts w:ascii="宋体" w:eastAsia="宋体" w:hAnsi="宋体" w:cs="Malgun Gothic Semilight" w:hint="eastAsia"/>
          <w:sz w:val="24"/>
          <w:szCs w:val="24"/>
        </w:rPr>
        <w:t>。</w:t>
      </w:r>
      <w:r>
        <w:rPr>
          <w:rFonts w:ascii="宋体" w:eastAsia="宋体" w:hAnsi="宋体" w:cs="微软雅黑" w:hint="eastAsia"/>
          <w:sz w:val="24"/>
          <w:szCs w:val="24"/>
        </w:rPr>
        <w:t>费用自动扣划后</w:t>
      </w:r>
      <w:r>
        <w:rPr>
          <w:rFonts w:ascii="宋体" w:eastAsia="宋体" w:hAnsi="宋体" w:cs="Malgun Gothic Semilight" w:hint="eastAsia"/>
          <w:sz w:val="24"/>
          <w:szCs w:val="24"/>
        </w:rPr>
        <w:t>，</w:t>
      </w:r>
      <w:r>
        <w:rPr>
          <w:rFonts w:ascii="宋体" w:eastAsia="宋体" w:hAnsi="宋体" w:cs="微软雅黑" w:hint="eastAsia"/>
          <w:sz w:val="24"/>
          <w:szCs w:val="24"/>
        </w:rPr>
        <w:t>基金管理人应进行核对</w:t>
      </w:r>
      <w:r>
        <w:rPr>
          <w:rFonts w:ascii="宋体" w:eastAsia="宋体" w:hAnsi="宋体" w:cs="Malgun Gothic Semilight" w:hint="eastAsia"/>
          <w:sz w:val="24"/>
          <w:szCs w:val="24"/>
        </w:rPr>
        <w:t>，</w:t>
      </w:r>
      <w:r>
        <w:rPr>
          <w:rFonts w:ascii="宋体" w:eastAsia="宋体" w:hAnsi="宋体" w:cs="微软雅黑" w:hint="eastAsia"/>
          <w:sz w:val="24"/>
          <w:szCs w:val="24"/>
        </w:rPr>
        <w:t>如发现数据不符</w:t>
      </w:r>
      <w:r>
        <w:rPr>
          <w:rFonts w:ascii="宋体" w:eastAsia="宋体" w:hAnsi="宋体" w:cs="Malgun Gothic Semilight" w:hint="eastAsia"/>
          <w:sz w:val="24"/>
          <w:szCs w:val="24"/>
        </w:rPr>
        <w:t>，</w:t>
      </w:r>
      <w:r>
        <w:rPr>
          <w:rFonts w:ascii="宋体" w:eastAsia="宋体" w:hAnsi="宋体" w:cs="微软雅黑" w:hint="eastAsia"/>
          <w:sz w:val="24"/>
          <w:szCs w:val="24"/>
        </w:rPr>
        <w:t>及时联系基金托管人协商解决</w:t>
      </w:r>
      <w:r>
        <w:rPr>
          <w:rFonts w:ascii="宋体" w:eastAsia="宋体" w:hAnsi="宋体" w:cs="Malgun Gothic Semilight" w:hint="eastAsia"/>
          <w:sz w:val="24"/>
          <w:szCs w:val="24"/>
        </w:rPr>
        <w:t>。</w:t>
      </w:r>
    </w:p>
    <w:p w14:paraId="78014330"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lastRenderedPageBreak/>
        <w:t>在首期支付基金管理费前</w:t>
      </w:r>
      <w:r>
        <w:rPr>
          <w:rFonts w:ascii="宋体" w:eastAsia="宋体" w:hAnsi="宋体" w:cs="Malgun Gothic Semilight" w:hint="eastAsia"/>
          <w:sz w:val="24"/>
          <w:szCs w:val="24"/>
        </w:rPr>
        <w:t>，</w:t>
      </w:r>
      <w:r>
        <w:rPr>
          <w:rFonts w:ascii="宋体" w:eastAsia="宋体" w:hAnsi="宋体" w:cs="微软雅黑" w:hint="eastAsia"/>
          <w:sz w:val="24"/>
          <w:szCs w:val="24"/>
        </w:rPr>
        <w:t>基金管理人应向托管人出具正式函件指定基金管理费的收款账户</w:t>
      </w:r>
      <w:r>
        <w:rPr>
          <w:rFonts w:ascii="宋体" w:eastAsia="宋体" w:hAnsi="宋体" w:cs="Malgun Gothic Semilight" w:hint="eastAsia"/>
          <w:sz w:val="24"/>
          <w:szCs w:val="24"/>
        </w:rPr>
        <w:t>。</w:t>
      </w:r>
      <w:r>
        <w:rPr>
          <w:rFonts w:ascii="宋体" w:eastAsia="宋体" w:hAnsi="宋体" w:cs="微软雅黑" w:hint="eastAsia"/>
          <w:sz w:val="24"/>
          <w:szCs w:val="24"/>
        </w:rPr>
        <w:t>基金管理人如需要</w:t>
      </w:r>
      <w:proofErr w:type="gramStart"/>
      <w:r>
        <w:rPr>
          <w:rFonts w:ascii="宋体" w:eastAsia="宋体" w:hAnsi="宋体" w:cs="微软雅黑" w:hint="eastAsia"/>
          <w:sz w:val="24"/>
          <w:szCs w:val="24"/>
        </w:rPr>
        <w:t>变更此</w:t>
      </w:r>
      <w:proofErr w:type="gramEnd"/>
      <w:r>
        <w:rPr>
          <w:rFonts w:ascii="宋体" w:eastAsia="宋体" w:hAnsi="宋体" w:cs="微软雅黑" w:hint="eastAsia"/>
          <w:sz w:val="24"/>
          <w:szCs w:val="24"/>
        </w:rPr>
        <w:t>账户</w:t>
      </w:r>
      <w:r>
        <w:rPr>
          <w:rFonts w:ascii="宋体" w:eastAsia="宋体" w:hAnsi="宋体" w:cs="Malgun Gothic Semilight" w:hint="eastAsia"/>
          <w:sz w:val="24"/>
          <w:szCs w:val="24"/>
        </w:rPr>
        <w:t>，</w:t>
      </w:r>
      <w:r>
        <w:rPr>
          <w:rFonts w:ascii="宋体" w:eastAsia="宋体" w:hAnsi="宋体" w:cs="微软雅黑" w:hint="eastAsia"/>
          <w:sz w:val="24"/>
          <w:szCs w:val="24"/>
        </w:rPr>
        <w:t>应提前</w:t>
      </w:r>
      <w:r>
        <w:rPr>
          <w:rFonts w:ascii="宋体" w:eastAsia="宋体" w:hAnsi="宋体" w:cs="Arial" w:hint="eastAsia"/>
          <w:sz w:val="24"/>
          <w:szCs w:val="24"/>
        </w:rPr>
        <w:t>5</w:t>
      </w:r>
      <w:r>
        <w:rPr>
          <w:rFonts w:ascii="宋体" w:eastAsia="宋体" w:hAnsi="宋体" w:cs="微软雅黑" w:hint="eastAsia"/>
          <w:sz w:val="24"/>
          <w:szCs w:val="24"/>
        </w:rPr>
        <w:t>个工作日向托管人出具书面的收款账户变更通知</w:t>
      </w:r>
      <w:r>
        <w:rPr>
          <w:rFonts w:ascii="宋体" w:eastAsia="宋体" w:hAnsi="宋体" w:cs="Malgun Gothic Semilight" w:hint="eastAsia"/>
          <w:sz w:val="24"/>
          <w:szCs w:val="24"/>
        </w:rPr>
        <w:t>。</w:t>
      </w:r>
    </w:p>
    <w:p w14:paraId="637B8916"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六</w:t>
      </w:r>
      <w:r>
        <w:rPr>
          <w:rFonts w:ascii="宋体" w:eastAsia="宋体" w:hAnsi="宋体" w:cs="Malgun Gothic Semilight" w:hint="eastAsia"/>
          <w:sz w:val="24"/>
          <w:szCs w:val="24"/>
        </w:rPr>
        <w:t>）</w:t>
      </w:r>
      <w:r>
        <w:rPr>
          <w:rFonts w:ascii="宋体" w:eastAsia="宋体" w:hAnsi="宋体" w:cs="微软雅黑" w:hint="eastAsia"/>
          <w:sz w:val="24"/>
          <w:szCs w:val="24"/>
        </w:rPr>
        <w:t>违规处理方式</w:t>
      </w:r>
    </w:p>
    <w:p w14:paraId="15470C8D"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基金托管人发现基金管理人违反</w:t>
      </w:r>
      <w:r>
        <w:rPr>
          <w:rFonts w:ascii="宋体" w:eastAsia="宋体" w:hAnsi="宋体" w:cs="Malgun Gothic Semilight" w:hint="eastAsia"/>
          <w:sz w:val="24"/>
          <w:szCs w:val="24"/>
        </w:rPr>
        <w:t>《</w:t>
      </w:r>
      <w:r>
        <w:rPr>
          <w:rFonts w:ascii="宋体" w:eastAsia="宋体" w:hAnsi="宋体" w:cs="微软雅黑" w:hint="eastAsia"/>
          <w:sz w:val="24"/>
          <w:szCs w:val="24"/>
        </w:rPr>
        <w:t>基金法</w:t>
      </w:r>
      <w:r>
        <w:rPr>
          <w:rFonts w:ascii="宋体" w:eastAsia="宋体" w:hAnsi="宋体" w:cs="Malgun Gothic Semilight"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运作办法</w:t>
      </w:r>
      <w:r>
        <w:rPr>
          <w:rFonts w:ascii="宋体" w:eastAsia="宋体" w:hAnsi="宋体" w:cs="Malgun Gothic Semilight" w:hint="eastAsia"/>
          <w:sz w:val="24"/>
          <w:szCs w:val="24"/>
        </w:rPr>
        <w:t>》</w:t>
      </w:r>
      <w:r>
        <w:rPr>
          <w:rFonts w:ascii="宋体" w:eastAsia="宋体" w:hAnsi="宋体" w:cs="微软雅黑" w:hint="eastAsia"/>
          <w:sz w:val="24"/>
          <w:szCs w:val="24"/>
        </w:rPr>
        <w:t>及其他有关规定从基金财产中列支费用时</w:t>
      </w:r>
      <w:r>
        <w:rPr>
          <w:rFonts w:ascii="宋体" w:eastAsia="宋体" w:hAnsi="宋体" w:cs="Malgun Gothic Semilight" w:hint="eastAsia"/>
          <w:sz w:val="24"/>
          <w:szCs w:val="24"/>
        </w:rPr>
        <w:t>，</w:t>
      </w:r>
      <w:r>
        <w:rPr>
          <w:rFonts w:ascii="宋体" w:eastAsia="宋体" w:hAnsi="宋体" w:cs="微软雅黑" w:hint="eastAsia"/>
          <w:sz w:val="24"/>
          <w:szCs w:val="24"/>
        </w:rPr>
        <w:t>基金托管人可要求基金管理人予以说明解释</w:t>
      </w:r>
      <w:r>
        <w:rPr>
          <w:rFonts w:ascii="宋体" w:eastAsia="宋体" w:hAnsi="宋体" w:cs="Malgun Gothic Semilight" w:hint="eastAsia"/>
          <w:sz w:val="24"/>
          <w:szCs w:val="24"/>
        </w:rPr>
        <w:t>，</w:t>
      </w:r>
      <w:r>
        <w:rPr>
          <w:rFonts w:ascii="宋体" w:eastAsia="宋体" w:hAnsi="宋体" w:cs="微软雅黑" w:hint="eastAsia"/>
          <w:sz w:val="24"/>
          <w:szCs w:val="24"/>
        </w:rPr>
        <w:t>如基金管理人无正当理由</w:t>
      </w:r>
      <w:r>
        <w:rPr>
          <w:rFonts w:ascii="宋体" w:eastAsia="宋体" w:hAnsi="宋体" w:cs="Malgun Gothic Semilight" w:hint="eastAsia"/>
          <w:sz w:val="24"/>
          <w:szCs w:val="24"/>
        </w:rPr>
        <w:t>，</w:t>
      </w:r>
      <w:r>
        <w:rPr>
          <w:rFonts w:ascii="宋体" w:eastAsia="宋体" w:hAnsi="宋体" w:cs="微软雅黑" w:hint="eastAsia"/>
          <w:sz w:val="24"/>
          <w:szCs w:val="24"/>
        </w:rPr>
        <w:t>基金托管人可拒绝支付</w:t>
      </w:r>
      <w:r>
        <w:rPr>
          <w:rFonts w:ascii="宋体" w:eastAsia="宋体" w:hAnsi="宋体" w:cs="Malgun Gothic Semilight" w:hint="eastAsia"/>
          <w:sz w:val="24"/>
          <w:szCs w:val="24"/>
        </w:rPr>
        <w:t>。</w:t>
      </w:r>
    </w:p>
    <w:p w14:paraId="61B944DA" w14:textId="77777777" w:rsidR="00F012EE" w:rsidRDefault="00477FBC">
      <w:pPr>
        <w:keepNext/>
        <w:keepLines/>
        <w:spacing w:before="260" w:after="260" w:line="360" w:lineRule="auto"/>
        <w:jc w:val="center"/>
        <w:outlineLvl w:val="1"/>
        <w:rPr>
          <w:rFonts w:ascii="宋体" w:eastAsia="宋体" w:hAnsi="宋体" w:cs="Times New Roman"/>
          <w:b/>
          <w:sz w:val="30"/>
          <w:szCs w:val="20"/>
        </w:rPr>
      </w:pPr>
      <w:bookmarkStart w:id="93" w:name="_Toc124325896"/>
      <w:r>
        <w:rPr>
          <w:rFonts w:ascii="宋体" w:eastAsia="宋体" w:hAnsi="宋体" w:cs="微软雅黑" w:hint="eastAsia"/>
          <w:b/>
          <w:sz w:val="30"/>
          <w:szCs w:val="20"/>
        </w:rPr>
        <w:t>十二</w:t>
      </w:r>
      <w:r>
        <w:rPr>
          <w:rFonts w:ascii="宋体" w:eastAsia="宋体" w:hAnsi="宋体" w:cs="Malgun Gothic Semilight" w:hint="eastAsia"/>
          <w:b/>
          <w:sz w:val="30"/>
          <w:szCs w:val="20"/>
        </w:rPr>
        <w:t>、</w:t>
      </w:r>
      <w:r>
        <w:rPr>
          <w:rFonts w:ascii="宋体" w:eastAsia="宋体" w:hAnsi="宋体" w:cs="微软雅黑" w:hint="eastAsia"/>
          <w:b/>
          <w:sz w:val="30"/>
          <w:szCs w:val="20"/>
        </w:rPr>
        <w:t>基金份额持有人名册的保管</w:t>
      </w:r>
      <w:bookmarkEnd w:id="93"/>
    </w:p>
    <w:p w14:paraId="1B9351EA" w14:textId="76FE5073"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基金份额持有人名册至少应包括基金份额持有人的名称和持有的基金份额</w:t>
      </w:r>
      <w:r>
        <w:rPr>
          <w:rFonts w:ascii="宋体" w:eastAsia="宋体" w:hAnsi="宋体" w:cs="Malgun Gothic Semilight" w:hint="eastAsia"/>
          <w:sz w:val="24"/>
          <w:szCs w:val="24"/>
        </w:rPr>
        <w:t>。</w:t>
      </w:r>
      <w:r>
        <w:rPr>
          <w:rFonts w:ascii="宋体" w:eastAsia="宋体" w:hAnsi="宋体" w:cs="微软雅黑" w:hint="eastAsia"/>
          <w:sz w:val="24"/>
          <w:szCs w:val="24"/>
        </w:rPr>
        <w:t>基金份额持有人名册由基金注册登记机构根据基金管理人的指令编制和保管</w:t>
      </w:r>
      <w:r>
        <w:rPr>
          <w:rFonts w:ascii="宋体" w:eastAsia="宋体" w:hAnsi="宋体" w:cs="Malgun Gothic Semilight" w:hint="eastAsia"/>
          <w:sz w:val="24"/>
          <w:szCs w:val="24"/>
        </w:rPr>
        <w:t>，</w:t>
      </w:r>
      <w:r>
        <w:rPr>
          <w:rFonts w:ascii="宋体" w:eastAsia="宋体" w:hAnsi="宋体" w:cs="微软雅黑" w:hint="eastAsia"/>
          <w:sz w:val="24"/>
          <w:szCs w:val="24"/>
        </w:rPr>
        <w:t>基金管理人和基金托管人应分别保管基金份额持有人名册</w:t>
      </w:r>
      <w:r>
        <w:rPr>
          <w:rFonts w:ascii="宋体" w:eastAsia="宋体" w:hAnsi="宋体" w:cs="Malgun Gothic Semilight" w:hint="eastAsia"/>
          <w:sz w:val="24"/>
          <w:szCs w:val="24"/>
        </w:rPr>
        <w:t>，</w:t>
      </w:r>
      <w:r>
        <w:rPr>
          <w:rFonts w:ascii="宋体" w:eastAsia="宋体" w:hAnsi="宋体" w:cs="微软雅黑" w:hint="eastAsia"/>
          <w:sz w:val="24"/>
          <w:szCs w:val="24"/>
        </w:rPr>
        <w:t>保存期限按照法律法规的规定执行</w:t>
      </w:r>
      <w:r>
        <w:rPr>
          <w:rFonts w:ascii="宋体" w:eastAsia="宋体" w:hAnsi="宋体" w:cs="Arial" w:hint="eastAsia"/>
          <w:sz w:val="24"/>
          <w:szCs w:val="24"/>
        </w:rPr>
        <w:t>。</w:t>
      </w:r>
      <w:r>
        <w:rPr>
          <w:rFonts w:ascii="宋体" w:eastAsia="宋体" w:hAnsi="宋体" w:cs="微软雅黑" w:hint="eastAsia"/>
          <w:sz w:val="24"/>
          <w:szCs w:val="24"/>
        </w:rPr>
        <w:t>如不能妥善保管</w:t>
      </w:r>
      <w:r>
        <w:rPr>
          <w:rFonts w:ascii="宋体" w:eastAsia="宋体" w:hAnsi="宋体" w:cs="Malgun Gothic Semilight" w:hint="eastAsia"/>
          <w:sz w:val="24"/>
          <w:szCs w:val="24"/>
        </w:rPr>
        <w:t>，</w:t>
      </w:r>
      <w:r>
        <w:rPr>
          <w:rFonts w:ascii="宋体" w:eastAsia="宋体" w:hAnsi="宋体" w:cs="微软雅黑" w:hint="eastAsia"/>
          <w:sz w:val="24"/>
          <w:szCs w:val="24"/>
        </w:rPr>
        <w:t>则按相关法规承担责任</w:t>
      </w:r>
      <w:r>
        <w:rPr>
          <w:rFonts w:ascii="宋体" w:eastAsia="宋体" w:hAnsi="宋体" w:cs="Malgun Gothic Semilight" w:hint="eastAsia"/>
          <w:sz w:val="24"/>
          <w:szCs w:val="24"/>
        </w:rPr>
        <w:t>。</w:t>
      </w:r>
    </w:p>
    <w:p w14:paraId="6B904DA3"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在基金托管人要求或编制中期报告和年度报告前</w:t>
      </w:r>
      <w:r>
        <w:rPr>
          <w:rFonts w:ascii="宋体" w:eastAsia="宋体" w:hAnsi="宋体" w:cs="Malgun Gothic Semilight" w:hint="eastAsia"/>
          <w:sz w:val="24"/>
          <w:szCs w:val="24"/>
        </w:rPr>
        <w:t>，</w:t>
      </w:r>
      <w:r>
        <w:rPr>
          <w:rFonts w:ascii="宋体" w:eastAsia="宋体" w:hAnsi="宋体" w:cs="微软雅黑" w:hint="eastAsia"/>
          <w:sz w:val="24"/>
          <w:szCs w:val="24"/>
        </w:rPr>
        <w:t>基金管理人应将有关资料送交基金托管人</w:t>
      </w:r>
      <w:r>
        <w:rPr>
          <w:rFonts w:ascii="宋体" w:eastAsia="宋体" w:hAnsi="宋体" w:cs="Malgun Gothic Semilight" w:hint="eastAsia"/>
          <w:sz w:val="24"/>
          <w:szCs w:val="24"/>
        </w:rPr>
        <w:t>，</w:t>
      </w:r>
      <w:r>
        <w:rPr>
          <w:rFonts w:ascii="宋体" w:eastAsia="宋体" w:hAnsi="宋体" w:cs="微软雅黑" w:hint="eastAsia"/>
          <w:sz w:val="24"/>
          <w:szCs w:val="24"/>
        </w:rPr>
        <w:t>不得无故拒绝或延误提供</w:t>
      </w:r>
      <w:r>
        <w:rPr>
          <w:rFonts w:ascii="宋体" w:eastAsia="宋体" w:hAnsi="宋体" w:cs="Malgun Gothic Semilight" w:hint="eastAsia"/>
          <w:sz w:val="24"/>
          <w:szCs w:val="24"/>
        </w:rPr>
        <w:t>，</w:t>
      </w:r>
      <w:r>
        <w:rPr>
          <w:rFonts w:ascii="宋体" w:eastAsia="宋体" w:hAnsi="宋体" w:cs="微软雅黑" w:hint="eastAsia"/>
          <w:sz w:val="24"/>
          <w:szCs w:val="24"/>
        </w:rPr>
        <w:t>并保证其真实性</w:t>
      </w:r>
      <w:r>
        <w:rPr>
          <w:rFonts w:ascii="宋体" w:eastAsia="宋体" w:hAnsi="宋体" w:cs="Malgun Gothic Semilight" w:hint="eastAsia"/>
          <w:sz w:val="24"/>
          <w:szCs w:val="24"/>
        </w:rPr>
        <w:t>、</w:t>
      </w:r>
      <w:r>
        <w:rPr>
          <w:rFonts w:ascii="宋体" w:eastAsia="宋体" w:hAnsi="宋体" w:cs="微软雅黑" w:hint="eastAsia"/>
          <w:sz w:val="24"/>
          <w:szCs w:val="24"/>
        </w:rPr>
        <w:t>准确性和完整性</w:t>
      </w:r>
      <w:r>
        <w:rPr>
          <w:rFonts w:ascii="宋体" w:eastAsia="宋体" w:hAnsi="宋体" w:cs="Malgun Gothic Semilight" w:hint="eastAsia"/>
          <w:sz w:val="24"/>
          <w:szCs w:val="24"/>
        </w:rPr>
        <w:t>。</w:t>
      </w:r>
      <w:r>
        <w:rPr>
          <w:rFonts w:ascii="宋体" w:eastAsia="宋体" w:hAnsi="宋体" w:cs="微软雅黑" w:hint="eastAsia"/>
          <w:sz w:val="24"/>
          <w:szCs w:val="24"/>
        </w:rPr>
        <w:t>基金托管人不得将所保管的基金份额持有人名册用于基金托管业务以外的其他用途</w:t>
      </w:r>
      <w:r>
        <w:rPr>
          <w:rFonts w:ascii="宋体" w:eastAsia="宋体" w:hAnsi="宋体" w:cs="Malgun Gothic Semilight" w:hint="eastAsia"/>
          <w:sz w:val="24"/>
          <w:szCs w:val="24"/>
        </w:rPr>
        <w:t>，</w:t>
      </w:r>
      <w:r>
        <w:rPr>
          <w:rFonts w:ascii="宋体" w:eastAsia="宋体" w:hAnsi="宋体" w:cs="微软雅黑" w:hint="eastAsia"/>
          <w:sz w:val="24"/>
          <w:szCs w:val="24"/>
        </w:rPr>
        <w:t>并应遵守保密义务，法律法规另有规定或有关机关另有要求的除外</w:t>
      </w:r>
      <w:r>
        <w:rPr>
          <w:rFonts w:ascii="宋体" w:eastAsia="宋体" w:hAnsi="宋体" w:cs="Malgun Gothic Semilight" w:hint="eastAsia"/>
          <w:sz w:val="24"/>
          <w:szCs w:val="24"/>
        </w:rPr>
        <w:t>。</w:t>
      </w:r>
    </w:p>
    <w:p w14:paraId="19FF642C" w14:textId="77777777" w:rsidR="00F012EE" w:rsidRDefault="00F012EE">
      <w:pPr>
        <w:adjustRightInd w:val="0"/>
        <w:snapToGrid w:val="0"/>
        <w:spacing w:line="360" w:lineRule="auto"/>
        <w:rPr>
          <w:rFonts w:ascii="宋体" w:eastAsia="宋体" w:hAnsi="宋体" w:cs="Arial"/>
          <w:sz w:val="24"/>
          <w:szCs w:val="24"/>
        </w:rPr>
      </w:pPr>
    </w:p>
    <w:p w14:paraId="75B2AC7F" w14:textId="77777777" w:rsidR="00F012EE" w:rsidRDefault="00477FBC">
      <w:pPr>
        <w:keepNext/>
        <w:keepLines/>
        <w:spacing w:before="260" w:after="260" w:line="360" w:lineRule="auto"/>
        <w:jc w:val="center"/>
        <w:outlineLvl w:val="1"/>
        <w:rPr>
          <w:rFonts w:ascii="宋体" w:eastAsia="宋体" w:hAnsi="宋体" w:cs="Times New Roman"/>
          <w:b/>
          <w:sz w:val="30"/>
          <w:szCs w:val="20"/>
        </w:rPr>
      </w:pPr>
      <w:bookmarkStart w:id="94" w:name="_Toc124325897"/>
      <w:r>
        <w:rPr>
          <w:rFonts w:ascii="宋体" w:eastAsia="宋体" w:hAnsi="宋体" w:cs="微软雅黑" w:hint="eastAsia"/>
          <w:b/>
          <w:sz w:val="30"/>
          <w:szCs w:val="20"/>
        </w:rPr>
        <w:t>十三</w:t>
      </w:r>
      <w:r>
        <w:rPr>
          <w:rFonts w:ascii="宋体" w:eastAsia="宋体" w:hAnsi="宋体" w:cs="Malgun Gothic Semilight" w:hint="eastAsia"/>
          <w:b/>
          <w:sz w:val="30"/>
          <w:szCs w:val="20"/>
        </w:rPr>
        <w:t>、</w:t>
      </w:r>
      <w:r>
        <w:rPr>
          <w:rFonts w:ascii="宋体" w:eastAsia="宋体" w:hAnsi="宋体" w:cs="微软雅黑" w:hint="eastAsia"/>
          <w:b/>
          <w:sz w:val="30"/>
          <w:szCs w:val="20"/>
        </w:rPr>
        <w:t>基金有关文件档案的保存</w:t>
      </w:r>
      <w:bookmarkEnd w:id="94"/>
    </w:p>
    <w:p w14:paraId="62906D09"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（一）档案保存</w:t>
      </w:r>
    </w:p>
    <w:p w14:paraId="59B3D77F" w14:textId="50481262"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基金管理人应保存基金财产管理业务活动的记录</w:t>
      </w:r>
      <w:r>
        <w:rPr>
          <w:rFonts w:ascii="宋体" w:eastAsia="宋体" w:hAnsi="宋体" w:cs="Malgun Gothic Semilight" w:hint="eastAsia"/>
          <w:sz w:val="24"/>
          <w:szCs w:val="24"/>
        </w:rPr>
        <w:t>、</w:t>
      </w:r>
      <w:r>
        <w:rPr>
          <w:rFonts w:ascii="宋体" w:eastAsia="宋体" w:hAnsi="宋体" w:cs="微软雅黑" w:hint="eastAsia"/>
          <w:sz w:val="24"/>
          <w:szCs w:val="24"/>
        </w:rPr>
        <w:t>账册</w:t>
      </w:r>
      <w:r>
        <w:rPr>
          <w:rFonts w:ascii="宋体" w:eastAsia="宋体" w:hAnsi="宋体" w:cs="Malgun Gothic Semilight" w:hint="eastAsia"/>
          <w:sz w:val="24"/>
          <w:szCs w:val="24"/>
        </w:rPr>
        <w:t>、</w:t>
      </w:r>
      <w:r>
        <w:rPr>
          <w:rFonts w:ascii="宋体" w:eastAsia="宋体" w:hAnsi="宋体" w:cs="微软雅黑" w:hint="eastAsia"/>
          <w:sz w:val="24"/>
          <w:szCs w:val="24"/>
        </w:rPr>
        <w:t>报表和其他相关资料</w:t>
      </w:r>
      <w:r>
        <w:rPr>
          <w:rFonts w:ascii="宋体" w:eastAsia="宋体" w:hAnsi="宋体" w:cs="Malgun Gothic Semilight" w:hint="eastAsia"/>
          <w:sz w:val="24"/>
          <w:szCs w:val="24"/>
        </w:rPr>
        <w:t>。</w:t>
      </w:r>
      <w:r>
        <w:rPr>
          <w:rFonts w:ascii="宋体" w:eastAsia="宋体" w:hAnsi="宋体" w:cs="微软雅黑" w:hint="eastAsia"/>
          <w:sz w:val="24"/>
          <w:szCs w:val="24"/>
        </w:rPr>
        <w:t>基金托管人应保存基金托管业务活动的记录</w:t>
      </w:r>
      <w:r>
        <w:rPr>
          <w:rFonts w:ascii="宋体" w:eastAsia="宋体" w:hAnsi="宋体" w:cs="Malgun Gothic Semilight" w:hint="eastAsia"/>
          <w:sz w:val="24"/>
          <w:szCs w:val="24"/>
        </w:rPr>
        <w:t>、</w:t>
      </w:r>
      <w:r>
        <w:rPr>
          <w:rFonts w:ascii="宋体" w:eastAsia="宋体" w:hAnsi="宋体" w:cs="微软雅黑" w:hint="eastAsia"/>
          <w:sz w:val="24"/>
          <w:szCs w:val="24"/>
        </w:rPr>
        <w:t>账册</w:t>
      </w:r>
      <w:r>
        <w:rPr>
          <w:rFonts w:ascii="宋体" w:eastAsia="宋体" w:hAnsi="宋体" w:cs="Malgun Gothic Semilight" w:hint="eastAsia"/>
          <w:sz w:val="24"/>
          <w:szCs w:val="24"/>
        </w:rPr>
        <w:t>、</w:t>
      </w:r>
      <w:r>
        <w:rPr>
          <w:rFonts w:ascii="宋体" w:eastAsia="宋体" w:hAnsi="宋体" w:cs="微软雅黑" w:hint="eastAsia"/>
          <w:sz w:val="24"/>
          <w:szCs w:val="24"/>
        </w:rPr>
        <w:t>报表和其他相关资料</w:t>
      </w:r>
      <w:r>
        <w:rPr>
          <w:rFonts w:ascii="宋体" w:eastAsia="宋体" w:hAnsi="宋体" w:cs="Malgun Gothic Semilight" w:hint="eastAsia"/>
          <w:sz w:val="24"/>
          <w:szCs w:val="24"/>
        </w:rPr>
        <w:t>。</w:t>
      </w:r>
      <w:r>
        <w:rPr>
          <w:rFonts w:ascii="宋体" w:eastAsia="宋体" w:hAnsi="宋体" w:cs="微软雅黑" w:hint="eastAsia"/>
          <w:sz w:val="24"/>
          <w:szCs w:val="24"/>
        </w:rPr>
        <w:t>基金管理人和基金托管人都应当按法律法规规定的期限保管</w:t>
      </w:r>
      <w:r>
        <w:rPr>
          <w:rFonts w:ascii="宋体" w:eastAsia="宋体" w:hAnsi="宋体" w:cs="Malgun Gothic Semilight" w:hint="eastAsia"/>
          <w:sz w:val="24"/>
          <w:szCs w:val="24"/>
        </w:rPr>
        <w:t>。</w:t>
      </w:r>
    </w:p>
    <w:p w14:paraId="50635A3D"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（二）合同档案的建立</w:t>
      </w:r>
    </w:p>
    <w:p w14:paraId="0E89B6F9"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w:t>
      </w:r>
      <w:r>
        <w:rPr>
          <w:rFonts w:ascii="宋体" w:eastAsia="宋体" w:hAnsi="宋体" w:cs="微软雅黑" w:hint="eastAsia"/>
          <w:sz w:val="24"/>
          <w:szCs w:val="24"/>
        </w:rPr>
        <w:t>基金管理人签署重大合同文本后</w:t>
      </w:r>
      <w:r>
        <w:rPr>
          <w:rFonts w:ascii="宋体" w:eastAsia="宋体" w:hAnsi="宋体" w:cs="Malgun Gothic Semilight" w:hint="eastAsia"/>
          <w:sz w:val="24"/>
          <w:szCs w:val="24"/>
        </w:rPr>
        <w:t>，</w:t>
      </w:r>
      <w:r>
        <w:rPr>
          <w:rFonts w:ascii="宋体" w:eastAsia="宋体" w:hAnsi="宋体" w:cs="微软雅黑" w:hint="eastAsia"/>
          <w:sz w:val="24"/>
          <w:szCs w:val="24"/>
        </w:rPr>
        <w:t>应及时将合同文本正本送达基金托管人处</w:t>
      </w:r>
      <w:r>
        <w:rPr>
          <w:rFonts w:ascii="宋体" w:eastAsia="宋体" w:hAnsi="宋体" w:cs="Malgun Gothic Semilight" w:hint="eastAsia"/>
          <w:sz w:val="24"/>
          <w:szCs w:val="24"/>
        </w:rPr>
        <w:t>。</w:t>
      </w:r>
    </w:p>
    <w:p w14:paraId="543D15A5"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微软雅黑" w:hint="eastAsia"/>
          <w:sz w:val="24"/>
          <w:szCs w:val="24"/>
        </w:rPr>
        <w:t>基金管理人应及时将与本基金账务处理</w:t>
      </w:r>
      <w:r>
        <w:rPr>
          <w:rFonts w:ascii="宋体" w:eastAsia="宋体" w:hAnsi="宋体" w:cs="Malgun Gothic Semilight" w:hint="eastAsia"/>
          <w:sz w:val="24"/>
          <w:szCs w:val="24"/>
        </w:rPr>
        <w:t>、</w:t>
      </w:r>
      <w:r>
        <w:rPr>
          <w:rFonts w:ascii="宋体" w:eastAsia="宋体" w:hAnsi="宋体" w:cs="微软雅黑" w:hint="eastAsia"/>
          <w:sz w:val="24"/>
          <w:szCs w:val="24"/>
        </w:rPr>
        <w:t>资金划拨等有关的合同</w:t>
      </w:r>
      <w:r>
        <w:rPr>
          <w:rFonts w:ascii="宋体" w:eastAsia="宋体" w:hAnsi="宋体" w:cs="Malgun Gothic Semilight" w:hint="eastAsia"/>
          <w:sz w:val="24"/>
          <w:szCs w:val="24"/>
        </w:rPr>
        <w:t>、</w:t>
      </w:r>
      <w:r>
        <w:rPr>
          <w:rFonts w:ascii="宋体" w:eastAsia="宋体" w:hAnsi="宋体" w:cs="微软雅黑" w:hint="eastAsia"/>
          <w:sz w:val="24"/>
          <w:szCs w:val="24"/>
        </w:rPr>
        <w:t>协议邮件发送或传真给基金托管人</w:t>
      </w:r>
      <w:r>
        <w:rPr>
          <w:rFonts w:ascii="宋体" w:eastAsia="宋体" w:hAnsi="宋体" w:cs="Malgun Gothic Semilight" w:hint="eastAsia"/>
          <w:sz w:val="24"/>
          <w:szCs w:val="24"/>
        </w:rPr>
        <w:t>。</w:t>
      </w:r>
    </w:p>
    <w:p w14:paraId="467434B5"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lastRenderedPageBreak/>
        <w:t>（三）变更与协助</w:t>
      </w:r>
    </w:p>
    <w:p w14:paraId="4CFB3C04" w14:textId="49C56A85" w:rsidR="00F012EE" w:rsidRDefault="00477FBC">
      <w:pPr>
        <w:adjustRightInd w:val="0"/>
        <w:snapToGrid w:val="0"/>
        <w:spacing w:line="360" w:lineRule="auto"/>
        <w:ind w:firstLineChars="200" w:firstLine="480"/>
        <w:rPr>
          <w:rFonts w:ascii="宋体" w:eastAsia="宋体" w:hAnsi="宋体" w:cs="Arial"/>
          <w:sz w:val="24"/>
          <w:szCs w:val="24"/>
        </w:rPr>
      </w:pPr>
      <w:proofErr w:type="gramStart"/>
      <w:r>
        <w:rPr>
          <w:rFonts w:ascii="宋体" w:eastAsia="宋体" w:hAnsi="宋体" w:cs="微软雅黑" w:hint="eastAsia"/>
          <w:sz w:val="24"/>
          <w:szCs w:val="24"/>
        </w:rPr>
        <w:t>若基金</w:t>
      </w:r>
      <w:proofErr w:type="gramEnd"/>
      <w:r>
        <w:rPr>
          <w:rFonts w:ascii="宋体" w:eastAsia="宋体" w:hAnsi="宋体" w:cs="微软雅黑" w:hint="eastAsia"/>
          <w:sz w:val="24"/>
          <w:szCs w:val="24"/>
        </w:rPr>
        <w:t>管理人</w:t>
      </w:r>
      <w:r>
        <w:rPr>
          <w:rFonts w:ascii="宋体" w:eastAsia="宋体" w:hAnsi="宋体" w:cs="Arial" w:hint="eastAsia"/>
          <w:sz w:val="24"/>
          <w:szCs w:val="24"/>
        </w:rPr>
        <w:t>/</w:t>
      </w:r>
      <w:r>
        <w:rPr>
          <w:rFonts w:ascii="宋体" w:eastAsia="宋体" w:hAnsi="宋体" w:cs="微软雅黑" w:hint="eastAsia"/>
          <w:sz w:val="24"/>
          <w:szCs w:val="24"/>
        </w:rPr>
        <w:t>基金托管人发生变更</w:t>
      </w:r>
      <w:r>
        <w:rPr>
          <w:rFonts w:ascii="宋体" w:eastAsia="宋体" w:hAnsi="宋体" w:cs="Malgun Gothic Semilight" w:hint="eastAsia"/>
          <w:sz w:val="24"/>
          <w:szCs w:val="24"/>
        </w:rPr>
        <w:t>，</w:t>
      </w:r>
      <w:r>
        <w:rPr>
          <w:rFonts w:ascii="宋体" w:eastAsia="宋体" w:hAnsi="宋体" w:cs="微软雅黑" w:hint="eastAsia"/>
          <w:sz w:val="24"/>
          <w:szCs w:val="24"/>
        </w:rPr>
        <w:t>未变更的一方有义务协助变更后的接任人接收相应文件</w:t>
      </w:r>
      <w:r>
        <w:rPr>
          <w:rFonts w:ascii="宋体" w:eastAsia="宋体" w:hAnsi="宋体" w:cs="Malgun Gothic Semilight" w:hint="eastAsia"/>
          <w:sz w:val="24"/>
          <w:szCs w:val="24"/>
        </w:rPr>
        <w:t>。</w:t>
      </w:r>
    </w:p>
    <w:p w14:paraId="1CCF069D" w14:textId="77777777" w:rsidR="00F012EE" w:rsidRDefault="00F012EE">
      <w:pPr>
        <w:adjustRightInd w:val="0"/>
        <w:snapToGrid w:val="0"/>
        <w:spacing w:line="360" w:lineRule="auto"/>
        <w:rPr>
          <w:rFonts w:ascii="宋体" w:eastAsia="宋体" w:hAnsi="宋体" w:cs="Times New Roman"/>
          <w:sz w:val="30"/>
          <w:szCs w:val="30"/>
        </w:rPr>
      </w:pPr>
    </w:p>
    <w:p w14:paraId="4D3D6F41" w14:textId="77777777" w:rsidR="00F012EE" w:rsidRDefault="00477FBC">
      <w:pPr>
        <w:keepNext/>
        <w:keepLines/>
        <w:spacing w:before="260" w:after="260" w:line="360" w:lineRule="auto"/>
        <w:jc w:val="center"/>
        <w:outlineLvl w:val="1"/>
        <w:rPr>
          <w:rFonts w:ascii="宋体" w:eastAsia="宋体" w:hAnsi="宋体" w:cs="Times New Roman"/>
          <w:b/>
          <w:sz w:val="30"/>
          <w:szCs w:val="20"/>
        </w:rPr>
      </w:pPr>
      <w:bookmarkStart w:id="95" w:name="_Toc124325898"/>
      <w:r>
        <w:rPr>
          <w:rFonts w:ascii="宋体" w:eastAsia="宋体" w:hAnsi="宋体" w:cs="微软雅黑" w:hint="eastAsia"/>
          <w:b/>
          <w:sz w:val="30"/>
          <w:szCs w:val="20"/>
        </w:rPr>
        <w:t>十四</w:t>
      </w:r>
      <w:r>
        <w:rPr>
          <w:rFonts w:ascii="宋体" w:eastAsia="宋体" w:hAnsi="宋体" w:cs="Malgun Gothic Semilight" w:hint="eastAsia"/>
          <w:b/>
          <w:sz w:val="30"/>
          <w:szCs w:val="20"/>
        </w:rPr>
        <w:t>、</w:t>
      </w:r>
      <w:r>
        <w:rPr>
          <w:rFonts w:ascii="宋体" w:eastAsia="宋体" w:hAnsi="宋体" w:cs="微软雅黑" w:hint="eastAsia"/>
          <w:b/>
          <w:sz w:val="30"/>
          <w:szCs w:val="20"/>
        </w:rPr>
        <w:t>基金管理人和基金托管人的更换</w:t>
      </w:r>
      <w:bookmarkEnd w:id="95"/>
    </w:p>
    <w:p w14:paraId="48E1EF9F" w14:textId="77777777" w:rsidR="00F012EE" w:rsidRDefault="00477FBC">
      <w:pPr>
        <w:adjustRightInd w:val="0"/>
        <w:snapToGrid w:val="0"/>
        <w:spacing w:line="360" w:lineRule="auto"/>
        <w:ind w:firstLineChars="200" w:firstLine="480"/>
        <w:rPr>
          <w:rFonts w:ascii="宋体" w:eastAsia="宋体" w:hAnsi="宋体" w:cs="Arial"/>
          <w:sz w:val="24"/>
          <w:szCs w:val="24"/>
        </w:rPr>
      </w:pPr>
      <w:bookmarkStart w:id="96" w:name="OLE_LINK15"/>
      <w:r>
        <w:rPr>
          <w:rFonts w:ascii="宋体" w:eastAsia="宋体" w:hAnsi="宋体" w:cs="Arial" w:hint="eastAsia"/>
          <w:sz w:val="24"/>
          <w:szCs w:val="24"/>
        </w:rPr>
        <w:t>（</w:t>
      </w:r>
      <w:r>
        <w:rPr>
          <w:rFonts w:ascii="宋体" w:eastAsia="宋体" w:hAnsi="宋体" w:cs="微软雅黑" w:hint="eastAsia"/>
          <w:sz w:val="24"/>
          <w:szCs w:val="24"/>
        </w:rPr>
        <w:t>一</w:t>
      </w:r>
      <w:r>
        <w:rPr>
          <w:rFonts w:ascii="宋体" w:eastAsia="宋体" w:hAnsi="宋体" w:cs="Malgun Gothic Semilight" w:hint="eastAsia"/>
          <w:sz w:val="24"/>
          <w:szCs w:val="24"/>
        </w:rPr>
        <w:t>）</w:t>
      </w:r>
      <w:r>
        <w:rPr>
          <w:rFonts w:ascii="宋体" w:eastAsia="宋体" w:hAnsi="宋体" w:cs="微软雅黑" w:hint="eastAsia"/>
          <w:sz w:val="24"/>
          <w:szCs w:val="24"/>
        </w:rPr>
        <w:t>基金管理人职责终止的情形</w:t>
      </w:r>
    </w:p>
    <w:p w14:paraId="1EB28CE4"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w:t>
      </w:r>
      <w:r>
        <w:rPr>
          <w:rFonts w:ascii="宋体" w:eastAsia="宋体" w:hAnsi="宋体" w:cs="微软雅黑" w:hint="eastAsia"/>
          <w:sz w:val="24"/>
          <w:szCs w:val="24"/>
        </w:rPr>
        <w:t>基金管理人职责终止的情形</w:t>
      </w:r>
    </w:p>
    <w:p w14:paraId="42D3D068"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有下列情形之一的</w:t>
      </w:r>
      <w:r>
        <w:rPr>
          <w:rFonts w:ascii="宋体" w:eastAsia="宋体" w:hAnsi="宋体" w:cs="Malgun Gothic Semilight" w:hint="eastAsia"/>
          <w:sz w:val="24"/>
          <w:szCs w:val="24"/>
        </w:rPr>
        <w:t>，</w:t>
      </w:r>
      <w:r>
        <w:rPr>
          <w:rFonts w:ascii="宋体" w:eastAsia="宋体" w:hAnsi="宋体" w:cs="微软雅黑" w:hint="eastAsia"/>
          <w:sz w:val="24"/>
          <w:szCs w:val="24"/>
        </w:rPr>
        <w:t>基金管理人职责终止</w:t>
      </w:r>
      <w:r>
        <w:rPr>
          <w:rFonts w:ascii="宋体" w:eastAsia="宋体" w:hAnsi="宋体" w:cs="Malgun Gothic Semilight" w:hint="eastAsia"/>
          <w:sz w:val="24"/>
          <w:szCs w:val="24"/>
        </w:rPr>
        <w:t>：</w:t>
      </w:r>
    </w:p>
    <w:p w14:paraId="52EF0DDB"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w:t>
      </w:r>
      <w:r>
        <w:rPr>
          <w:rFonts w:ascii="宋体" w:eastAsia="宋体" w:hAnsi="宋体" w:cs="微软雅黑" w:hint="eastAsia"/>
          <w:sz w:val="24"/>
          <w:szCs w:val="24"/>
        </w:rPr>
        <w:t>被依法取消基金管理资格</w:t>
      </w:r>
      <w:r>
        <w:rPr>
          <w:rFonts w:ascii="宋体" w:eastAsia="宋体" w:hAnsi="宋体" w:cs="Malgun Gothic Semilight" w:hint="eastAsia"/>
          <w:sz w:val="24"/>
          <w:szCs w:val="24"/>
        </w:rPr>
        <w:t>；</w:t>
      </w:r>
    </w:p>
    <w:p w14:paraId="37F36FDD"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微软雅黑" w:hint="eastAsia"/>
          <w:sz w:val="24"/>
          <w:szCs w:val="24"/>
        </w:rPr>
        <w:t>依法解散</w:t>
      </w:r>
      <w:r>
        <w:rPr>
          <w:rFonts w:ascii="宋体" w:eastAsia="宋体" w:hAnsi="宋体" w:cs="Malgun Gothic Semilight" w:hint="eastAsia"/>
          <w:sz w:val="24"/>
          <w:szCs w:val="24"/>
        </w:rPr>
        <w:t>、</w:t>
      </w:r>
      <w:r>
        <w:rPr>
          <w:rFonts w:ascii="宋体" w:eastAsia="宋体" w:hAnsi="宋体" w:cs="微软雅黑" w:hint="eastAsia"/>
          <w:sz w:val="24"/>
          <w:szCs w:val="24"/>
        </w:rPr>
        <w:t>被依法撤销或被依法宣告破产</w:t>
      </w:r>
      <w:r>
        <w:rPr>
          <w:rFonts w:ascii="宋体" w:eastAsia="宋体" w:hAnsi="宋体" w:cs="Malgun Gothic Semilight" w:hint="eastAsia"/>
          <w:sz w:val="24"/>
          <w:szCs w:val="24"/>
        </w:rPr>
        <w:t>；</w:t>
      </w:r>
    </w:p>
    <w:p w14:paraId="11173AF1"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（3）</w:t>
      </w:r>
      <w:r>
        <w:rPr>
          <w:rFonts w:ascii="宋体" w:eastAsia="宋体" w:hAnsi="宋体" w:cs="微软雅黑" w:hint="eastAsia"/>
          <w:sz w:val="24"/>
          <w:szCs w:val="24"/>
        </w:rPr>
        <w:t>被基金份额持有人大会解任</w:t>
      </w:r>
      <w:r>
        <w:rPr>
          <w:rFonts w:ascii="宋体" w:eastAsia="宋体" w:hAnsi="宋体" w:cs="Malgun Gothic Semilight" w:hint="eastAsia"/>
          <w:sz w:val="24"/>
          <w:szCs w:val="24"/>
        </w:rPr>
        <w:t>；</w:t>
      </w:r>
    </w:p>
    <w:p w14:paraId="433CF83B"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（4）</w:t>
      </w:r>
      <w:r>
        <w:rPr>
          <w:rFonts w:ascii="宋体" w:eastAsia="宋体" w:hAnsi="宋体" w:cs="微软雅黑" w:hint="eastAsia"/>
          <w:sz w:val="24"/>
          <w:szCs w:val="24"/>
        </w:rPr>
        <w:t>法律法规及中国证监会规定的和</w:t>
      </w:r>
      <w:r>
        <w:rPr>
          <w:rFonts w:ascii="宋体" w:eastAsia="宋体" w:hAnsi="宋体" w:cs="Malgun Gothic Semilight"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约定的其他情形</w:t>
      </w:r>
      <w:r>
        <w:rPr>
          <w:rFonts w:ascii="宋体" w:eastAsia="宋体" w:hAnsi="宋体" w:cs="Malgun Gothic Semilight" w:hint="eastAsia"/>
          <w:sz w:val="24"/>
          <w:szCs w:val="24"/>
        </w:rPr>
        <w:t>。</w:t>
      </w:r>
    </w:p>
    <w:p w14:paraId="150BD09E"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微软雅黑" w:hint="eastAsia"/>
          <w:sz w:val="24"/>
          <w:szCs w:val="24"/>
        </w:rPr>
        <w:t>基金管理人的更换程序</w:t>
      </w:r>
    </w:p>
    <w:p w14:paraId="014F076F"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更换基金管理人必须依照如下程序进行</w:t>
      </w:r>
      <w:r>
        <w:rPr>
          <w:rFonts w:ascii="宋体" w:eastAsia="宋体" w:hAnsi="宋体" w:cs="Malgun Gothic Semilight" w:hint="eastAsia"/>
          <w:sz w:val="24"/>
          <w:szCs w:val="24"/>
        </w:rPr>
        <w:t>：</w:t>
      </w:r>
    </w:p>
    <w:p w14:paraId="4FDCCC1E"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w:t>
      </w:r>
      <w:r>
        <w:rPr>
          <w:rFonts w:ascii="宋体" w:eastAsia="宋体" w:hAnsi="宋体" w:cs="微软雅黑" w:hint="eastAsia"/>
          <w:sz w:val="24"/>
          <w:szCs w:val="24"/>
        </w:rPr>
        <w:t>提名</w:t>
      </w:r>
      <w:r>
        <w:rPr>
          <w:rFonts w:ascii="宋体" w:eastAsia="宋体" w:hAnsi="宋体" w:cs="Malgun Gothic Semilight" w:hint="eastAsia"/>
          <w:sz w:val="24"/>
          <w:szCs w:val="24"/>
        </w:rPr>
        <w:t>：</w:t>
      </w:r>
      <w:proofErr w:type="gramStart"/>
      <w:r>
        <w:rPr>
          <w:rFonts w:ascii="宋体" w:eastAsia="宋体" w:hAnsi="宋体" w:cs="微软雅黑" w:hint="eastAsia"/>
          <w:sz w:val="24"/>
          <w:szCs w:val="24"/>
        </w:rPr>
        <w:t>新任基金</w:t>
      </w:r>
      <w:proofErr w:type="gramEnd"/>
      <w:r>
        <w:rPr>
          <w:rFonts w:ascii="宋体" w:eastAsia="宋体" w:hAnsi="宋体" w:cs="微软雅黑" w:hint="eastAsia"/>
          <w:sz w:val="24"/>
          <w:szCs w:val="24"/>
        </w:rPr>
        <w:t>管理人由基金托管人或由单独或合计持有</w:t>
      </w:r>
      <w:r>
        <w:rPr>
          <w:rFonts w:ascii="宋体" w:eastAsia="宋体" w:hAnsi="宋体" w:cs="Times New Roman" w:hint="eastAsia"/>
          <w:sz w:val="24"/>
          <w:szCs w:val="24"/>
        </w:rPr>
        <w:t>10%</w:t>
      </w:r>
      <w:r>
        <w:rPr>
          <w:rFonts w:ascii="宋体" w:eastAsia="宋体" w:hAnsi="宋体" w:cs="微软雅黑" w:hint="eastAsia"/>
          <w:sz w:val="24"/>
          <w:szCs w:val="24"/>
        </w:rPr>
        <w:t>以上</w:t>
      </w:r>
      <w:r>
        <w:rPr>
          <w:rFonts w:ascii="宋体" w:eastAsia="宋体" w:hAnsi="宋体" w:cs="Times New Roman" w:hint="eastAsia"/>
          <w:sz w:val="24"/>
          <w:szCs w:val="24"/>
        </w:rPr>
        <w:t>（</w:t>
      </w:r>
      <w:r>
        <w:rPr>
          <w:rFonts w:ascii="宋体" w:eastAsia="宋体" w:hAnsi="宋体" w:cs="微软雅黑" w:hint="eastAsia"/>
          <w:sz w:val="24"/>
          <w:szCs w:val="24"/>
        </w:rPr>
        <w:t>含</w:t>
      </w:r>
      <w:r>
        <w:rPr>
          <w:rFonts w:ascii="宋体" w:eastAsia="宋体" w:hAnsi="宋体" w:cs="Times New Roman" w:hint="eastAsia"/>
          <w:sz w:val="24"/>
          <w:szCs w:val="24"/>
        </w:rPr>
        <w:t>10%）</w:t>
      </w:r>
      <w:r>
        <w:rPr>
          <w:rFonts w:ascii="宋体" w:eastAsia="宋体" w:hAnsi="宋体" w:cs="微软雅黑" w:hint="eastAsia"/>
          <w:sz w:val="24"/>
          <w:szCs w:val="24"/>
        </w:rPr>
        <w:t>基金份额的基金份额持有人提名</w:t>
      </w:r>
      <w:r>
        <w:rPr>
          <w:rFonts w:ascii="宋体" w:eastAsia="宋体" w:hAnsi="宋体" w:cs="Malgun Gothic Semilight" w:hint="eastAsia"/>
          <w:sz w:val="24"/>
          <w:szCs w:val="24"/>
        </w:rPr>
        <w:t>；</w:t>
      </w:r>
    </w:p>
    <w:p w14:paraId="648F8DD6"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微软雅黑" w:hint="eastAsia"/>
          <w:sz w:val="24"/>
          <w:szCs w:val="24"/>
        </w:rPr>
        <w:t>决议</w:t>
      </w:r>
      <w:r>
        <w:rPr>
          <w:rFonts w:ascii="宋体" w:eastAsia="宋体" w:hAnsi="宋体" w:cs="Malgun Gothic Semilight" w:hint="eastAsia"/>
          <w:sz w:val="24"/>
          <w:szCs w:val="24"/>
        </w:rPr>
        <w:t>：</w:t>
      </w:r>
      <w:r>
        <w:rPr>
          <w:rFonts w:ascii="宋体" w:eastAsia="宋体" w:hAnsi="宋体" w:cs="微软雅黑" w:hint="eastAsia"/>
          <w:sz w:val="24"/>
          <w:szCs w:val="24"/>
        </w:rPr>
        <w:t>基金份额持有人大会在基金管理人职责终止后</w:t>
      </w:r>
      <w:r>
        <w:rPr>
          <w:rFonts w:ascii="宋体" w:eastAsia="宋体" w:hAnsi="宋体" w:cs="Arial" w:hint="eastAsia"/>
          <w:sz w:val="24"/>
          <w:szCs w:val="24"/>
        </w:rPr>
        <w:t>6</w:t>
      </w:r>
      <w:r>
        <w:rPr>
          <w:rFonts w:ascii="宋体" w:eastAsia="宋体" w:hAnsi="宋体" w:cs="微软雅黑" w:hint="eastAsia"/>
          <w:sz w:val="24"/>
          <w:szCs w:val="24"/>
        </w:rPr>
        <w:t>个月内对被提名的基金管理人形成决议</w:t>
      </w:r>
      <w:r>
        <w:rPr>
          <w:rFonts w:ascii="宋体" w:eastAsia="宋体" w:hAnsi="宋体" w:cs="Malgun Gothic Semilight" w:hint="eastAsia"/>
          <w:sz w:val="24"/>
          <w:szCs w:val="24"/>
        </w:rPr>
        <w:t>，</w:t>
      </w:r>
      <w:r>
        <w:rPr>
          <w:rFonts w:ascii="宋体" w:eastAsia="宋体" w:hAnsi="宋体" w:cs="微软雅黑" w:hint="eastAsia"/>
          <w:sz w:val="24"/>
          <w:szCs w:val="24"/>
        </w:rPr>
        <w:t>该决议需经参加大会的基金份额持有人所持表决权的三分之二以上</w:t>
      </w:r>
      <w:r>
        <w:rPr>
          <w:rFonts w:ascii="宋体" w:eastAsia="宋体" w:hAnsi="宋体" w:cs="Arial" w:hint="eastAsia"/>
          <w:sz w:val="24"/>
          <w:szCs w:val="24"/>
        </w:rPr>
        <w:t>（</w:t>
      </w:r>
      <w:r>
        <w:rPr>
          <w:rFonts w:ascii="宋体" w:eastAsia="宋体" w:hAnsi="宋体" w:cs="微软雅黑" w:hint="eastAsia"/>
          <w:sz w:val="24"/>
          <w:szCs w:val="24"/>
        </w:rPr>
        <w:t>含三分之二</w:t>
      </w:r>
      <w:r>
        <w:rPr>
          <w:rFonts w:ascii="宋体" w:eastAsia="宋体" w:hAnsi="宋体" w:cs="Arial" w:hint="eastAsia"/>
          <w:sz w:val="24"/>
          <w:szCs w:val="24"/>
        </w:rPr>
        <w:t>）</w:t>
      </w:r>
      <w:r>
        <w:rPr>
          <w:rFonts w:ascii="宋体" w:eastAsia="宋体" w:hAnsi="宋体" w:cs="微软雅黑" w:hint="eastAsia"/>
          <w:sz w:val="24"/>
          <w:szCs w:val="24"/>
        </w:rPr>
        <w:t>表决通过，决议自表决通过之日起生效</w:t>
      </w:r>
      <w:r>
        <w:rPr>
          <w:rFonts w:ascii="宋体" w:eastAsia="宋体" w:hAnsi="宋体" w:cs="Malgun Gothic Semilight" w:hint="eastAsia"/>
          <w:sz w:val="24"/>
          <w:szCs w:val="24"/>
        </w:rPr>
        <w:t>；</w:t>
      </w:r>
    </w:p>
    <w:p w14:paraId="72414878"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（3）</w:t>
      </w:r>
      <w:r>
        <w:rPr>
          <w:rFonts w:ascii="宋体" w:eastAsia="宋体" w:hAnsi="宋体" w:cs="微软雅黑" w:hint="eastAsia"/>
          <w:sz w:val="24"/>
          <w:szCs w:val="24"/>
        </w:rPr>
        <w:t>临时基金管理人</w:t>
      </w:r>
      <w:r>
        <w:rPr>
          <w:rFonts w:ascii="宋体" w:eastAsia="宋体" w:hAnsi="宋体" w:cs="Malgun Gothic Semilight" w:hint="eastAsia"/>
          <w:sz w:val="24"/>
          <w:szCs w:val="24"/>
        </w:rPr>
        <w:t>：</w:t>
      </w:r>
      <w:proofErr w:type="gramStart"/>
      <w:r>
        <w:rPr>
          <w:rFonts w:ascii="宋体" w:eastAsia="宋体" w:hAnsi="宋体" w:cs="微软雅黑" w:hint="eastAsia"/>
          <w:sz w:val="24"/>
          <w:szCs w:val="24"/>
        </w:rPr>
        <w:t>新任基金</w:t>
      </w:r>
      <w:proofErr w:type="gramEnd"/>
      <w:r>
        <w:rPr>
          <w:rFonts w:ascii="宋体" w:eastAsia="宋体" w:hAnsi="宋体" w:cs="微软雅黑" w:hint="eastAsia"/>
          <w:sz w:val="24"/>
          <w:szCs w:val="24"/>
        </w:rPr>
        <w:t>管理人产生之前</w:t>
      </w:r>
      <w:r>
        <w:rPr>
          <w:rFonts w:ascii="宋体" w:eastAsia="宋体" w:hAnsi="宋体" w:cs="Malgun Gothic Semilight" w:hint="eastAsia"/>
          <w:sz w:val="24"/>
          <w:szCs w:val="24"/>
        </w:rPr>
        <w:t>，</w:t>
      </w:r>
      <w:r>
        <w:rPr>
          <w:rFonts w:ascii="宋体" w:eastAsia="宋体" w:hAnsi="宋体" w:cs="微软雅黑" w:hint="eastAsia"/>
          <w:sz w:val="24"/>
          <w:szCs w:val="24"/>
        </w:rPr>
        <w:t>由中国证监会指定临时基金管理人</w:t>
      </w:r>
      <w:r>
        <w:rPr>
          <w:rFonts w:ascii="宋体" w:eastAsia="宋体" w:hAnsi="宋体" w:cs="Malgun Gothic Semilight" w:hint="eastAsia"/>
          <w:sz w:val="24"/>
          <w:szCs w:val="24"/>
        </w:rPr>
        <w:t>；</w:t>
      </w:r>
    </w:p>
    <w:p w14:paraId="4D861BDA"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（4）</w:t>
      </w:r>
      <w:r>
        <w:rPr>
          <w:rFonts w:ascii="宋体" w:eastAsia="宋体" w:hAnsi="宋体" w:cs="微软雅黑" w:hint="eastAsia"/>
          <w:sz w:val="24"/>
          <w:szCs w:val="24"/>
        </w:rPr>
        <w:t>备案</w:t>
      </w:r>
      <w:r>
        <w:rPr>
          <w:rFonts w:ascii="宋体" w:eastAsia="宋体" w:hAnsi="宋体" w:cs="Malgun Gothic Semilight" w:hint="eastAsia"/>
          <w:sz w:val="24"/>
          <w:szCs w:val="24"/>
        </w:rPr>
        <w:t>：</w:t>
      </w:r>
      <w:r>
        <w:rPr>
          <w:rFonts w:ascii="宋体" w:eastAsia="宋体" w:hAnsi="宋体" w:cs="微软雅黑" w:hint="eastAsia"/>
          <w:sz w:val="24"/>
          <w:szCs w:val="24"/>
        </w:rPr>
        <w:t>基金份额持有人大会更换基金管理人的决议须报中国证监会备案</w:t>
      </w:r>
      <w:r>
        <w:rPr>
          <w:rFonts w:ascii="宋体" w:eastAsia="宋体" w:hAnsi="宋体" w:cs="Malgun Gothic Semilight" w:hint="eastAsia"/>
          <w:sz w:val="24"/>
          <w:szCs w:val="24"/>
        </w:rPr>
        <w:t>；</w:t>
      </w:r>
    </w:p>
    <w:p w14:paraId="2CE76891"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（5）</w:t>
      </w:r>
      <w:r>
        <w:rPr>
          <w:rFonts w:ascii="宋体" w:eastAsia="宋体" w:hAnsi="宋体" w:cs="微软雅黑" w:hint="eastAsia"/>
          <w:sz w:val="24"/>
          <w:szCs w:val="24"/>
        </w:rPr>
        <w:t>公告</w:t>
      </w:r>
      <w:r>
        <w:rPr>
          <w:rFonts w:ascii="宋体" w:eastAsia="宋体" w:hAnsi="宋体" w:cs="Malgun Gothic Semilight" w:hint="eastAsia"/>
          <w:sz w:val="24"/>
          <w:szCs w:val="24"/>
        </w:rPr>
        <w:t>：</w:t>
      </w:r>
      <w:r>
        <w:rPr>
          <w:rFonts w:ascii="宋体" w:eastAsia="宋体" w:hAnsi="宋体" w:cs="微软雅黑" w:hint="eastAsia"/>
          <w:sz w:val="24"/>
          <w:szCs w:val="24"/>
        </w:rPr>
        <w:t>基金管理人更换后</w:t>
      </w:r>
      <w:r>
        <w:rPr>
          <w:rFonts w:ascii="宋体" w:eastAsia="宋体" w:hAnsi="宋体" w:cs="Malgun Gothic Semilight" w:hint="eastAsia"/>
          <w:sz w:val="24"/>
          <w:szCs w:val="24"/>
        </w:rPr>
        <w:t>，</w:t>
      </w:r>
      <w:r>
        <w:rPr>
          <w:rFonts w:ascii="宋体" w:eastAsia="宋体" w:hAnsi="宋体" w:cs="微软雅黑" w:hint="eastAsia"/>
          <w:sz w:val="24"/>
          <w:szCs w:val="24"/>
        </w:rPr>
        <w:t>由基金托管人在更换基金管理人的基金份额持有人大会决议生效后</w:t>
      </w:r>
      <w:r>
        <w:rPr>
          <w:rFonts w:ascii="宋体" w:eastAsia="宋体" w:hAnsi="宋体" w:cs="Arial" w:hint="eastAsia"/>
          <w:sz w:val="24"/>
          <w:szCs w:val="24"/>
        </w:rPr>
        <w:t>依照《信息披露办法》的有关规定</w:t>
      </w:r>
      <w:r>
        <w:rPr>
          <w:rFonts w:ascii="宋体" w:eastAsia="宋体" w:hAnsi="宋体" w:cs="微软雅黑" w:hint="eastAsia"/>
          <w:sz w:val="24"/>
          <w:szCs w:val="24"/>
        </w:rPr>
        <w:t>在规定媒介公告</w:t>
      </w:r>
      <w:r>
        <w:rPr>
          <w:rFonts w:ascii="宋体" w:eastAsia="宋体" w:hAnsi="宋体" w:cs="Arial" w:hint="eastAsia"/>
          <w:sz w:val="24"/>
          <w:szCs w:val="24"/>
        </w:rPr>
        <w:t>；</w:t>
      </w:r>
    </w:p>
    <w:p w14:paraId="44A34B82"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（6）</w:t>
      </w:r>
      <w:r>
        <w:rPr>
          <w:rFonts w:ascii="宋体" w:eastAsia="宋体" w:hAnsi="宋体" w:cs="微软雅黑" w:hint="eastAsia"/>
          <w:sz w:val="24"/>
          <w:szCs w:val="24"/>
        </w:rPr>
        <w:t>交接</w:t>
      </w:r>
      <w:r>
        <w:rPr>
          <w:rFonts w:ascii="宋体" w:eastAsia="宋体" w:hAnsi="宋体" w:cs="Malgun Gothic Semilight" w:hint="eastAsia"/>
          <w:sz w:val="24"/>
          <w:szCs w:val="24"/>
        </w:rPr>
        <w:t>：</w:t>
      </w:r>
      <w:r>
        <w:rPr>
          <w:rFonts w:ascii="宋体" w:eastAsia="宋体" w:hAnsi="宋体" w:cs="微软雅黑" w:hint="eastAsia"/>
          <w:sz w:val="24"/>
          <w:szCs w:val="24"/>
        </w:rPr>
        <w:t>基金管理人职责终止的</w:t>
      </w:r>
      <w:r>
        <w:rPr>
          <w:rFonts w:ascii="宋体" w:eastAsia="宋体" w:hAnsi="宋体" w:cs="Malgun Gothic Semilight" w:hint="eastAsia"/>
          <w:sz w:val="24"/>
          <w:szCs w:val="24"/>
        </w:rPr>
        <w:t>，</w:t>
      </w:r>
      <w:r>
        <w:rPr>
          <w:rFonts w:ascii="宋体" w:eastAsia="宋体" w:hAnsi="宋体" w:cs="微软雅黑" w:hint="eastAsia"/>
          <w:sz w:val="24"/>
          <w:szCs w:val="24"/>
        </w:rPr>
        <w:t>基金管理人应妥善保管基金管理业务资料</w:t>
      </w:r>
      <w:r>
        <w:rPr>
          <w:rFonts w:ascii="宋体" w:eastAsia="宋体" w:hAnsi="宋体" w:cs="Malgun Gothic Semilight" w:hint="eastAsia"/>
          <w:sz w:val="24"/>
          <w:szCs w:val="24"/>
        </w:rPr>
        <w:t>，</w:t>
      </w:r>
      <w:r>
        <w:rPr>
          <w:rFonts w:ascii="宋体" w:eastAsia="宋体" w:hAnsi="宋体" w:cs="微软雅黑" w:hint="eastAsia"/>
          <w:sz w:val="24"/>
          <w:szCs w:val="24"/>
        </w:rPr>
        <w:t>及时向临时基金管理人或</w:t>
      </w:r>
      <w:proofErr w:type="gramStart"/>
      <w:r>
        <w:rPr>
          <w:rFonts w:ascii="宋体" w:eastAsia="宋体" w:hAnsi="宋体" w:cs="微软雅黑" w:hint="eastAsia"/>
          <w:sz w:val="24"/>
          <w:szCs w:val="24"/>
        </w:rPr>
        <w:t>新任基金</w:t>
      </w:r>
      <w:proofErr w:type="gramEnd"/>
      <w:r>
        <w:rPr>
          <w:rFonts w:ascii="宋体" w:eastAsia="宋体" w:hAnsi="宋体" w:cs="微软雅黑" w:hint="eastAsia"/>
          <w:sz w:val="24"/>
          <w:szCs w:val="24"/>
        </w:rPr>
        <w:t>管理人办理基金管理业务的移交手续</w:t>
      </w:r>
      <w:r>
        <w:rPr>
          <w:rFonts w:ascii="宋体" w:eastAsia="宋体" w:hAnsi="宋体" w:cs="Malgun Gothic Semilight" w:hint="eastAsia"/>
          <w:sz w:val="24"/>
          <w:szCs w:val="24"/>
        </w:rPr>
        <w:t>，</w:t>
      </w:r>
      <w:r>
        <w:rPr>
          <w:rFonts w:ascii="宋体" w:eastAsia="宋体" w:hAnsi="宋体" w:cs="微软雅黑" w:hint="eastAsia"/>
          <w:sz w:val="24"/>
          <w:szCs w:val="24"/>
        </w:rPr>
        <w:t>临时基金管理人或</w:t>
      </w:r>
      <w:proofErr w:type="gramStart"/>
      <w:r>
        <w:rPr>
          <w:rFonts w:ascii="宋体" w:eastAsia="宋体" w:hAnsi="宋体" w:cs="微软雅黑" w:hint="eastAsia"/>
          <w:sz w:val="24"/>
          <w:szCs w:val="24"/>
        </w:rPr>
        <w:t>新任基金</w:t>
      </w:r>
      <w:proofErr w:type="gramEnd"/>
      <w:r>
        <w:rPr>
          <w:rFonts w:ascii="宋体" w:eastAsia="宋体" w:hAnsi="宋体" w:cs="微软雅黑" w:hint="eastAsia"/>
          <w:sz w:val="24"/>
          <w:szCs w:val="24"/>
        </w:rPr>
        <w:t>管理人应及时接收</w:t>
      </w:r>
      <w:r>
        <w:rPr>
          <w:rFonts w:ascii="宋体" w:eastAsia="宋体" w:hAnsi="宋体" w:cs="Malgun Gothic Semilight" w:hint="eastAsia"/>
          <w:sz w:val="24"/>
          <w:szCs w:val="24"/>
        </w:rPr>
        <w:t>。</w:t>
      </w:r>
      <w:r>
        <w:rPr>
          <w:rFonts w:ascii="宋体" w:eastAsia="宋体" w:hAnsi="宋体" w:cs="微软雅黑" w:hint="eastAsia"/>
          <w:sz w:val="24"/>
          <w:szCs w:val="24"/>
        </w:rPr>
        <w:t>临时基金管理人或</w:t>
      </w:r>
      <w:proofErr w:type="gramStart"/>
      <w:r>
        <w:rPr>
          <w:rFonts w:ascii="宋体" w:eastAsia="宋体" w:hAnsi="宋体" w:cs="微软雅黑" w:hint="eastAsia"/>
          <w:sz w:val="24"/>
          <w:szCs w:val="24"/>
        </w:rPr>
        <w:t>新任基金</w:t>
      </w:r>
      <w:proofErr w:type="gramEnd"/>
      <w:r>
        <w:rPr>
          <w:rFonts w:ascii="宋体" w:eastAsia="宋体" w:hAnsi="宋体" w:cs="微软雅黑" w:hint="eastAsia"/>
          <w:sz w:val="24"/>
          <w:szCs w:val="24"/>
        </w:rPr>
        <w:t>管理人应与基金托管人核对基金净值信息</w:t>
      </w:r>
      <w:r>
        <w:rPr>
          <w:rFonts w:ascii="宋体" w:eastAsia="宋体" w:hAnsi="宋体" w:cs="Arial" w:hint="eastAsia"/>
          <w:sz w:val="24"/>
          <w:szCs w:val="24"/>
        </w:rPr>
        <w:t>；</w:t>
      </w:r>
    </w:p>
    <w:p w14:paraId="479482FB"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lastRenderedPageBreak/>
        <w:t>（7）</w:t>
      </w:r>
      <w:r>
        <w:rPr>
          <w:rFonts w:ascii="宋体" w:eastAsia="宋体" w:hAnsi="宋体" w:cs="微软雅黑" w:hint="eastAsia"/>
          <w:sz w:val="24"/>
          <w:szCs w:val="24"/>
        </w:rPr>
        <w:t>审计</w:t>
      </w:r>
      <w:r>
        <w:rPr>
          <w:rFonts w:ascii="宋体" w:eastAsia="宋体" w:hAnsi="宋体" w:cs="Malgun Gothic Semilight" w:hint="eastAsia"/>
          <w:sz w:val="24"/>
          <w:szCs w:val="24"/>
        </w:rPr>
        <w:t>：</w:t>
      </w:r>
      <w:r>
        <w:rPr>
          <w:rFonts w:ascii="宋体" w:eastAsia="宋体" w:hAnsi="宋体" w:cs="微软雅黑" w:hint="eastAsia"/>
          <w:sz w:val="24"/>
          <w:szCs w:val="24"/>
        </w:rPr>
        <w:t>基金管理人职责终止的</w:t>
      </w:r>
      <w:r>
        <w:rPr>
          <w:rFonts w:ascii="宋体" w:eastAsia="宋体" w:hAnsi="宋体" w:cs="Malgun Gothic Semilight" w:hint="eastAsia"/>
          <w:sz w:val="24"/>
          <w:szCs w:val="24"/>
        </w:rPr>
        <w:t>，</w:t>
      </w:r>
      <w:r>
        <w:rPr>
          <w:rFonts w:ascii="宋体" w:eastAsia="宋体" w:hAnsi="宋体" w:cs="微软雅黑" w:hint="eastAsia"/>
          <w:sz w:val="24"/>
          <w:szCs w:val="24"/>
        </w:rPr>
        <w:t>应当聘请符合《证券法》规定的会计师事务所对基金财产进行审计</w:t>
      </w:r>
      <w:r>
        <w:rPr>
          <w:rFonts w:ascii="宋体" w:eastAsia="宋体" w:hAnsi="宋体" w:cs="Malgun Gothic Semilight" w:hint="eastAsia"/>
          <w:sz w:val="24"/>
          <w:szCs w:val="24"/>
        </w:rPr>
        <w:t>，</w:t>
      </w:r>
      <w:r>
        <w:rPr>
          <w:rFonts w:ascii="宋体" w:eastAsia="宋体" w:hAnsi="宋体" w:cs="微软雅黑" w:hint="eastAsia"/>
          <w:sz w:val="24"/>
          <w:szCs w:val="24"/>
        </w:rPr>
        <w:t>并将审计结果予以公告</w:t>
      </w:r>
      <w:r>
        <w:rPr>
          <w:rFonts w:ascii="宋体" w:eastAsia="宋体" w:hAnsi="宋体" w:cs="Malgun Gothic Semilight" w:hint="eastAsia"/>
          <w:sz w:val="24"/>
          <w:szCs w:val="24"/>
        </w:rPr>
        <w:t>，</w:t>
      </w:r>
      <w:r>
        <w:rPr>
          <w:rFonts w:ascii="宋体" w:eastAsia="宋体" w:hAnsi="宋体" w:cs="微软雅黑" w:hint="eastAsia"/>
          <w:sz w:val="24"/>
          <w:szCs w:val="24"/>
        </w:rPr>
        <w:t>同时报中国证监会备案，审计费用从基金财产中列支</w:t>
      </w:r>
      <w:r>
        <w:rPr>
          <w:rFonts w:ascii="宋体" w:eastAsia="宋体" w:hAnsi="宋体" w:cs="Malgun Gothic Semilight" w:hint="eastAsia"/>
          <w:sz w:val="24"/>
          <w:szCs w:val="24"/>
        </w:rPr>
        <w:t>；</w:t>
      </w:r>
    </w:p>
    <w:p w14:paraId="2771BF56" w14:textId="77777777" w:rsidR="00F012EE" w:rsidRDefault="00477FBC">
      <w:pPr>
        <w:adjustRightInd w:val="0"/>
        <w:snapToGrid w:val="0"/>
        <w:spacing w:line="360" w:lineRule="auto"/>
        <w:ind w:firstLineChars="200" w:firstLine="480"/>
        <w:rPr>
          <w:rFonts w:ascii="宋体" w:eastAsia="宋体" w:hAnsi="宋体" w:cs="Times New Roman"/>
          <w:sz w:val="30"/>
          <w:szCs w:val="30"/>
        </w:rPr>
      </w:pPr>
      <w:r>
        <w:rPr>
          <w:rFonts w:ascii="宋体" w:eastAsia="宋体" w:hAnsi="宋体" w:cs="Arial" w:hint="eastAsia"/>
          <w:sz w:val="24"/>
          <w:szCs w:val="24"/>
        </w:rPr>
        <w:t>（8）</w:t>
      </w:r>
      <w:r>
        <w:rPr>
          <w:rFonts w:ascii="宋体" w:eastAsia="宋体" w:hAnsi="宋体" w:cs="微软雅黑" w:hint="eastAsia"/>
          <w:sz w:val="24"/>
          <w:szCs w:val="24"/>
        </w:rPr>
        <w:t>基金名称变更</w:t>
      </w:r>
      <w:r>
        <w:rPr>
          <w:rFonts w:ascii="宋体" w:eastAsia="宋体" w:hAnsi="宋体" w:cs="Malgun Gothic Semilight" w:hint="eastAsia"/>
          <w:sz w:val="24"/>
          <w:szCs w:val="24"/>
        </w:rPr>
        <w:t>：</w:t>
      </w:r>
      <w:r>
        <w:rPr>
          <w:rFonts w:ascii="宋体" w:eastAsia="宋体" w:hAnsi="宋体" w:cs="微软雅黑" w:hint="eastAsia"/>
          <w:sz w:val="24"/>
          <w:szCs w:val="24"/>
        </w:rPr>
        <w:t>基金管理人更换后</w:t>
      </w:r>
      <w:r>
        <w:rPr>
          <w:rFonts w:ascii="宋体" w:eastAsia="宋体" w:hAnsi="宋体" w:cs="Malgun Gothic Semilight" w:hint="eastAsia"/>
          <w:sz w:val="24"/>
          <w:szCs w:val="24"/>
        </w:rPr>
        <w:t>，</w:t>
      </w:r>
      <w:r>
        <w:rPr>
          <w:rFonts w:ascii="宋体" w:eastAsia="宋体" w:hAnsi="宋体" w:cs="微软雅黑" w:hint="eastAsia"/>
          <w:sz w:val="24"/>
          <w:szCs w:val="24"/>
        </w:rPr>
        <w:t>如果原任或</w:t>
      </w:r>
      <w:proofErr w:type="gramStart"/>
      <w:r>
        <w:rPr>
          <w:rFonts w:ascii="宋体" w:eastAsia="宋体" w:hAnsi="宋体" w:cs="微软雅黑" w:hint="eastAsia"/>
          <w:sz w:val="24"/>
          <w:szCs w:val="24"/>
        </w:rPr>
        <w:t>新任基金</w:t>
      </w:r>
      <w:proofErr w:type="gramEnd"/>
      <w:r>
        <w:rPr>
          <w:rFonts w:ascii="宋体" w:eastAsia="宋体" w:hAnsi="宋体" w:cs="微软雅黑" w:hint="eastAsia"/>
          <w:sz w:val="24"/>
          <w:szCs w:val="24"/>
        </w:rPr>
        <w:t>管理人要求</w:t>
      </w:r>
      <w:r>
        <w:rPr>
          <w:rFonts w:ascii="宋体" w:eastAsia="宋体" w:hAnsi="宋体" w:cs="Malgun Gothic Semilight" w:hint="eastAsia"/>
          <w:sz w:val="24"/>
          <w:szCs w:val="24"/>
        </w:rPr>
        <w:t>，</w:t>
      </w:r>
      <w:r>
        <w:rPr>
          <w:rFonts w:ascii="宋体" w:eastAsia="宋体" w:hAnsi="宋体" w:cs="微软雅黑" w:hint="eastAsia"/>
          <w:sz w:val="24"/>
          <w:szCs w:val="24"/>
        </w:rPr>
        <w:t>应按其要求替换或删除基金名称中与</w:t>
      </w:r>
      <w:proofErr w:type="gramStart"/>
      <w:r>
        <w:rPr>
          <w:rFonts w:ascii="宋体" w:eastAsia="宋体" w:hAnsi="宋体" w:cs="微软雅黑" w:hint="eastAsia"/>
          <w:sz w:val="24"/>
          <w:szCs w:val="24"/>
        </w:rPr>
        <w:t>原基金</w:t>
      </w:r>
      <w:proofErr w:type="gramEnd"/>
      <w:r>
        <w:rPr>
          <w:rFonts w:ascii="宋体" w:eastAsia="宋体" w:hAnsi="宋体" w:cs="微软雅黑" w:hint="eastAsia"/>
          <w:sz w:val="24"/>
          <w:szCs w:val="24"/>
        </w:rPr>
        <w:t>管理人有关的名称字样</w:t>
      </w:r>
      <w:r>
        <w:rPr>
          <w:rFonts w:ascii="宋体" w:eastAsia="宋体" w:hAnsi="宋体" w:cs="Malgun Gothic Semilight" w:hint="eastAsia"/>
          <w:sz w:val="24"/>
          <w:szCs w:val="24"/>
        </w:rPr>
        <w:t>。</w:t>
      </w:r>
    </w:p>
    <w:p w14:paraId="51C60C26"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二</w:t>
      </w:r>
      <w:r>
        <w:rPr>
          <w:rFonts w:ascii="宋体" w:eastAsia="宋体" w:hAnsi="宋体" w:cs="Malgun Gothic Semilight" w:hint="eastAsia"/>
          <w:sz w:val="24"/>
          <w:szCs w:val="24"/>
        </w:rPr>
        <w:t>）</w:t>
      </w:r>
      <w:r>
        <w:rPr>
          <w:rFonts w:ascii="宋体" w:eastAsia="宋体" w:hAnsi="宋体" w:cs="微软雅黑" w:hint="eastAsia"/>
          <w:sz w:val="24"/>
          <w:szCs w:val="24"/>
        </w:rPr>
        <w:t>基金托管人职责终止的情形</w:t>
      </w:r>
    </w:p>
    <w:p w14:paraId="35CCF9B4"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w:t>
      </w:r>
      <w:r>
        <w:rPr>
          <w:rFonts w:ascii="宋体" w:eastAsia="宋体" w:hAnsi="宋体" w:cs="微软雅黑" w:hint="eastAsia"/>
          <w:sz w:val="24"/>
          <w:szCs w:val="24"/>
        </w:rPr>
        <w:t>基金托管人职责终止的情形</w:t>
      </w:r>
    </w:p>
    <w:p w14:paraId="13943773"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有下列情形之一的</w:t>
      </w:r>
      <w:r>
        <w:rPr>
          <w:rFonts w:ascii="宋体" w:eastAsia="宋体" w:hAnsi="宋体" w:cs="Malgun Gothic Semilight" w:hint="eastAsia"/>
          <w:sz w:val="24"/>
          <w:szCs w:val="24"/>
        </w:rPr>
        <w:t>，</w:t>
      </w:r>
      <w:r>
        <w:rPr>
          <w:rFonts w:ascii="宋体" w:eastAsia="宋体" w:hAnsi="宋体" w:cs="微软雅黑" w:hint="eastAsia"/>
          <w:sz w:val="24"/>
          <w:szCs w:val="24"/>
        </w:rPr>
        <w:t>基金托管人职责终止</w:t>
      </w:r>
      <w:r>
        <w:rPr>
          <w:rFonts w:ascii="宋体" w:eastAsia="宋体" w:hAnsi="宋体" w:cs="Malgun Gothic Semilight" w:hint="eastAsia"/>
          <w:sz w:val="24"/>
          <w:szCs w:val="24"/>
        </w:rPr>
        <w:t>：</w:t>
      </w:r>
    </w:p>
    <w:p w14:paraId="381FEE13"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w:t>
      </w:r>
      <w:r>
        <w:rPr>
          <w:rFonts w:ascii="宋体" w:eastAsia="宋体" w:hAnsi="宋体" w:cs="微软雅黑" w:hint="eastAsia"/>
          <w:sz w:val="24"/>
          <w:szCs w:val="24"/>
        </w:rPr>
        <w:t>被依法取消基金托管资格</w:t>
      </w:r>
      <w:r>
        <w:rPr>
          <w:rFonts w:ascii="宋体" w:eastAsia="宋体" w:hAnsi="宋体" w:cs="Malgun Gothic Semilight" w:hint="eastAsia"/>
          <w:sz w:val="24"/>
          <w:szCs w:val="24"/>
        </w:rPr>
        <w:t>；</w:t>
      </w:r>
    </w:p>
    <w:p w14:paraId="3BFD2AB1"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微软雅黑" w:hint="eastAsia"/>
          <w:sz w:val="24"/>
          <w:szCs w:val="24"/>
        </w:rPr>
        <w:t>依法解散</w:t>
      </w:r>
      <w:r>
        <w:rPr>
          <w:rFonts w:ascii="宋体" w:eastAsia="宋体" w:hAnsi="宋体" w:cs="Malgun Gothic Semilight" w:hint="eastAsia"/>
          <w:sz w:val="24"/>
          <w:szCs w:val="24"/>
        </w:rPr>
        <w:t>、</w:t>
      </w:r>
      <w:r>
        <w:rPr>
          <w:rFonts w:ascii="宋体" w:eastAsia="宋体" w:hAnsi="宋体" w:cs="微软雅黑" w:hint="eastAsia"/>
          <w:sz w:val="24"/>
          <w:szCs w:val="24"/>
        </w:rPr>
        <w:t>被依法撤销或被依法宣告破产</w:t>
      </w:r>
      <w:r>
        <w:rPr>
          <w:rFonts w:ascii="宋体" w:eastAsia="宋体" w:hAnsi="宋体" w:cs="Malgun Gothic Semilight" w:hint="eastAsia"/>
          <w:sz w:val="24"/>
          <w:szCs w:val="24"/>
        </w:rPr>
        <w:t>；</w:t>
      </w:r>
    </w:p>
    <w:p w14:paraId="7A5B8F54"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（3）</w:t>
      </w:r>
      <w:r>
        <w:rPr>
          <w:rFonts w:ascii="宋体" w:eastAsia="宋体" w:hAnsi="宋体" w:cs="微软雅黑" w:hint="eastAsia"/>
          <w:sz w:val="24"/>
          <w:szCs w:val="24"/>
        </w:rPr>
        <w:t>被基金份额持有人大会解任</w:t>
      </w:r>
      <w:r>
        <w:rPr>
          <w:rFonts w:ascii="宋体" w:eastAsia="宋体" w:hAnsi="宋体" w:cs="Malgun Gothic Semilight" w:hint="eastAsia"/>
          <w:sz w:val="24"/>
          <w:szCs w:val="24"/>
        </w:rPr>
        <w:t>；</w:t>
      </w:r>
    </w:p>
    <w:p w14:paraId="25969136"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（4）</w:t>
      </w:r>
      <w:r>
        <w:rPr>
          <w:rFonts w:ascii="宋体" w:eastAsia="宋体" w:hAnsi="宋体" w:cs="微软雅黑" w:hint="eastAsia"/>
          <w:sz w:val="24"/>
          <w:szCs w:val="24"/>
        </w:rPr>
        <w:t>法律法规及中国证监会规定的和</w:t>
      </w:r>
      <w:r>
        <w:rPr>
          <w:rFonts w:ascii="宋体" w:eastAsia="宋体" w:hAnsi="宋体" w:cs="Malgun Gothic Semilight"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约定的其他情形</w:t>
      </w:r>
      <w:r>
        <w:rPr>
          <w:rFonts w:ascii="宋体" w:eastAsia="宋体" w:hAnsi="宋体" w:cs="Malgun Gothic Semilight" w:hint="eastAsia"/>
          <w:sz w:val="24"/>
          <w:szCs w:val="24"/>
        </w:rPr>
        <w:t>。</w:t>
      </w:r>
    </w:p>
    <w:p w14:paraId="1C4D9CA9"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微软雅黑" w:hint="eastAsia"/>
          <w:sz w:val="24"/>
          <w:szCs w:val="24"/>
        </w:rPr>
        <w:t>基金托管人的更换程序</w:t>
      </w:r>
    </w:p>
    <w:p w14:paraId="687FC347"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w:t>
      </w:r>
      <w:r>
        <w:rPr>
          <w:rFonts w:ascii="宋体" w:eastAsia="宋体" w:hAnsi="宋体" w:cs="微软雅黑" w:hint="eastAsia"/>
          <w:sz w:val="24"/>
          <w:szCs w:val="24"/>
        </w:rPr>
        <w:t>提名</w:t>
      </w:r>
      <w:r>
        <w:rPr>
          <w:rFonts w:ascii="宋体" w:eastAsia="宋体" w:hAnsi="宋体" w:cs="Malgun Gothic Semilight" w:hint="eastAsia"/>
          <w:sz w:val="24"/>
          <w:szCs w:val="24"/>
        </w:rPr>
        <w:t>：</w:t>
      </w:r>
      <w:proofErr w:type="gramStart"/>
      <w:r>
        <w:rPr>
          <w:rFonts w:ascii="宋体" w:eastAsia="宋体" w:hAnsi="宋体" w:cs="微软雅黑" w:hint="eastAsia"/>
          <w:sz w:val="24"/>
          <w:szCs w:val="24"/>
        </w:rPr>
        <w:t>新任基金</w:t>
      </w:r>
      <w:proofErr w:type="gramEnd"/>
      <w:r>
        <w:rPr>
          <w:rFonts w:ascii="宋体" w:eastAsia="宋体" w:hAnsi="宋体" w:cs="微软雅黑" w:hint="eastAsia"/>
          <w:sz w:val="24"/>
          <w:szCs w:val="24"/>
        </w:rPr>
        <w:t>托管人由基金管理人或由单独或合计持有</w:t>
      </w:r>
      <w:r>
        <w:rPr>
          <w:rFonts w:ascii="宋体" w:eastAsia="宋体" w:hAnsi="宋体" w:cs="Times New Roman" w:hint="eastAsia"/>
          <w:sz w:val="24"/>
          <w:szCs w:val="24"/>
        </w:rPr>
        <w:t>10%</w:t>
      </w:r>
      <w:r>
        <w:rPr>
          <w:rFonts w:ascii="宋体" w:eastAsia="宋体" w:hAnsi="宋体" w:cs="微软雅黑" w:hint="eastAsia"/>
          <w:sz w:val="24"/>
          <w:szCs w:val="24"/>
        </w:rPr>
        <w:t>以上</w:t>
      </w:r>
      <w:r>
        <w:rPr>
          <w:rFonts w:ascii="宋体" w:eastAsia="宋体" w:hAnsi="宋体" w:cs="Times New Roman" w:hint="eastAsia"/>
          <w:sz w:val="24"/>
          <w:szCs w:val="24"/>
        </w:rPr>
        <w:t>（</w:t>
      </w:r>
      <w:r>
        <w:rPr>
          <w:rFonts w:ascii="宋体" w:eastAsia="宋体" w:hAnsi="宋体" w:cs="微软雅黑" w:hint="eastAsia"/>
          <w:sz w:val="24"/>
          <w:szCs w:val="24"/>
        </w:rPr>
        <w:t>含</w:t>
      </w:r>
      <w:r>
        <w:rPr>
          <w:rFonts w:ascii="宋体" w:eastAsia="宋体" w:hAnsi="宋体" w:cs="Times New Roman" w:hint="eastAsia"/>
          <w:sz w:val="24"/>
          <w:szCs w:val="24"/>
        </w:rPr>
        <w:t>10%）</w:t>
      </w:r>
      <w:r>
        <w:rPr>
          <w:rFonts w:ascii="宋体" w:eastAsia="宋体" w:hAnsi="宋体" w:cs="微软雅黑" w:hint="eastAsia"/>
          <w:sz w:val="24"/>
          <w:szCs w:val="24"/>
        </w:rPr>
        <w:t>基金份额的基金份额持有人提名</w:t>
      </w:r>
      <w:r>
        <w:rPr>
          <w:rFonts w:ascii="宋体" w:eastAsia="宋体" w:hAnsi="宋体" w:cs="Malgun Gothic Semilight" w:hint="eastAsia"/>
          <w:sz w:val="24"/>
          <w:szCs w:val="24"/>
        </w:rPr>
        <w:t>；</w:t>
      </w:r>
    </w:p>
    <w:p w14:paraId="08736A5D"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微软雅黑" w:hint="eastAsia"/>
          <w:sz w:val="24"/>
          <w:szCs w:val="24"/>
        </w:rPr>
        <w:t>决议</w:t>
      </w:r>
      <w:r>
        <w:rPr>
          <w:rFonts w:ascii="宋体" w:eastAsia="宋体" w:hAnsi="宋体" w:cs="Malgun Gothic Semilight" w:hint="eastAsia"/>
          <w:sz w:val="24"/>
          <w:szCs w:val="24"/>
        </w:rPr>
        <w:t>：</w:t>
      </w:r>
      <w:r>
        <w:rPr>
          <w:rFonts w:ascii="宋体" w:eastAsia="宋体" w:hAnsi="宋体" w:cs="微软雅黑" w:hint="eastAsia"/>
          <w:sz w:val="24"/>
          <w:szCs w:val="24"/>
        </w:rPr>
        <w:t>基金份额持有人大会在基金托管人职责终止后</w:t>
      </w:r>
      <w:r>
        <w:rPr>
          <w:rFonts w:ascii="宋体" w:eastAsia="宋体" w:hAnsi="宋体" w:cs="Arial" w:hint="eastAsia"/>
          <w:sz w:val="24"/>
          <w:szCs w:val="24"/>
        </w:rPr>
        <w:t>6</w:t>
      </w:r>
      <w:r>
        <w:rPr>
          <w:rFonts w:ascii="宋体" w:eastAsia="宋体" w:hAnsi="宋体" w:cs="微软雅黑" w:hint="eastAsia"/>
          <w:sz w:val="24"/>
          <w:szCs w:val="24"/>
        </w:rPr>
        <w:t>个月内对被提名的基金托管人形成决议</w:t>
      </w:r>
      <w:r>
        <w:rPr>
          <w:rFonts w:ascii="宋体" w:eastAsia="宋体" w:hAnsi="宋体" w:cs="Malgun Gothic Semilight" w:hint="eastAsia"/>
          <w:sz w:val="24"/>
          <w:szCs w:val="24"/>
        </w:rPr>
        <w:t>，</w:t>
      </w:r>
      <w:r>
        <w:rPr>
          <w:rFonts w:ascii="宋体" w:eastAsia="宋体" w:hAnsi="宋体" w:cs="微软雅黑" w:hint="eastAsia"/>
          <w:sz w:val="24"/>
          <w:szCs w:val="24"/>
        </w:rPr>
        <w:t>该决议需经参加大会的基金份额持有人所持表决权的三分之二以上</w:t>
      </w:r>
      <w:r>
        <w:rPr>
          <w:rFonts w:ascii="宋体" w:eastAsia="宋体" w:hAnsi="宋体" w:cs="Arial" w:hint="eastAsia"/>
          <w:sz w:val="24"/>
          <w:szCs w:val="24"/>
        </w:rPr>
        <w:t>（</w:t>
      </w:r>
      <w:r>
        <w:rPr>
          <w:rFonts w:ascii="宋体" w:eastAsia="宋体" w:hAnsi="宋体" w:cs="微软雅黑" w:hint="eastAsia"/>
          <w:sz w:val="24"/>
          <w:szCs w:val="24"/>
        </w:rPr>
        <w:t>含三分之二</w:t>
      </w:r>
      <w:r>
        <w:rPr>
          <w:rFonts w:ascii="宋体" w:eastAsia="宋体" w:hAnsi="宋体" w:cs="Arial" w:hint="eastAsia"/>
          <w:sz w:val="24"/>
          <w:szCs w:val="24"/>
        </w:rPr>
        <w:t>）</w:t>
      </w:r>
      <w:r>
        <w:rPr>
          <w:rFonts w:ascii="宋体" w:eastAsia="宋体" w:hAnsi="宋体" w:cs="微软雅黑" w:hint="eastAsia"/>
          <w:sz w:val="24"/>
          <w:szCs w:val="24"/>
        </w:rPr>
        <w:t>表决通过，决议自表决通过之日起生效</w:t>
      </w:r>
      <w:r>
        <w:rPr>
          <w:rFonts w:ascii="宋体" w:eastAsia="宋体" w:hAnsi="宋体" w:cs="Malgun Gothic Semilight" w:hint="eastAsia"/>
          <w:sz w:val="24"/>
          <w:szCs w:val="24"/>
        </w:rPr>
        <w:t>；</w:t>
      </w:r>
    </w:p>
    <w:p w14:paraId="4EC43705"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（3）</w:t>
      </w:r>
      <w:r>
        <w:rPr>
          <w:rFonts w:ascii="宋体" w:eastAsia="宋体" w:hAnsi="宋体" w:cs="微软雅黑" w:hint="eastAsia"/>
          <w:sz w:val="24"/>
          <w:szCs w:val="24"/>
        </w:rPr>
        <w:t>临时基金托管人</w:t>
      </w:r>
      <w:r>
        <w:rPr>
          <w:rFonts w:ascii="宋体" w:eastAsia="宋体" w:hAnsi="宋体" w:cs="Malgun Gothic Semilight" w:hint="eastAsia"/>
          <w:sz w:val="24"/>
          <w:szCs w:val="24"/>
        </w:rPr>
        <w:t>：</w:t>
      </w:r>
      <w:proofErr w:type="gramStart"/>
      <w:r>
        <w:rPr>
          <w:rFonts w:ascii="宋体" w:eastAsia="宋体" w:hAnsi="宋体" w:cs="微软雅黑" w:hint="eastAsia"/>
          <w:sz w:val="24"/>
          <w:szCs w:val="24"/>
        </w:rPr>
        <w:t>新任基金</w:t>
      </w:r>
      <w:proofErr w:type="gramEnd"/>
      <w:r>
        <w:rPr>
          <w:rFonts w:ascii="宋体" w:eastAsia="宋体" w:hAnsi="宋体" w:cs="微软雅黑" w:hint="eastAsia"/>
          <w:sz w:val="24"/>
          <w:szCs w:val="24"/>
        </w:rPr>
        <w:t>托管人产生之前</w:t>
      </w:r>
      <w:r>
        <w:rPr>
          <w:rFonts w:ascii="宋体" w:eastAsia="宋体" w:hAnsi="宋体" w:cs="Malgun Gothic Semilight" w:hint="eastAsia"/>
          <w:sz w:val="24"/>
          <w:szCs w:val="24"/>
        </w:rPr>
        <w:t>，</w:t>
      </w:r>
      <w:r>
        <w:rPr>
          <w:rFonts w:ascii="宋体" w:eastAsia="宋体" w:hAnsi="宋体" w:cs="微软雅黑" w:hint="eastAsia"/>
          <w:sz w:val="24"/>
          <w:szCs w:val="24"/>
        </w:rPr>
        <w:t>由中国证监会指定临时基金托管人</w:t>
      </w:r>
      <w:r>
        <w:rPr>
          <w:rFonts w:ascii="宋体" w:eastAsia="宋体" w:hAnsi="宋体" w:cs="Malgun Gothic Semilight" w:hint="eastAsia"/>
          <w:sz w:val="24"/>
          <w:szCs w:val="24"/>
        </w:rPr>
        <w:t>；</w:t>
      </w:r>
    </w:p>
    <w:p w14:paraId="587F8E5C"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（4）</w:t>
      </w:r>
      <w:r>
        <w:rPr>
          <w:rFonts w:ascii="宋体" w:eastAsia="宋体" w:hAnsi="宋体" w:cs="微软雅黑" w:hint="eastAsia"/>
          <w:sz w:val="24"/>
          <w:szCs w:val="24"/>
        </w:rPr>
        <w:t>备案</w:t>
      </w:r>
      <w:r>
        <w:rPr>
          <w:rFonts w:ascii="宋体" w:eastAsia="宋体" w:hAnsi="宋体" w:cs="Malgun Gothic Semilight" w:hint="eastAsia"/>
          <w:sz w:val="24"/>
          <w:szCs w:val="24"/>
        </w:rPr>
        <w:t>：</w:t>
      </w:r>
      <w:r>
        <w:rPr>
          <w:rFonts w:ascii="宋体" w:eastAsia="宋体" w:hAnsi="宋体" w:cs="微软雅黑" w:hint="eastAsia"/>
          <w:sz w:val="24"/>
          <w:szCs w:val="24"/>
        </w:rPr>
        <w:t>基金份额持有人大会更换基金托管人的决议须报中国证监会备案</w:t>
      </w:r>
      <w:r>
        <w:rPr>
          <w:rFonts w:ascii="宋体" w:eastAsia="宋体" w:hAnsi="宋体" w:cs="Malgun Gothic Semilight" w:hint="eastAsia"/>
          <w:sz w:val="24"/>
          <w:szCs w:val="24"/>
        </w:rPr>
        <w:t>；</w:t>
      </w:r>
    </w:p>
    <w:p w14:paraId="30854D91"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（5）</w:t>
      </w:r>
      <w:r>
        <w:rPr>
          <w:rFonts w:ascii="宋体" w:eastAsia="宋体" w:hAnsi="宋体" w:cs="微软雅黑" w:hint="eastAsia"/>
          <w:sz w:val="24"/>
          <w:szCs w:val="24"/>
        </w:rPr>
        <w:t>公告</w:t>
      </w:r>
      <w:r>
        <w:rPr>
          <w:rFonts w:ascii="宋体" w:eastAsia="宋体" w:hAnsi="宋体" w:cs="Malgun Gothic Semilight" w:hint="eastAsia"/>
          <w:sz w:val="24"/>
          <w:szCs w:val="24"/>
        </w:rPr>
        <w:t>：</w:t>
      </w:r>
      <w:r>
        <w:rPr>
          <w:rFonts w:ascii="宋体" w:eastAsia="宋体" w:hAnsi="宋体" w:cs="微软雅黑" w:hint="eastAsia"/>
          <w:sz w:val="24"/>
          <w:szCs w:val="24"/>
        </w:rPr>
        <w:t>基金托管人更换后</w:t>
      </w:r>
      <w:r>
        <w:rPr>
          <w:rFonts w:ascii="宋体" w:eastAsia="宋体" w:hAnsi="宋体" w:cs="Malgun Gothic Semilight" w:hint="eastAsia"/>
          <w:sz w:val="24"/>
          <w:szCs w:val="24"/>
        </w:rPr>
        <w:t>，</w:t>
      </w:r>
      <w:r>
        <w:rPr>
          <w:rFonts w:ascii="宋体" w:eastAsia="宋体" w:hAnsi="宋体" w:cs="微软雅黑" w:hint="eastAsia"/>
          <w:sz w:val="24"/>
          <w:szCs w:val="24"/>
        </w:rPr>
        <w:t>由基金管理人在更换基金托管人的基金份额持有人大会决议生效后</w:t>
      </w:r>
      <w:r>
        <w:rPr>
          <w:rFonts w:ascii="宋体" w:eastAsia="宋体" w:hAnsi="宋体" w:cs="Arial" w:hint="eastAsia"/>
          <w:sz w:val="24"/>
          <w:szCs w:val="24"/>
        </w:rPr>
        <w:t>依照《信息披露办法》的有关规定</w:t>
      </w:r>
      <w:r>
        <w:rPr>
          <w:rFonts w:ascii="宋体" w:eastAsia="宋体" w:hAnsi="宋体" w:cs="微软雅黑" w:hint="eastAsia"/>
          <w:sz w:val="24"/>
          <w:szCs w:val="24"/>
        </w:rPr>
        <w:t>在规定媒介公告</w:t>
      </w:r>
      <w:r>
        <w:rPr>
          <w:rFonts w:ascii="宋体" w:eastAsia="宋体" w:hAnsi="宋体" w:cs="Arial" w:hint="eastAsia"/>
          <w:sz w:val="24"/>
          <w:szCs w:val="24"/>
        </w:rPr>
        <w:t>；</w:t>
      </w:r>
    </w:p>
    <w:p w14:paraId="04FD8DF8"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（6）</w:t>
      </w:r>
      <w:r>
        <w:rPr>
          <w:rFonts w:ascii="宋体" w:eastAsia="宋体" w:hAnsi="宋体" w:cs="微软雅黑" w:hint="eastAsia"/>
          <w:sz w:val="24"/>
          <w:szCs w:val="24"/>
        </w:rPr>
        <w:t>交接</w:t>
      </w:r>
      <w:r>
        <w:rPr>
          <w:rFonts w:ascii="宋体" w:eastAsia="宋体" w:hAnsi="宋体" w:cs="Malgun Gothic Semilight" w:hint="eastAsia"/>
          <w:sz w:val="24"/>
          <w:szCs w:val="24"/>
        </w:rPr>
        <w:t>：</w:t>
      </w:r>
      <w:r>
        <w:rPr>
          <w:rFonts w:ascii="宋体" w:eastAsia="宋体" w:hAnsi="宋体" w:cs="微软雅黑" w:hint="eastAsia"/>
          <w:sz w:val="24"/>
          <w:szCs w:val="24"/>
        </w:rPr>
        <w:t>基金托管人职责终止的</w:t>
      </w:r>
      <w:r>
        <w:rPr>
          <w:rFonts w:ascii="宋体" w:eastAsia="宋体" w:hAnsi="宋体" w:cs="Malgun Gothic Semilight" w:hint="eastAsia"/>
          <w:sz w:val="24"/>
          <w:szCs w:val="24"/>
        </w:rPr>
        <w:t>，</w:t>
      </w:r>
      <w:r>
        <w:rPr>
          <w:rFonts w:ascii="宋体" w:eastAsia="宋体" w:hAnsi="宋体" w:cs="微软雅黑" w:hint="eastAsia"/>
          <w:sz w:val="24"/>
          <w:szCs w:val="24"/>
        </w:rPr>
        <w:t>应当妥善保管基金财产和基金托管业务资料</w:t>
      </w:r>
      <w:r>
        <w:rPr>
          <w:rFonts w:ascii="宋体" w:eastAsia="宋体" w:hAnsi="宋体" w:cs="Malgun Gothic Semilight" w:hint="eastAsia"/>
          <w:sz w:val="24"/>
          <w:szCs w:val="24"/>
        </w:rPr>
        <w:t>，</w:t>
      </w:r>
      <w:r>
        <w:rPr>
          <w:rFonts w:ascii="宋体" w:eastAsia="宋体" w:hAnsi="宋体" w:cs="微软雅黑" w:hint="eastAsia"/>
          <w:sz w:val="24"/>
          <w:szCs w:val="24"/>
        </w:rPr>
        <w:t>及时办理基金财产和基金托管业务的移交手续</w:t>
      </w:r>
      <w:r>
        <w:rPr>
          <w:rFonts w:ascii="宋体" w:eastAsia="宋体" w:hAnsi="宋体" w:cs="Malgun Gothic Semilight" w:hint="eastAsia"/>
          <w:sz w:val="24"/>
          <w:szCs w:val="24"/>
        </w:rPr>
        <w:t>，</w:t>
      </w:r>
      <w:proofErr w:type="gramStart"/>
      <w:r>
        <w:rPr>
          <w:rFonts w:ascii="宋体" w:eastAsia="宋体" w:hAnsi="宋体" w:cs="微软雅黑" w:hint="eastAsia"/>
          <w:sz w:val="24"/>
          <w:szCs w:val="24"/>
        </w:rPr>
        <w:t>新任基金</w:t>
      </w:r>
      <w:proofErr w:type="gramEnd"/>
      <w:r>
        <w:rPr>
          <w:rFonts w:ascii="宋体" w:eastAsia="宋体" w:hAnsi="宋体" w:cs="微软雅黑" w:hint="eastAsia"/>
          <w:sz w:val="24"/>
          <w:szCs w:val="24"/>
        </w:rPr>
        <w:t>托管人或者临时基金托管人应当及时接收</w:t>
      </w:r>
      <w:r>
        <w:rPr>
          <w:rFonts w:ascii="宋体" w:eastAsia="宋体" w:hAnsi="宋体" w:cs="Malgun Gothic Semilight" w:hint="eastAsia"/>
          <w:sz w:val="24"/>
          <w:szCs w:val="24"/>
        </w:rPr>
        <w:t>。</w:t>
      </w:r>
      <w:proofErr w:type="gramStart"/>
      <w:r>
        <w:rPr>
          <w:rFonts w:ascii="宋体" w:eastAsia="宋体" w:hAnsi="宋体" w:cs="微软雅黑" w:hint="eastAsia"/>
          <w:sz w:val="24"/>
          <w:szCs w:val="24"/>
        </w:rPr>
        <w:t>新任基金</w:t>
      </w:r>
      <w:proofErr w:type="gramEnd"/>
      <w:r>
        <w:rPr>
          <w:rFonts w:ascii="宋体" w:eastAsia="宋体" w:hAnsi="宋体" w:cs="微软雅黑" w:hint="eastAsia"/>
          <w:sz w:val="24"/>
          <w:szCs w:val="24"/>
        </w:rPr>
        <w:t>托管人或临时基金托管人应与基金管理人核对基金净值信息</w:t>
      </w:r>
      <w:r>
        <w:rPr>
          <w:rFonts w:ascii="宋体" w:eastAsia="宋体" w:hAnsi="宋体" w:cs="Arial" w:hint="eastAsia"/>
          <w:sz w:val="24"/>
          <w:szCs w:val="24"/>
        </w:rPr>
        <w:t>；</w:t>
      </w:r>
    </w:p>
    <w:p w14:paraId="0E3C11DA"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（7）</w:t>
      </w:r>
      <w:r>
        <w:rPr>
          <w:rFonts w:ascii="宋体" w:eastAsia="宋体" w:hAnsi="宋体" w:cs="微软雅黑" w:hint="eastAsia"/>
          <w:sz w:val="24"/>
          <w:szCs w:val="24"/>
        </w:rPr>
        <w:t>审计</w:t>
      </w:r>
      <w:r>
        <w:rPr>
          <w:rFonts w:ascii="宋体" w:eastAsia="宋体" w:hAnsi="宋体" w:cs="Malgun Gothic Semilight" w:hint="eastAsia"/>
          <w:sz w:val="24"/>
          <w:szCs w:val="24"/>
        </w:rPr>
        <w:t>：</w:t>
      </w:r>
      <w:r>
        <w:rPr>
          <w:rFonts w:ascii="宋体" w:eastAsia="宋体" w:hAnsi="宋体" w:cs="微软雅黑" w:hint="eastAsia"/>
          <w:sz w:val="24"/>
          <w:szCs w:val="24"/>
        </w:rPr>
        <w:t>基金托管人职责终止的</w:t>
      </w:r>
      <w:r>
        <w:rPr>
          <w:rFonts w:ascii="宋体" w:eastAsia="宋体" w:hAnsi="宋体" w:cs="Malgun Gothic Semilight" w:hint="eastAsia"/>
          <w:sz w:val="24"/>
          <w:szCs w:val="24"/>
        </w:rPr>
        <w:t>，</w:t>
      </w:r>
      <w:r>
        <w:rPr>
          <w:rFonts w:ascii="宋体" w:eastAsia="宋体" w:hAnsi="宋体" w:cs="微软雅黑" w:hint="eastAsia"/>
          <w:sz w:val="24"/>
          <w:szCs w:val="24"/>
        </w:rPr>
        <w:t>应当聘请符合《证券法》规定的会计师事务所对基金财产进行审计</w:t>
      </w:r>
      <w:r>
        <w:rPr>
          <w:rFonts w:ascii="宋体" w:eastAsia="宋体" w:hAnsi="宋体" w:cs="Malgun Gothic Semilight" w:hint="eastAsia"/>
          <w:sz w:val="24"/>
          <w:szCs w:val="24"/>
        </w:rPr>
        <w:t>，</w:t>
      </w:r>
      <w:r>
        <w:rPr>
          <w:rFonts w:ascii="宋体" w:eastAsia="宋体" w:hAnsi="宋体" w:cs="微软雅黑" w:hint="eastAsia"/>
          <w:sz w:val="24"/>
          <w:szCs w:val="24"/>
        </w:rPr>
        <w:t>并将审计结果予以公告</w:t>
      </w:r>
      <w:r>
        <w:rPr>
          <w:rFonts w:ascii="宋体" w:eastAsia="宋体" w:hAnsi="宋体" w:cs="Malgun Gothic Semilight" w:hint="eastAsia"/>
          <w:sz w:val="24"/>
          <w:szCs w:val="24"/>
        </w:rPr>
        <w:t>，</w:t>
      </w:r>
      <w:r>
        <w:rPr>
          <w:rFonts w:ascii="宋体" w:eastAsia="宋体" w:hAnsi="宋体" w:cs="微软雅黑" w:hint="eastAsia"/>
          <w:sz w:val="24"/>
          <w:szCs w:val="24"/>
        </w:rPr>
        <w:t>同时报中国证监会备案，审计费用从基金财产中列支</w:t>
      </w:r>
      <w:r>
        <w:rPr>
          <w:rFonts w:ascii="宋体" w:eastAsia="宋体" w:hAnsi="宋体" w:cs="Malgun Gothic Semilight" w:hint="eastAsia"/>
          <w:sz w:val="24"/>
          <w:szCs w:val="24"/>
        </w:rPr>
        <w:t>。</w:t>
      </w:r>
    </w:p>
    <w:p w14:paraId="318598DC"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lastRenderedPageBreak/>
        <w:t>（</w:t>
      </w:r>
      <w:r>
        <w:rPr>
          <w:rFonts w:ascii="宋体" w:eastAsia="宋体" w:hAnsi="宋体" w:cs="微软雅黑" w:hint="eastAsia"/>
          <w:sz w:val="24"/>
          <w:szCs w:val="24"/>
        </w:rPr>
        <w:t>三</w:t>
      </w:r>
      <w:r>
        <w:rPr>
          <w:rFonts w:ascii="宋体" w:eastAsia="宋体" w:hAnsi="宋体" w:cs="Malgun Gothic Semilight" w:hint="eastAsia"/>
          <w:sz w:val="24"/>
          <w:szCs w:val="24"/>
        </w:rPr>
        <w:t>）</w:t>
      </w:r>
      <w:r>
        <w:rPr>
          <w:rFonts w:ascii="宋体" w:eastAsia="宋体" w:hAnsi="宋体" w:cs="微软雅黑" w:hint="eastAsia"/>
          <w:sz w:val="24"/>
          <w:szCs w:val="24"/>
        </w:rPr>
        <w:t>基金管理人与基金托管人同时更换的条件和程序</w:t>
      </w:r>
    </w:p>
    <w:p w14:paraId="6D460064"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w:t>
      </w:r>
      <w:r>
        <w:rPr>
          <w:rFonts w:ascii="宋体" w:eastAsia="宋体" w:hAnsi="宋体" w:cs="微软雅黑" w:hint="eastAsia"/>
          <w:sz w:val="24"/>
          <w:szCs w:val="24"/>
        </w:rPr>
        <w:t>提名</w:t>
      </w:r>
      <w:r>
        <w:rPr>
          <w:rFonts w:ascii="宋体" w:eastAsia="宋体" w:hAnsi="宋体" w:cs="Malgun Gothic Semilight" w:hint="eastAsia"/>
          <w:sz w:val="24"/>
          <w:szCs w:val="24"/>
        </w:rPr>
        <w:t>：</w:t>
      </w:r>
      <w:r>
        <w:rPr>
          <w:rFonts w:ascii="宋体" w:eastAsia="宋体" w:hAnsi="宋体" w:cs="微软雅黑" w:hint="eastAsia"/>
          <w:sz w:val="24"/>
          <w:szCs w:val="24"/>
        </w:rPr>
        <w:t>如果基金管理人和基金托管人同时更换</w:t>
      </w:r>
      <w:r>
        <w:rPr>
          <w:rFonts w:ascii="宋体" w:eastAsia="宋体" w:hAnsi="宋体" w:cs="Malgun Gothic Semilight" w:hint="eastAsia"/>
          <w:sz w:val="24"/>
          <w:szCs w:val="24"/>
        </w:rPr>
        <w:t>，</w:t>
      </w:r>
      <w:r>
        <w:rPr>
          <w:rFonts w:ascii="宋体" w:eastAsia="宋体" w:hAnsi="宋体" w:cs="微软雅黑" w:hint="eastAsia"/>
          <w:sz w:val="24"/>
          <w:szCs w:val="24"/>
        </w:rPr>
        <w:t>由单独或合计持有</w:t>
      </w:r>
      <w:r>
        <w:rPr>
          <w:rFonts w:ascii="宋体" w:eastAsia="宋体" w:hAnsi="宋体" w:cs="Arial" w:hint="eastAsia"/>
          <w:sz w:val="24"/>
          <w:szCs w:val="24"/>
        </w:rPr>
        <w:t>10%</w:t>
      </w:r>
      <w:r>
        <w:rPr>
          <w:rFonts w:ascii="宋体" w:eastAsia="宋体" w:hAnsi="宋体" w:cs="微软雅黑" w:hint="eastAsia"/>
          <w:sz w:val="24"/>
          <w:szCs w:val="24"/>
        </w:rPr>
        <w:t>以上</w:t>
      </w:r>
      <w:r>
        <w:rPr>
          <w:rFonts w:ascii="宋体" w:eastAsia="宋体" w:hAnsi="宋体" w:cs="Arial" w:hint="eastAsia"/>
          <w:sz w:val="24"/>
          <w:szCs w:val="24"/>
        </w:rPr>
        <w:t>（</w:t>
      </w:r>
      <w:r>
        <w:rPr>
          <w:rFonts w:ascii="宋体" w:eastAsia="宋体" w:hAnsi="宋体" w:cs="微软雅黑" w:hint="eastAsia"/>
          <w:sz w:val="24"/>
          <w:szCs w:val="24"/>
        </w:rPr>
        <w:t>含</w:t>
      </w:r>
      <w:r>
        <w:rPr>
          <w:rFonts w:ascii="宋体" w:eastAsia="宋体" w:hAnsi="宋体" w:cs="Arial" w:hint="eastAsia"/>
          <w:sz w:val="24"/>
          <w:szCs w:val="24"/>
        </w:rPr>
        <w:t>10%）基金份额</w:t>
      </w:r>
      <w:r>
        <w:rPr>
          <w:rFonts w:ascii="宋体" w:eastAsia="宋体" w:hAnsi="宋体" w:cs="微软雅黑" w:hint="eastAsia"/>
          <w:sz w:val="24"/>
          <w:szCs w:val="24"/>
        </w:rPr>
        <w:t>的基金份额持有人提名新的基金管理人和基金托管人</w:t>
      </w:r>
      <w:r>
        <w:rPr>
          <w:rFonts w:ascii="宋体" w:eastAsia="宋体" w:hAnsi="宋体" w:cs="Malgun Gothic Semilight" w:hint="eastAsia"/>
          <w:sz w:val="24"/>
          <w:szCs w:val="24"/>
        </w:rPr>
        <w:t>；</w:t>
      </w:r>
    </w:p>
    <w:p w14:paraId="3189FFAE"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微软雅黑" w:hint="eastAsia"/>
          <w:sz w:val="24"/>
          <w:szCs w:val="24"/>
        </w:rPr>
        <w:t>基金管理人和基金托管人的更换分别按上述程序进行</w:t>
      </w:r>
      <w:r>
        <w:rPr>
          <w:rFonts w:ascii="宋体" w:eastAsia="宋体" w:hAnsi="宋体" w:cs="Malgun Gothic Semilight" w:hint="eastAsia"/>
          <w:sz w:val="24"/>
          <w:szCs w:val="24"/>
        </w:rPr>
        <w:t>；</w:t>
      </w:r>
    </w:p>
    <w:p w14:paraId="162279B9"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3.</w:t>
      </w:r>
      <w:r>
        <w:rPr>
          <w:rFonts w:ascii="宋体" w:eastAsia="宋体" w:hAnsi="宋体" w:cs="微软雅黑" w:hint="eastAsia"/>
          <w:sz w:val="24"/>
          <w:szCs w:val="24"/>
        </w:rPr>
        <w:t>公告</w:t>
      </w:r>
      <w:r>
        <w:rPr>
          <w:rFonts w:ascii="宋体" w:eastAsia="宋体" w:hAnsi="宋体" w:cs="Malgun Gothic Semilight" w:hint="eastAsia"/>
          <w:sz w:val="24"/>
          <w:szCs w:val="24"/>
        </w:rPr>
        <w:t>：</w:t>
      </w:r>
      <w:proofErr w:type="gramStart"/>
      <w:r>
        <w:rPr>
          <w:rFonts w:ascii="宋体" w:eastAsia="宋体" w:hAnsi="宋体" w:cs="微软雅黑" w:hint="eastAsia"/>
          <w:sz w:val="24"/>
          <w:szCs w:val="24"/>
        </w:rPr>
        <w:t>新任基金</w:t>
      </w:r>
      <w:proofErr w:type="gramEnd"/>
      <w:r>
        <w:rPr>
          <w:rFonts w:ascii="宋体" w:eastAsia="宋体" w:hAnsi="宋体" w:cs="微软雅黑" w:hint="eastAsia"/>
          <w:sz w:val="24"/>
          <w:szCs w:val="24"/>
        </w:rPr>
        <w:t>管理人和</w:t>
      </w:r>
      <w:proofErr w:type="gramStart"/>
      <w:r>
        <w:rPr>
          <w:rFonts w:ascii="宋体" w:eastAsia="宋体" w:hAnsi="宋体" w:cs="微软雅黑" w:hint="eastAsia"/>
          <w:sz w:val="24"/>
          <w:szCs w:val="24"/>
        </w:rPr>
        <w:t>新任基金</w:t>
      </w:r>
      <w:proofErr w:type="gramEnd"/>
      <w:r>
        <w:rPr>
          <w:rFonts w:ascii="宋体" w:eastAsia="宋体" w:hAnsi="宋体" w:cs="微软雅黑" w:hint="eastAsia"/>
          <w:sz w:val="24"/>
          <w:szCs w:val="24"/>
        </w:rPr>
        <w:t>托管人应在更换基金管理人和基金托管人的基金份额持有人大会决议生效后</w:t>
      </w:r>
      <w:r>
        <w:rPr>
          <w:rFonts w:ascii="宋体" w:eastAsia="宋体" w:hAnsi="宋体" w:cs="Arial" w:hint="eastAsia"/>
          <w:sz w:val="24"/>
          <w:szCs w:val="24"/>
        </w:rPr>
        <w:t>依照《信息披露办法》的有关规定</w:t>
      </w:r>
      <w:r>
        <w:rPr>
          <w:rFonts w:ascii="宋体" w:eastAsia="宋体" w:hAnsi="宋体" w:cs="微软雅黑" w:hint="eastAsia"/>
          <w:sz w:val="24"/>
          <w:szCs w:val="24"/>
        </w:rPr>
        <w:t>在规定媒介上联合公告</w:t>
      </w:r>
      <w:r>
        <w:rPr>
          <w:rFonts w:ascii="宋体" w:eastAsia="宋体" w:hAnsi="宋体" w:cs="Malgun Gothic Semilight" w:hint="eastAsia"/>
          <w:sz w:val="24"/>
          <w:szCs w:val="24"/>
        </w:rPr>
        <w:t>。</w:t>
      </w:r>
    </w:p>
    <w:p w14:paraId="43A47AEF"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四</w:t>
      </w:r>
      <w:r>
        <w:rPr>
          <w:rFonts w:ascii="宋体" w:eastAsia="宋体" w:hAnsi="宋体" w:cs="Malgun Gothic Semilight" w:hint="eastAsia"/>
          <w:sz w:val="24"/>
          <w:szCs w:val="24"/>
        </w:rPr>
        <w:t>）</w:t>
      </w:r>
      <w:r>
        <w:rPr>
          <w:rFonts w:ascii="宋体" w:eastAsia="宋体" w:hAnsi="宋体" w:cs="微软雅黑" w:hint="eastAsia"/>
          <w:sz w:val="24"/>
          <w:szCs w:val="24"/>
        </w:rPr>
        <w:t>新任或临时基金管理人接收基金管理业务或新任或临时基金托管人接收基金财产和基金托管业务前</w:t>
      </w:r>
      <w:r>
        <w:rPr>
          <w:rFonts w:ascii="宋体" w:eastAsia="宋体" w:hAnsi="宋体" w:cs="Malgun Gothic Semilight" w:hint="eastAsia"/>
          <w:sz w:val="24"/>
          <w:szCs w:val="24"/>
        </w:rPr>
        <w:t>，</w:t>
      </w:r>
      <w:proofErr w:type="gramStart"/>
      <w:r>
        <w:rPr>
          <w:rFonts w:ascii="宋体" w:eastAsia="宋体" w:hAnsi="宋体" w:cs="微软雅黑" w:hint="eastAsia"/>
          <w:sz w:val="24"/>
          <w:szCs w:val="24"/>
        </w:rPr>
        <w:t>原基金</w:t>
      </w:r>
      <w:proofErr w:type="gramEnd"/>
      <w:r>
        <w:rPr>
          <w:rFonts w:ascii="宋体" w:eastAsia="宋体" w:hAnsi="宋体" w:cs="微软雅黑" w:hint="eastAsia"/>
          <w:sz w:val="24"/>
          <w:szCs w:val="24"/>
        </w:rPr>
        <w:t>管理人或</w:t>
      </w:r>
      <w:proofErr w:type="gramStart"/>
      <w:r>
        <w:rPr>
          <w:rFonts w:ascii="宋体" w:eastAsia="宋体" w:hAnsi="宋体" w:cs="微软雅黑" w:hint="eastAsia"/>
          <w:sz w:val="24"/>
          <w:szCs w:val="24"/>
        </w:rPr>
        <w:t>原基金</w:t>
      </w:r>
      <w:proofErr w:type="gramEnd"/>
      <w:r>
        <w:rPr>
          <w:rFonts w:ascii="宋体" w:eastAsia="宋体" w:hAnsi="宋体" w:cs="微软雅黑" w:hint="eastAsia"/>
          <w:sz w:val="24"/>
          <w:szCs w:val="24"/>
        </w:rPr>
        <w:t>托管人应依据法律法规和基金合同的规定继续履行相关职责</w:t>
      </w:r>
      <w:r>
        <w:rPr>
          <w:rFonts w:ascii="宋体" w:eastAsia="宋体" w:hAnsi="宋体" w:cs="Malgun Gothic Semilight" w:hint="eastAsia"/>
          <w:sz w:val="24"/>
          <w:szCs w:val="24"/>
        </w:rPr>
        <w:t>，</w:t>
      </w:r>
      <w:r>
        <w:rPr>
          <w:rFonts w:ascii="宋体" w:eastAsia="宋体" w:hAnsi="宋体" w:cs="微软雅黑" w:hint="eastAsia"/>
          <w:sz w:val="24"/>
          <w:szCs w:val="24"/>
        </w:rPr>
        <w:t>并保证不做出对基金份额持有人的利益造成损害的行为</w:t>
      </w:r>
      <w:r>
        <w:rPr>
          <w:rFonts w:ascii="宋体" w:eastAsia="宋体" w:hAnsi="宋体" w:cs="Malgun Gothic Semilight" w:hint="eastAsia"/>
          <w:sz w:val="24"/>
          <w:szCs w:val="24"/>
        </w:rPr>
        <w:t>。</w:t>
      </w:r>
      <w:proofErr w:type="gramStart"/>
      <w:r>
        <w:rPr>
          <w:rFonts w:ascii="宋体" w:eastAsia="宋体" w:hAnsi="宋体" w:cs="微软雅黑" w:hint="eastAsia"/>
          <w:sz w:val="24"/>
          <w:szCs w:val="24"/>
        </w:rPr>
        <w:t>原基金</w:t>
      </w:r>
      <w:proofErr w:type="gramEnd"/>
      <w:r>
        <w:rPr>
          <w:rFonts w:ascii="宋体" w:eastAsia="宋体" w:hAnsi="宋体" w:cs="微软雅黑" w:hint="eastAsia"/>
          <w:sz w:val="24"/>
          <w:szCs w:val="24"/>
        </w:rPr>
        <w:t>管理人或</w:t>
      </w:r>
      <w:proofErr w:type="gramStart"/>
      <w:r>
        <w:rPr>
          <w:rFonts w:ascii="宋体" w:eastAsia="宋体" w:hAnsi="宋体" w:cs="微软雅黑" w:hint="eastAsia"/>
          <w:sz w:val="24"/>
          <w:szCs w:val="24"/>
        </w:rPr>
        <w:t>原基金</w:t>
      </w:r>
      <w:proofErr w:type="gramEnd"/>
      <w:r>
        <w:rPr>
          <w:rFonts w:ascii="宋体" w:eastAsia="宋体" w:hAnsi="宋体" w:cs="微软雅黑" w:hint="eastAsia"/>
          <w:sz w:val="24"/>
          <w:szCs w:val="24"/>
        </w:rPr>
        <w:t>托管人在继续履行相关职责期间</w:t>
      </w:r>
      <w:r>
        <w:rPr>
          <w:rFonts w:ascii="宋体" w:eastAsia="宋体" w:hAnsi="宋体" w:cs="Malgun Gothic Semilight" w:hint="eastAsia"/>
          <w:sz w:val="24"/>
          <w:szCs w:val="24"/>
        </w:rPr>
        <w:t>，</w:t>
      </w:r>
      <w:r>
        <w:rPr>
          <w:rFonts w:ascii="宋体" w:eastAsia="宋体" w:hAnsi="宋体" w:cs="微软雅黑" w:hint="eastAsia"/>
          <w:sz w:val="24"/>
          <w:szCs w:val="24"/>
        </w:rPr>
        <w:t>仍有权按照基金合同和本协议的规定收取基金管理费或基金托管费</w:t>
      </w:r>
      <w:r>
        <w:rPr>
          <w:rFonts w:ascii="宋体" w:eastAsia="宋体" w:hAnsi="宋体" w:cs="Arial" w:hint="eastAsia"/>
          <w:sz w:val="24"/>
          <w:szCs w:val="24"/>
        </w:rPr>
        <w:t>。</w:t>
      </w:r>
    </w:p>
    <w:bookmarkEnd w:id="96"/>
    <w:p w14:paraId="180CFCAA" w14:textId="77777777" w:rsidR="00F012EE" w:rsidRDefault="00F012EE">
      <w:pPr>
        <w:adjustRightInd w:val="0"/>
        <w:snapToGrid w:val="0"/>
        <w:spacing w:line="360" w:lineRule="auto"/>
        <w:rPr>
          <w:rFonts w:ascii="宋体" w:eastAsia="宋体" w:hAnsi="宋体" w:cs="Arial"/>
          <w:sz w:val="24"/>
          <w:szCs w:val="24"/>
        </w:rPr>
      </w:pPr>
    </w:p>
    <w:p w14:paraId="4545D76E" w14:textId="77777777" w:rsidR="00F012EE" w:rsidRDefault="00477FBC">
      <w:pPr>
        <w:keepNext/>
        <w:keepLines/>
        <w:spacing w:before="260" w:after="260" w:line="360" w:lineRule="auto"/>
        <w:jc w:val="center"/>
        <w:outlineLvl w:val="1"/>
        <w:rPr>
          <w:rFonts w:ascii="宋体" w:eastAsia="宋体" w:hAnsi="宋体" w:cs="Times New Roman"/>
          <w:b/>
          <w:sz w:val="30"/>
          <w:szCs w:val="20"/>
        </w:rPr>
      </w:pPr>
      <w:bookmarkStart w:id="97" w:name="_Toc124325899"/>
      <w:r>
        <w:rPr>
          <w:rFonts w:ascii="宋体" w:eastAsia="宋体" w:hAnsi="宋体" w:cs="微软雅黑" w:hint="eastAsia"/>
          <w:b/>
          <w:sz w:val="30"/>
          <w:szCs w:val="20"/>
        </w:rPr>
        <w:t>十五</w:t>
      </w:r>
      <w:r>
        <w:rPr>
          <w:rFonts w:ascii="宋体" w:eastAsia="宋体" w:hAnsi="宋体" w:cs="Malgun Gothic Semilight" w:hint="eastAsia"/>
          <w:b/>
          <w:sz w:val="30"/>
          <w:szCs w:val="20"/>
        </w:rPr>
        <w:t>、</w:t>
      </w:r>
      <w:r>
        <w:rPr>
          <w:rFonts w:ascii="宋体" w:eastAsia="宋体" w:hAnsi="宋体" w:cs="微软雅黑" w:hint="eastAsia"/>
          <w:b/>
          <w:sz w:val="30"/>
          <w:szCs w:val="20"/>
        </w:rPr>
        <w:t>禁止行为</w:t>
      </w:r>
      <w:bookmarkEnd w:id="97"/>
    </w:p>
    <w:p w14:paraId="2366705A"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本协议当事人禁止从事的行为，包括但不限于：</w:t>
      </w:r>
    </w:p>
    <w:p w14:paraId="2BF0FAEC"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（一）基金管理人、基金托管人将其固有财产或者他人财产混同于基金财产从事证券投资。</w:t>
      </w:r>
    </w:p>
    <w:p w14:paraId="56D6FB7C"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（二）基金管理人不公平地对待其管理的不同基金财产，基金托管人不公平地对待其托管的不同基金财产。</w:t>
      </w:r>
    </w:p>
    <w:p w14:paraId="107AB664"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（三）基金管理人、基金托管人利用基金财产或职务之便为基金份额持有人以外的第三人牟取利益。</w:t>
      </w:r>
    </w:p>
    <w:p w14:paraId="4EB3D4D9"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（四）基金管理人、基金托管人向基金份额持有人违规承诺收益或者承担损失。</w:t>
      </w:r>
    </w:p>
    <w:p w14:paraId="63F95D59"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（五）基金管理人、基金托管人对他人泄露基金运作和管理过程中任何尚未按法律法规规定的方式公开披露的信息。</w:t>
      </w:r>
    </w:p>
    <w:p w14:paraId="707F1B56"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（六）基金管理人在没有充足资金的情况下向基金托管人发出投资指令和赎回、分红资金的划拨指令，或违规向基金托管人发出指令。</w:t>
      </w:r>
    </w:p>
    <w:p w14:paraId="5748A3AF"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（七）基金管理人、基金托管人在行政上、财务上不独立，其董事、监事、高级管理人员和其他从业人员相互兼职。</w:t>
      </w:r>
    </w:p>
    <w:p w14:paraId="18BC4AB7"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lastRenderedPageBreak/>
        <w:t>（八）基金托管人私自动用或处分基金财产，根据基金管理人的有效指令、《基金合同》或托管协议的规定进行处分的除外。</w:t>
      </w:r>
    </w:p>
    <w:p w14:paraId="0A8B15AA"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九）基金财产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w:t>
      </w:r>
    </w:p>
    <w:p w14:paraId="14CAE3AA"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（十）法律法规和《基金合同》禁止的其他行为，以及依照法律、行政法规有关规定，由中国证监会规定禁止基金管理人、基金托管人从事的其他行为。</w:t>
      </w:r>
    </w:p>
    <w:p w14:paraId="468CC07B"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法律法规或监管部门取消或变更上述限制，基金管理人在履行适当程序后，如适用于本基金，则本基金投资不再受相关限制或以变更后的规则为准。</w:t>
      </w:r>
    </w:p>
    <w:p w14:paraId="20C112B7" w14:textId="77777777" w:rsidR="00F012EE" w:rsidRDefault="00F012EE">
      <w:pPr>
        <w:adjustRightInd w:val="0"/>
        <w:snapToGrid w:val="0"/>
        <w:spacing w:line="360" w:lineRule="auto"/>
        <w:rPr>
          <w:rFonts w:ascii="宋体" w:eastAsia="宋体" w:hAnsi="宋体" w:cs="Times New Roman"/>
          <w:sz w:val="30"/>
          <w:szCs w:val="30"/>
        </w:rPr>
      </w:pPr>
    </w:p>
    <w:p w14:paraId="29F7BCC4" w14:textId="77777777" w:rsidR="00F012EE" w:rsidRDefault="00477FBC">
      <w:pPr>
        <w:keepNext/>
        <w:keepLines/>
        <w:spacing w:before="260" w:after="260" w:line="360" w:lineRule="auto"/>
        <w:jc w:val="center"/>
        <w:outlineLvl w:val="1"/>
        <w:rPr>
          <w:rFonts w:ascii="宋体" w:eastAsia="宋体" w:hAnsi="宋体" w:cs="Times New Roman"/>
          <w:b/>
          <w:sz w:val="30"/>
          <w:szCs w:val="20"/>
        </w:rPr>
      </w:pPr>
      <w:bookmarkStart w:id="98" w:name="_Toc124325900"/>
      <w:r>
        <w:rPr>
          <w:rFonts w:ascii="宋体" w:eastAsia="宋体" w:hAnsi="宋体" w:cs="微软雅黑" w:hint="eastAsia"/>
          <w:b/>
          <w:sz w:val="30"/>
          <w:szCs w:val="20"/>
        </w:rPr>
        <w:t>十六</w:t>
      </w:r>
      <w:r>
        <w:rPr>
          <w:rFonts w:ascii="宋体" w:eastAsia="宋体" w:hAnsi="宋体" w:cs="Malgun Gothic Semilight" w:hint="eastAsia"/>
          <w:b/>
          <w:sz w:val="30"/>
          <w:szCs w:val="20"/>
        </w:rPr>
        <w:t>、</w:t>
      </w:r>
      <w:r>
        <w:rPr>
          <w:rFonts w:ascii="宋体" w:eastAsia="宋体" w:hAnsi="宋体" w:cs="微软雅黑" w:hint="eastAsia"/>
          <w:b/>
          <w:sz w:val="30"/>
          <w:szCs w:val="20"/>
        </w:rPr>
        <w:t>托管协议的变更</w:t>
      </w:r>
      <w:r>
        <w:rPr>
          <w:rFonts w:ascii="宋体" w:eastAsia="宋体" w:hAnsi="宋体" w:cs="Malgun Gothic Semilight" w:hint="eastAsia"/>
          <w:b/>
          <w:sz w:val="30"/>
          <w:szCs w:val="20"/>
        </w:rPr>
        <w:t>、</w:t>
      </w:r>
      <w:r>
        <w:rPr>
          <w:rFonts w:ascii="宋体" w:eastAsia="宋体" w:hAnsi="宋体" w:cs="微软雅黑" w:hint="eastAsia"/>
          <w:b/>
          <w:sz w:val="30"/>
          <w:szCs w:val="20"/>
        </w:rPr>
        <w:t>终止与基金财产的清算</w:t>
      </w:r>
      <w:bookmarkEnd w:id="98"/>
    </w:p>
    <w:p w14:paraId="20116D38"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一</w:t>
      </w:r>
      <w:r>
        <w:rPr>
          <w:rFonts w:ascii="宋体" w:eastAsia="宋体" w:hAnsi="宋体" w:cs="Malgun Gothic Semilight" w:hint="eastAsia"/>
          <w:sz w:val="24"/>
          <w:szCs w:val="24"/>
        </w:rPr>
        <w:t>）</w:t>
      </w:r>
      <w:r>
        <w:rPr>
          <w:rFonts w:ascii="宋体" w:eastAsia="宋体" w:hAnsi="宋体" w:cs="微软雅黑" w:hint="eastAsia"/>
          <w:sz w:val="24"/>
          <w:szCs w:val="24"/>
        </w:rPr>
        <w:t>托管协议的变更程序</w:t>
      </w:r>
    </w:p>
    <w:p w14:paraId="5797B1CB" w14:textId="77777777" w:rsidR="00F012EE" w:rsidRDefault="00477FBC">
      <w:pPr>
        <w:adjustRightInd w:val="0"/>
        <w:snapToGrid w:val="0"/>
        <w:spacing w:line="360" w:lineRule="auto"/>
        <w:ind w:firstLineChars="200" w:firstLine="480"/>
        <w:rPr>
          <w:rFonts w:ascii="宋体" w:eastAsia="宋体" w:hAnsi="宋体" w:cs="Times New Roman"/>
          <w:sz w:val="30"/>
          <w:szCs w:val="30"/>
        </w:rPr>
      </w:pPr>
      <w:r>
        <w:rPr>
          <w:rFonts w:ascii="宋体" w:eastAsia="宋体" w:hAnsi="宋体" w:cs="微软雅黑" w:hint="eastAsia"/>
          <w:sz w:val="24"/>
          <w:szCs w:val="24"/>
        </w:rPr>
        <w:t>本协议双方当事人经协商一致</w:t>
      </w:r>
      <w:r>
        <w:rPr>
          <w:rFonts w:ascii="宋体" w:eastAsia="宋体" w:hAnsi="宋体" w:cs="Malgun Gothic Semilight" w:hint="eastAsia"/>
          <w:sz w:val="24"/>
          <w:szCs w:val="24"/>
        </w:rPr>
        <w:t>，</w:t>
      </w:r>
      <w:r>
        <w:rPr>
          <w:rFonts w:ascii="宋体" w:eastAsia="宋体" w:hAnsi="宋体" w:cs="微软雅黑" w:hint="eastAsia"/>
          <w:sz w:val="24"/>
          <w:szCs w:val="24"/>
        </w:rPr>
        <w:t>可以对协议进行修改</w:t>
      </w:r>
      <w:r>
        <w:rPr>
          <w:rFonts w:ascii="宋体" w:eastAsia="宋体" w:hAnsi="宋体" w:cs="Malgun Gothic Semilight" w:hint="eastAsia"/>
          <w:sz w:val="24"/>
          <w:szCs w:val="24"/>
        </w:rPr>
        <w:t>。</w:t>
      </w:r>
      <w:r>
        <w:rPr>
          <w:rFonts w:ascii="宋体" w:eastAsia="宋体" w:hAnsi="宋体" w:cs="微软雅黑" w:hint="eastAsia"/>
          <w:sz w:val="24"/>
          <w:szCs w:val="24"/>
        </w:rPr>
        <w:t>修改后的新协议</w:t>
      </w:r>
      <w:r>
        <w:rPr>
          <w:rFonts w:ascii="宋体" w:eastAsia="宋体" w:hAnsi="宋体" w:cs="Malgun Gothic Semilight" w:hint="eastAsia"/>
          <w:sz w:val="24"/>
          <w:szCs w:val="24"/>
        </w:rPr>
        <w:t>，</w:t>
      </w:r>
      <w:r>
        <w:rPr>
          <w:rFonts w:ascii="宋体" w:eastAsia="宋体" w:hAnsi="宋体" w:cs="微软雅黑" w:hint="eastAsia"/>
          <w:sz w:val="24"/>
          <w:szCs w:val="24"/>
        </w:rPr>
        <w:t>其内容不得与</w:t>
      </w:r>
      <w:r>
        <w:rPr>
          <w:rFonts w:ascii="宋体" w:eastAsia="宋体" w:hAnsi="宋体" w:cs="Malgun Gothic Semilight"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的规定有任何冲突</w:t>
      </w:r>
      <w:r>
        <w:rPr>
          <w:rFonts w:ascii="宋体" w:eastAsia="宋体" w:hAnsi="宋体" w:cs="Malgun Gothic Semilight" w:hint="eastAsia"/>
          <w:sz w:val="24"/>
          <w:szCs w:val="24"/>
        </w:rPr>
        <w:t>。</w:t>
      </w:r>
      <w:r>
        <w:rPr>
          <w:rFonts w:ascii="宋体" w:eastAsia="宋体" w:hAnsi="宋体" w:cs="微软雅黑" w:hint="eastAsia"/>
          <w:sz w:val="24"/>
          <w:szCs w:val="24"/>
        </w:rPr>
        <w:t>基金托管协议的变更在履行适当程序后生效</w:t>
      </w:r>
      <w:r>
        <w:rPr>
          <w:rFonts w:ascii="宋体" w:eastAsia="宋体" w:hAnsi="宋体" w:cs="Malgun Gothic Semilight" w:hint="eastAsia"/>
          <w:sz w:val="24"/>
          <w:szCs w:val="24"/>
        </w:rPr>
        <w:t>。</w:t>
      </w:r>
    </w:p>
    <w:p w14:paraId="718C9847"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二</w:t>
      </w:r>
      <w:r>
        <w:rPr>
          <w:rFonts w:ascii="宋体" w:eastAsia="宋体" w:hAnsi="宋体" w:cs="Malgun Gothic Semilight" w:hint="eastAsia"/>
          <w:sz w:val="24"/>
          <w:szCs w:val="24"/>
        </w:rPr>
        <w:t>）</w:t>
      </w:r>
      <w:r>
        <w:rPr>
          <w:rFonts w:ascii="宋体" w:eastAsia="宋体" w:hAnsi="宋体" w:cs="微软雅黑" w:hint="eastAsia"/>
          <w:sz w:val="24"/>
          <w:szCs w:val="24"/>
        </w:rPr>
        <w:t>托管协议终止的情形</w:t>
      </w:r>
    </w:p>
    <w:p w14:paraId="39BACC56"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终止</w:t>
      </w:r>
      <w:r>
        <w:rPr>
          <w:rFonts w:ascii="宋体" w:eastAsia="宋体" w:hAnsi="宋体" w:cs="Malgun Gothic Semilight" w:hint="eastAsia"/>
          <w:sz w:val="24"/>
          <w:szCs w:val="24"/>
        </w:rPr>
        <w:t>；</w:t>
      </w:r>
    </w:p>
    <w:p w14:paraId="4E3DD27D"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微软雅黑" w:hint="eastAsia"/>
          <w:sz w:val="24"/>
          <w:szCs w:val="24"/>
        </w:rPr>
        <w:t>基金托管人解散</w:t>
      </w:r>
      <w:r>
        <w:rPr>
          <w:rFonts w:ascii="宋体" w:eastAsia="宋体" w:hAnsi="宋体" w:cs="Malgun Gothic Semilight" w:hint="eastAsia"/>
          <w:sz w:val="24"/>
          <w:szCs w:val="24"/>
        </w:rPr>
        <w:t>、</w:t>
      </w:r>
      <w:r>
        <w:rPr>
          <w:rFonts w:ascii="宋体" w:eastAsia="宋体" w:hAnsi="宋体" w:cs="微软雅黑" w:hint="eastAsia"/>
          <w:sz w:val="24"/>
          <w:szCs w:val="24"/>
        </w:rPr>
        <w:t>依法被撤销</w:t>
      </w:r>
      <w:r>
        <w:rPr>
          <w:rFonts w:ascii="宋体" w:eastAsia="宋体" w:hAnsi="宋体" w:cs="Malgun Gothic Semilight" w:hint="eastAsia"/>
          <w:sz w:val="24"/>
          <w:szCs w:val="24"/>
        </w:rPr>
        <w:t>、</w:t>
      </w:r>
      <w:r>
        <w:rPr>
          <w:rFonts w:ascii="宋体" w:eastAsia="宋体" w:hAnsi="宋体" w:cs="微软雅黑" w:hint="eastAsia"/>
          <w:sz w:val="24"/>
          <w:szCs w:val="24"/>
        </w:rPr>
        <w:t>破产或由其他基金托管人接管基金资产</w:t>
      </w:r>
      <w:r>
        <w:rPr>
          <w:rFonts w:ascii="宋体" w:eastAsia="宋体" w:hAnsi="宋体" w:cs="Malgun Gothic Semilight" w:hint="eastAsia"/>
          <w:sz w:val="24"/>
          <w:szCs w:val="24"/>
        </w:rPr>
        <w:t>；</w:t>
      </w:r>
    </w:p>
    <w:p w14:paraId="34C0D7AF"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3.</w:t>
      </w:r>
      <w:r>
        <w:rPr>
          <w:rFonts w:ascii="宋体" w:eastAsia="宋体" w:hAnsi="宋体" w:cs="微软雅黑" w:hint="eastAsia"/>
          <w:sz w:val="24"/>
          <w:szCs w:val="24"/>
        </w:rPr>
        <w:t>基金管理人解散</w:t>
      </w:r>
      <w:r>
        <w:rPr>
          <w:rFonts w:ascii="宋体" w:eastAsia="宋体" w:hAnsi="宋体" w:cs="Malgun Gothic Semilight" w:hint="eastAsia"/>
          <w:sz w:val="24"/>
          <w:szCs w:val="24"/>
        </w:rPr>
        <w:t>、</w:t>
      </w:r>
      <w:r>
        <w:rPr>
          <w:rFonts w:ascii="宋体" w:eastAsia="宋体" w:hAnsi="宋体" w:cs="微软雅黑" w:hint="eastAsia"/>
          <w:sz w:val="24"/>
          <w:szCs w:val="24"/>
        </w:rPr>
        <w:t>依法被撤销</w:t>
      </w:r>
      <w:r>
        <w:rPr>
          <w:rFonts w:ascii="宋体" w:eastAsia="宋体" w:hAnsi="宋体" w:cs="Malgun Gothic Semilight" w:hint="eastAsia"/>
          <w:sz w:val="24"/>
          <w:szCs w:val="24"/>
        </w:rPr>
        <w:t>、</w:t>
      </w:r>
      <w:r>
        <w:rPr>
          <w:rFonts w:ascii="宋体" w:eastAsia="宋体" w:hAnsi="宋体" w:cs="微软雅黑" w:hint="eastAsia"/>
          <w:sz w:val="24"/>
          <w:szCs w:val="24"/>
        </w:rPr>
        <w:t>破产或由其他基金管理人接管基金管理权</w:t>
      </w:r>
      <w:r>
        <w:rPr>
          <w:rFonts w:ascii="宋体" w:eastAsia="宋体" w:hAnsi="宋体" w:cs="Malgun Gothic Semilight" w:hint="eastAsia"/>
          <w:sz w:val="24"/>
          <w:szCs w:val="24"/>
        </w:rPr>
        <w:t>；</w:t>
      </w:r>
    </w:p>
    <w:p w14:paraId="651F18FB"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4.</w:t>
      </w:r>
      <w:r>
        <w:rPr>
          <w:rFonts w:ascii="宋体" w:eastAsia="宋体" w:hAnsi="宋体" w:cs="微软雅黑" w:hint="eastAsia"/>
          <w:sz w:val="24"/>
          <w:szCs w:val="24"/>
        </w:rPr>
        <w:t>发生法律法规或</w:t>
      </w:r>
      <w:r>
        <w:rPr>
          <w:rFonts w:ascii="宋体" w:eastAsia="宋体" w:hAnsi="宋体" w:cs="Malgun Gothic Semilight"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规定的终止事项</w:t>
      </w:r>
      <w:r>
        <w:rPr>
          <w:rFonts w:ascii="宋体" w:eastAsia="宋体" w:hAnsi="宋体" w:cs="Malgun Gothic Semilight" w:hint="eastAsia"/>
          <w:sz w:val="24"/>
          <w:szCs w:val="24"/>
        </w:rPr>
        <w:t>。</w:t>
      </w:r>
    </w:p>
    <w:p w14:paraId="750E4F2A"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三</w:t>
      </w:r>
      <w:r>
        <w:rPr>
          <w:rFonts w:ascii="宋体" w:eastAsia="宋体" w:hAnsi="宋体" w:cs="Malgun Gothic Semilight" w:hint="eastAsia"/>
          <w:sz w:val="24"/>
          <w:szCs w:val="24"/>
        </w:rPr>
        <w:t>）</w:t>
      </w:r>
      <w:r>
        <w:rPr>
          <w:rFonts w:ascii="宋体" w:eastAsia="宋体" w:hAnsi="宋体" w:cs="微软雅黑" w:hint="eastAsia"/>
          <w:sz w:val="24"/>
          <w:szCs w:val="24"/>
        </w:rPr>
        <w:t>基金财产的清算</w:t>
      </w:r>
    </w:p>
    <w:p w14:paraId="40FFF35F"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w:t>
      </w:r>
      <w:r>
        <w:rPr>
          <w:rFonts w:ascii="宋体" w:eastAsia="宋体" w:hAnsi="宋体" w:cs="微软雅黑" w:hint="eastAsia"/>
          <w:sz w:val="24"/>
          <w:szCs w:val="24"/>
        </w:rPr>
        <w:t>基金财产清算小组</w:t>
      </w:r>
      <w:r>
        <w:rPr>
          <w:rFonts w:ascii="宋体" w:eastAsia="宋体" w:hAnsi="宋体" w:cs="Malgun Gothic Semilight" w:hint="eastAsia"/>
          <w:sz w:val="24"/>
          <w:szCs w:val="24"/>
        </w:rPr>
        <w:t>：</w:t>
      </w:r>
      <w:r>
        <w:rPr>
          <w:rFonts w:ascii="宋体" w:eastAsia="宋体" w:hAnsi="宋体" w:cs="微软雅黑" w:hint="eastAsia"/>
          <w:sz w:val="24"/>
          <w:szCs w:val="24"/>
        </w:rPr>
        <w:t>自出现</w:t>
      </w:r>
      <w:r>
        <w:rPr>
          <w:rFonts w:ascii="宋体" w:eastAsia="宋体" w:hAnsi="宋体" w:cs="Malgun Gothic Semilight"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终止事由之日起</w:t>
      </w:r>
      <w:r>
        <w:rPr>
          <w:rFonts w:ascii="宋体" w:eastAsia="宋体" w:hAnsi="宋体" w:cs="Arial" w:hint="eastAsia"/>
          <w:sz w:val="24"/>
          <w:szCs w:val="24"/>
        </w:rPr>
        <w:t>30</w:t>
      </w:r>
      <w:r>
        <w:rPr>
          <w:rFonts w:ascii="宋体" w:eastAsia="宋体" w:hAnsi="宋体" w:cs="微软雅黑" w:hint="eastAsia"/>
          <w:sz w:val="24"/>
          <w:szCs w:val="24"/>
        </w:rPr>
        <w:t>个工作日内成立基金财产清算小组</w:t>
      </w:r>
      <w:r>
        <w:rPr>
          <w:rFonts w:ascii="宋体" w:eastAsia="宋体" w:hAnsi="宋体" w:cs="Malgun Gothic Semilight" w:hint="eastAsia"/>
          <w:sz w:val="24"/>
          <w:szCs w:val="24"/>
        </w:rPr>
        <w:t>，</w:t>
      </w:r>
      <w:r>
        <w:rPr>
          <w:rFonts w:ascii="宋体" w:eastAsia="宋体" w:hAnsi="宋体" w:cs="微软雅黑" w:hint="eastAsia"/>
          <w:sz w:val="24"/>
          <w:szCs w:val="24"/>
        </w:rPr>
        <w:t>基金管理人组织基金财产清算小组并在中国证监会的监督下进行基金清算</w:t>
      </w:r>
      <w:r>
        <w:rPr>
          <w:rFonts w:ascii="宋体" w:eastAsia="宋体" w:hAnsi="宋体" w:cs="Malgun Gothic Semilight" w:hint="eastAsia"/>
          <w:sz w:val="24"/>
          <w:szCs w:val="24"/>
        </w:rPr>
        <w:t>。</w:t>
      </w:r>
    </w:p>
    <w:p w14:paraId="362859C1"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Pr>
          <w:rFonts w:hint="eastAsia"/>
        </w:rPr>
        <w:t xml:space="preserve"> </w:t>
      </w:r>
      <w:r>
        <w:rPr>
          <w:rFonts w:ascii="宋体" w:eastAsia="宋体" w:hAnsi="宋体" w:cs="Arial" w:hint="eastAsia"/>
          <w:sz w:val="24"/>
          <w:szCs w:val="24"/>
        </w:rPr>
        <w:t>在基金财产清算小组接管基金财产之前，基金管理人和基金托管人应按照基金合同和托管协议的规定继续履行保护基金财产安全的职责。</w:t>
      </w:r>
    </w:p>
    <w:p w14:paraId="45081D93"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lastRenderedPageBreak/>
        <w:t>3</w:t>
      </w:r>
      <w:r>
        <w:rPr>
          <w:rFonts w:ascii="宋体" w:eastAsia="宋体" w:hAnsi="宋体" w:cs="Arial" w:hint="eastAsia"/>
          <w:sz w:val="24"/>
          <w:szCs w:val="24"/>
        </w:rPr>
        <w:t>.</w:t>
      </w:r>
      <w:r>
        <w:rPr>
          <w:rFonts w:ascii="宋体" w:eastAsia="宋体" w:hAnsi="宋体" w:cs="微软雅黑" w:hint="eastAsia"/>
          <w:sz w:val="24"/>
          <w:szCs w:val="24"/>
        </w:rPr>
        <w:t>基金财产清算小组组成</w:t>
      </w:r>
      <w:r>
        <w:rPr>
          <w:rFonts w:ascii="宋体" w:eastAsia="宋体" w:hAnsi="宋体" w:cs="Malgun Gothic Semilight" w:hint="eastAsia"/>
          <w:sz w:val="24"/>
          <w:szCs w:val="24"/>
        </w:rPr>
        <w:t>：</w:t>
      </w:r>
      <w:r>
        <w:rPr>
          <w:rFonts w:ascii="宋体" w:eastAsia="宋体" w:hAnsi="宋体" w:cs="微软雅黑" w:hint="eastAsia"/>
          <w:sz w:val="24"/>
          <w:szCs w:val="24"/>
        </w:rPr>
        <w:t>基金财产清算小组成员由基金管理人</w:t>
      </w:r>
      <w:r>
        <w:rPr>
          <w:rFonts w:ascii="宋体" w:eastAsia="宋体" w:hAnsi="宋体" w:cs="Malgun Gothic Semilight" w:hint="eastAsia"/>
          <w:sz w:val="24"/>
          <w:szCs w:val="24"/>
        </w:rPr>
        <w:t>、</w:t>
      </w:r>
      <w:r>
        <w:rPr>
          <w:rFonts w:ascii="宋体" w:eastAsia="宋体" w:hAnsi="宋体" w:cs="微软雅黑" w:hint="eastAsia"/>
          <w:sz w:val="24"/>
          <w:szCs w:val="24"/>
        </w:rPr>
        <w:t>基金托管人</w:t>
      </w:r>
      <w:r>
        <w:rPr>
          <w:rFonts w:ascii="宋体" w:eastAsia="宋体" w:hAnsi="宋体" w:cs="Malgun Gothic Semilight" w:hint="eastAsia"/>
          <w:sz w:val="24"/>
          <w:szCs w:val="24"/>
        </w:rPr>
        <w:t>、</w:t>
      </w:r>
      <w:r>
        <w:rPr>
          <w:rFonts w:ascii="宋体" w:eastAsia="宋体" w:hAnsi="宋体" w:cs="微软雅黑" w:hint="eastAsia"/>
          <w:sz w:val="24"/>
          <w:szCs w:val="24"/>
        </w:rPr>
        <w:t>符合</w:t>
      </w:r>
      <w:r>
        <w:rPr>
          <w:rFonts w:ascii="宋体" w:eastAsia="宋体" w:hAnsi="宋体" w:cs="Malgun Gothic Semilight" w:hint="eastAsia"/>
          <w:sz w:val="24"/>
          <w:szCs w:val="24"/>
        </w:rPr>
        <w:t>《</w:t>
      </w:r>
      <w:r>
        <w:rPr>
          <w:rFonts w:ascii="宋体" w:eastAsia="宋体" w:hAnsi="宋体" w:cs="微软雅黑" w:hint="eastAsia"/>
          <w:sz w:val="24"/>
          <w:szCs w:val="24"/>
        </w:rPr>
        <w:t>证券法</w:t>
      </w:r>
      <w:r>
        <w:rPr>
          <w:rFonts w:ascii="宋体" w:eastAsia="宋体" w:hAnsi="宋体" w:cs="Malgun Gothic Semilight" w:hint="eastAsia"/>
          <w:sz w:val="24"/>
          <w:szCs w:val="24"/>
        </w:rPr>
        <w:t>》</w:t>
      </w:r>
      <w:r>
        <w:rPr>
          <w:rFonts w:ascii="宋体" w:eastAsia="宋体" w:hAnsi="宋体" w:cs="微软雅黑" w:hint="eastAsia"/>
          <w:sz w:val="24"/>
          <w:szCs w:val="24"/>
        </w:rPr>
        <w:t>规定的注册会计师</w:t>
      </w:r>
      <w:r>
        <w:rPr>
          <w:rFonts w:ascii="宋体" w:eastAsia="宋体" w:hAnsi="宋体" w:cs="Arial" w:hint="eastAsia"/>
          <w:sz w:val="24"/>
          <w:szCs w:val="24"/>
        </w:rPr>
        <w:t>、</w:t>
      </w:r>
      <w:r>
        <w:rPr>
          <w:rFonts w:ascii="宋体" w:eastAsia="宋体" w:hAnsi="宋体" w:cs="微软雅黑" w:hint="eastAsia"/>
          <w:sz w:val="24"/>
          <w:szCs w:val="24"/>
        </w:rPr>
        <w:t>律师组成</w:t>
      </w:r>
      <w:r>
        <w:rPr>
          <w:rFonts w:ascii="宋体" w:eastAsia="宋体" w:hAnsi="宋体" w:cs="Malgun Gothic Semilight" w:hint="eastAsia"/>
          <w:sz w:val="24"/>
          <w:szCs w:val="24"/>
        </w:rPr>
        <w:t>。</w:t>
      </w:r>
      <w:r>
        <w:rPr>
          <w:rFonts w:ascii="宋体" w:eastAsia="宋体" w:hAnsi="宋体" w:cs="微软雅黑" w:hint="eastAsia"/>
          <w:sz w:val="24"/>
          <w:szCs w:val="24"/>
        </w:rPr>
        <w:t>基金财产清算小组可以聘用必要的工作人员</w:t>
      </w:r>
      <w:r>
        <w:rPr>
          <w:rFonts w:ascii="宋体" w:eastAsia="宋体" w:hAnsi="宋体" w:cs="Malgun Gothic Semilight" w:hint="eastAsia"/>
          <w:sz w:val="24"/>
          <w:szCs w:val="24"/>
        </w:rPr>
        <w:t>。</w:t>
      </w:r>
    </w:p>
    <w:p w14:paraId="63636FC9"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4</w:t>
      </w:r>
      <w:r>
        <w:rPr>
          <w:rFonts w:ascii="宋体" w:eastAsia="宋体" w:hAnsi="宋体" w:cs="Arial" w:hint="eastAsia"/>
          <w:sz w:val="24"/>
          <w:szCs w:val="24"/>
        </w:rPr>
        <w:t>.</w:t>
      </w:r>
      <w:r>
        <w:rPr>
          <w:rFonts w:ascii="宋体" w:eastAsia="宋体" w:hAnsi="宋体" w:cs="微软雅黑" w:hint="eastAsia"/>
          <w:sz w:val="24"/>
          <w:szCs w:val="24"/>
        </w:rPr>
        <w:t>基金财产清算小组职责</w:t>
      </w:r>
      <w:r>
        <w:rPr>
          <w:rFonts w:ascii="宋体" w:eastAsia="宋体" w:hAnsi="宋体" w:cs="Malgun Gothic Semilight" w:hint="eastAsia"/>
          <w:sz w:val="24"/>
          <w:szCs w:val="24"/>
        </w:rPr>
        <w:t>：</w:t>
      </w:r>
      <w:r>
        <w:rPr>
          <w:rFonts w:ascii="宋体" w:eastAsia="宋体" w:hAnsi="宋体" w:cs="微软雅黑" w:hint="eastAsia"/>
          <w:sz w:val="24"/>
          <w:szCs w:val="24"/>
        </w:rPr>
        <w:t>基金财产清算小组负责基金财产的保管</w:t>
      </w:r>
      <w:r>
        <w:rPr>
          <w:rFonts w:ascii="宋体" w:eastAsia="宋体" w:hAnsi="宋体" w:cs="Malgun Gothic Semilight" w:hint="eastAsia"/>
          <w:sz w:val="24"/>
          <w:szCs w:val="24"/>
        </w:rPr>
        <w:t>、</w:t>
      </w:r>
      <w:r>
        <w:rPr>
          <w:rFonts w:ascii="宋体" w:eastAsia="宋体" w:hAnsi="宋体" w:cs="微软雅黑" w:hint="eastAsia"/>
          <w:sz w:val="24"/>
          <w:szCs w:val="24"/>
        </w:rPr>
        <w:t>清理</w:t>
      </w:r>
      <w:r>
        <w:rPr>
          <w:rFonts w:ascii="宋体" w:eastAsia="宋体" w:hAnsi="宋体" w:cs="Malgun Gothic Semilight" w:hint="eastAsia"/>
          <w:sz w:val="24"/>
          <w:szCs w:val="24"/>
        </w:rPr>
        <w:t>、</w:t>
      </w:r>
      <w:r>
        <w:rPr>
          <w:rFonts w:ascii="宋体" w:eastAsia="宋体" w:hAnsi="宋体" w:cs="微软雅黑" w:hint="eastAsia"/>
          <w:sz w:val="24"/>
          <w:szCs w:val="24"/>
        </w:rPr>
        <w:t>估价</w:t>
      </w:r>
      <w:r>
        <w:rPr>
          <w:rFonts w:ascii="宋体" w:eastAsia="宋体" w:hAnsi="宋体" w:cs="Malgun Gothic Semilight" w:hint="eastAsia"/>
          <w:sz w:val="24"/>
          <w:szCs w:val="24"/>
        </w:rPr>
        <w:t>、</w:t>
      </w:r>
      <w:r>
        <w:rPr>
          <w:rFonts w:ascii="宋体" w:eastAsia="宋体" w:hAnsi="宋体" w:cs="微软雅黑" w:hint="eastAsia"/>
          <w:sz w:val="24"/>
          <w:szCs w:val="24"/>
        </w:rPr>
        <w:t>变现和分配</w:t>
      </w:r>
      <w:r>
        <w:rPr>
          <w:rFonts w:ascii="宋体" w:eastAsia="宋体" w:hAnsi="宋体" w:cs="Malgun Gothic Semilight" w:hint="eastAsia"/>
          <w:sz w:val="24"/>
          <w:szCs w:val="24"/>
        </w:rPr>
        <w:t>。</w:t>
      </w:r>
      <w:r>
        <w:rPr>
          <w:rFonts w:ascii="宋体" w:eastAsia="宋体" w:hAnsi="宋体" w:cs="微软雅黑" w:hint="eastAsia"/>
          <w:sz w:val="24"/>
          <w:szCs w:val="24"/>
        </w:rPr>
        <w:t>基金财产清算小组可以依法进行必要的民事活动</w:t>
      </w:r>
      <w:r>
        <w:rPr>
          <w:rFonts w:ascii="宋体" w:eastAsia="宋体" w:hAnsi="宋体" w:cs="Malgun Gothic Semilight" w:hint="eastAsia"/>
          <w:sz w:val="24"/>
          <w:szCs w:val="24"/>
        </w:rPr>
        <w:t>。</w:t>
      </w:r>
    </w:p>
    <w:p w14:paraId="78C4549F"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5</w:t>
      </w:r>
      <w:r>
        <w:rPr>
          <w:rFonts w:ascii="宋体" w:eastAsia="宋体" w:hAnsi="宋体" w:cs="Arial" w:hint="eastAsia"/>
          <w:sz w:val="24"/>
          <w:szCs w:val="24"/>
        </w:rPr>
        <w:t>.</w:t>
      </w:r>
      <w:r>
        <w:rPr>
          <w:rFonts w:ascii="宋体" w:eastAsia="宋体" w:hAnsi="宋体" w:cs="微软雅黑" w:hint="eastAsia"/>
          <w:sz w:val="24"/>
          <w:szCs w:val="24"/>
        </w:rPr>
        <w:t>基金财产清算程序</w:t>
      </w:r>
      <w:r>
        <w:rPr>
          <w:rFonts w:ascii="宋体" w:eastAsia="宋体" w:hAnsi="宋体" w:cs="Malgun Gothic Semilight" w:hint="eastAsia"/>
          <w:sz w:val="24"/>
          <w:szCs w:val="24"/>
        </w:rPr>
        <w:t>：</w:t>
      </w:r>
    </w:p>
    <w:p w14:paraId="1EEF5977"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（1）基金财产清算小组成立后</w:t>
      </w:r>
      <w:r>
        <w:rPr>
          <w:rFonts w:ascii="宋体" w:eastAsia="宋体" w:hAnsi="宋体" w:cs="Malgun Gothic Semilight" w:hint="eastAsia"/>
          <w:sz w:val="24"/>
          <w:szCs w:val="24"/>
        </w:rPr>
        <w:t>，</w:t>
      </w:r>
      <w:r>
        <w:rPr>
          <w:rFonts w:ascii="宋体" w:eastAsia="宋体" w:hAnsi="宋体" w:cs="微软雅黑" w:hint="eastAsia"/>
          <w:sz w:val="24"/>
          <w:szCs w:val="24"/>
        </w:rPr>
        <w:t>由基金财产清算小组统一接管基金</w:t>
      </w:r>
      <w:r>
        <w:rPr>
          <w:rFonts w:ascii="宋体" w:eastAsia="宋体" w:hAnsi="宋体" w:cs="Malgun Gothic Semilight" w:hint="eastAsia"/>
          <w:sz w:val="24"/>
          <w:szCs w:val="24"/>
        </w:rPr>
        <w:t>；</w:t>
      </w:r>
    </w:p>
    <w:p w14:paraId="5F47EDE4"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（2）</w:t>
      </w:r>
      <w:r>
        <w:rPr>
          <w:rFonts w:ascii="宋体" w:eastAsia="宋体" w:hAnsi="宋体" w:cs="微软雅黑" w:hint="eastAsia"/>
          <w:sz w:val="24"/>
          <w:szCs w:val="24"/>
        </w:rPr>
        <w:t>对基金财产和债权债务进行清理和确认</w:t>
      </w:r>
      <w:r>
        <w:rPr>
          <w:rFonts w:ascii="宋体" w:eastAsia="宋体" w:hAnsi="宋体" w:cs="Malgun Gothic Semilight" w:hint="eastAsia"/>
          <w:sz w:val="24"/>
          <w:szCs w:val="24"/>
        </w:rPr>
        <w:t>；</w:t>
      </w:r>
    </w:p>
    <w:p w14:paraId="657E1E7D"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（3）</w:t>
      </w:r>
      <w:r>
        <w:rPr>
          <w:rFonts w:ascii="宋体" w:eastAsia="宋体" w:hAnsi="宋体" w:cs="微软雅黑" w:hint="eastAsia"/>
          <w:sz w:val="24"/>
          <w:szCs w:val="24"/>
        </w:rPr>
        <w:t>对基金财产进行估值和变现</w:t>
      </w:r>
      <w:r>
        <w:rPr>
          <w:rFonts w:ascii="宋体" w:eastAsia="宋体" w:hAnsi="宋体" w:cs="Malgun Gothic Semilight" w:hint="eastAsia"/>
          <w:sz w:val="24"/>
          <w:szCs w:val="24"/>
        </w:rPr>
        <w:t>；</w:t>
      </w:r>
    </w:p>
    <w:p w14:paraId="3264995F"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（4）</w:t>
      </w:r>
      <w:r>
        <w:rPr>
          <w:rFonts w:ascii="宋体" w:eastAsia="宋体" w:hAnsi="宋体" w:cs="微软雅黑" w:hint="eastAsia"/>
          <w:sz w:val="24"/>
          <w:szCs w:val="24"/>
        </w:rPr>
        <w:t>制作清算报告</w:t>
      </w:r>
      <w:r>
        <w:rPr>
          <w:rFonts w:ascii="宋体" w:eastAsia="宋体" w:hAnsi="宋体" w:cs="Malgun Gothic Semilight" w:hint="eastAsia"/>
          <w:sz w:val="24"/>
          <w:szCs w:val="24"/>
        </w:rPr>
        <w:t>；</w:t>
      </w:r>
    </w:p>
    <w:p w14:paraId="585CA3EF"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（5）</w:t>
      </w:r>
      <w:r>
        <w:rPr>
          <w:rFonts w:ascii="宋体" w:eastAsia="宋体" w:hAnsi="宋体" w:cs="微软雅黑" w:hint="eastAsia"/>
          <w:sz w:val="24"/>
          <w:szCs w:val="24"/>
        </w:rPr>
        <w:t>聘请会计师事务所对清算报告进行外部审计</w:t>
      </w:r>
      <w:r>
        <w:rPr>
          <w:rFonts w:ascii="宋体" w:eastAsia="宋体" w:hAnsi="宋体" w:cs="Malgun Gothic Semilight" w:hint="eastAsia"/>
          <w:sz w:val="24"/>
          <w:szCs w:val="24"/>
        </w:rPr>
        <w:t>，</w:t>
      </w:r>
      <w:r>
        <w:rPr>
          <w:rFonts w:ascii="宋体" w:eastAsia="宋体" w:hAnsi="宋体" w:cs="微软雅黑" w:hint="eastAsia"/>
          <w:sz w:val="24"/>
          <w:szCs w:val="24"/>
        </w:rPr>
        <w:t>聘请律师事务所对清算报告出具法律意见书</w:t>
      </w:r>
      <w:r>
        <w:rPr>
          <w:rFonts w:ascii="宋体" w:eastAsia="宋体" w:hAnsi="宋体" w:cs="Malgun Gothic Semilight" w:hint="eastAsia"/>
          <w:sz w:val="24"/>
          <w:szCs w:val="24"/>
        </w:rPr>
        <w:t>；</w:t>
      </w:r>
    </w:p>
    <w:p w14:paraId="7509DA2B"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（6）</w:t>
      </w:r>
      <w:r>
        <w:rPr>
          <w:rFonts w:ascii="宋体" w:eastAsia="宋体" w:hAnsi="宋体" w:cs="微软雅黑" w:hint="eastAsia"/>
          <w:sz w:val="24"/>
          <w:szCs w:val="24"/>
        </w:rPr>
        <w:t>将清算报告报中国证监会备案并公告</w:t>
      </w:r>
      <w:r>
        <w:rPr>
          <w:rFonts w:ascii="宋体" w:eastAsia="宋体" w:hAnsi="宋体" w:cs="Malgun Gothic Semilight" w:hint="eastAsia"/>
          <w:sz w:val="24"/>
          <w:szCs w:val="24"/>
        </w:rPr>
        <w:t>；</w:t>
      </w:r>
    </w:p>
    <w:p w14:paraId="1603955D"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（7）</w:t>
      </w:r>
      <w:r>
        <w:rPr>
          <w:rFonts w:ascii="宋体" w:eastAsia="宋体" w:hAnsi="宋体" w:cs="微软雅黑" w:hint="eastAsia"/>
          <w:sz w:val="24"/>
          <w:szCs w:val="24"/>
        </w:rPr>
        <w:t>对基金剩余财产进行分配</w:t>
      </w:r>
      <w:r>
        <w:rPr>
          <w:rFonts w:ascii="宋体" w:eastAsia="宋体" w:hAnsi="宋体" w:cs="Malgun Gothic Semilight" w:hint="eastAsia"/>
          <w:sz w:val="24"/>
          <w:szCs w:val="24"/>
        </w:rPr>
        <w:t>。</w:t>
      </w:r>
    </w:p>
    <w:p w14:paraId="2285E070"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6</w:t>
      </w:r>
      <w:r>
        <w:rPr>
          <w:rFonts w:ascii="宋体" w:eastAsia="宋体" w:hAnsi="宋体" w:cs="Arial" w:hint="eastAsia"/>
          <w:sz w:val="24"/>
          <w:szCs w:val="24"/>
        </w:rPr>
        <w:t>.</w:t>
      </w:r>
      <w:r>
        <w:rPr>
          <w:rFonts w:ascii="宋体" w:eastAsia="宋体" w:hAnsi="宋体" w:cs="微软雅黑" w:hint="eastAsia"/>
          <w:sz w:val="24"/>
          <w:szCs w:val="24"/>
        </w:rPr>
        <w:t>基金财产清算的期限为</w:t>
      </w:r>
      <w:r>
        <w:rPr>
          <w:rFonts w:ascii="宋体" w:eastAsia="宋体" w:hAnsi="宋体" w:cs="Arial" w:hint="eastAsia"/>
          <w:sz w:val="24"/>
          <w:szCs w:val="24"/>
        </w:rPr>
        <w:t>6</w:t>
      </w:r>
      <w:r>
        <w:rPr>
          <w:rFonts w:ascii="宋体" w:eastAsia="宋体" w:hAnsi="宋体" w:cs="微软雅黑" w:hint="eastAsia"/>
          <w:sz w:val="24"/>
          <w:szCs w:val="24"/>
        </w:rPr>
        <w:t>个月</w:t>
      </w:r>
      <w:r>
        <w:rPr>
          <w:rFonts w:ascii="宋体" w:eastAsia="宋体" w:hAnsi="宋体" w:cs="Malgun Gothic Semilight" w:hint="eastAsia"/>
          <w:sz w:val="24"/>
          <w:szCs w:val="24"/>
        </w:rPr>
        <w:t>，</w:t>
      </w:r>
      <w:r>
        <w:rPr>
          <w:rFonts w:ascii="宋体" w:eastAsia="宋体" w:hAnsi="宋体" w:cs="微软雅黑" w:hint="eastAsia"/>
          <w:sz w:val="24"/>
          <w:szCs w:val="24"/>
        </w:rPr>
        <w:t>但因本基金所持证券的流动性受到限制而不能及时变现、结算保证金相关规定等客观因素</w:t>
      </w:r>
      <w:r>
        <w:rPr>
          <w:rFonts w:ascii="宋体" w:eastAsia="宋体" w:hAnsi="宋体" w:cs="Malgun Gothic Semilight" w:hint="eastAsia"/>
          <w:sz w:val="24"/>
          <w:szCs w:val="24"/>
        </w:rPr>
        <w:t>，</w:t>
      </w:r>
      <w:r>
        <w:rPr>
          <w:rFonts w:ascii="宋体" w:eastAsia="宋体" w:hAnsi="宋体" w:cs="微软雅黑" w:hint="eastAsia"/>
          <w:sz w:val="24"/>
          <w:szCs w:val="24"/>
        </w:rPr>
        <w:t>清算期限相应顺延</w:t>
      </w:r>
      <w:r>
        <w:rPr>
          <w:rFonts w:ascii="宋体" w:eastAsia="宋体" w:hAnsi="宋体" w:cs="Malgun Gothic Semilight" w:hint="eastAsia"/>
          <w:sz w:val="24"/>
          <w:szCs w:val="24"/>
        </w:rPr>
        <w:t>。</w:t>
      </w:r>
    </w:p>
    <w:p w14:paraId="04FFDF64"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7</w:t>
      </w:r>
      <w:r>
        <w:rPr>
          <w:rFonts w:ascii="宋体" w:eastAsia="宋体" w:hAnsi="宋体" w:cs="Arial" w:hint="eastAsia"/>
          <w:sz w:val="24"/>
          <w:szCs w:val="24"/>
        </w:rPr>
        <w:t>.</w:t>
      </w:r>
      <w:r>
        <w:rPr>
          <w:rFonts w:ascii="宋体" w:eastAsia="宋体" w:hAnsi="宋体" w:cs="微软雅黑" w:hint="eastAsia"/>
          <w:sz w:val="24"/>
          <w:szCs w:val="24"/>
        </w:rPr>
        <w:t>清算费用</w:t>
      </w:r>
    </w:p>
    <w:p w14:paraId="6729A35E"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清算费用是指基金财产清算小组在进行基金清算过程中发生的所有合理费用</w:t>
      </w:r>
      <w:r>
        <w:rPr>
          <w:rFonts w:ascii="宋体" w:eastAsia="宋体" w:hAnsi="宋体" w:cs="Malgun Gothic Semilight" w:hint="eastAsia"/>
          <w:sz w:val="24"/>
          <w:szCs w:val="24"/>
        </w:rPr>
        <w:t>，</w:t>
      </w:r>
      <w:r>
        <w:rPr>
          <w:rFonts w:ascii="宋体" w:eastAsia="宋体" w:hAnsi="宋体" w:cs="微软雅黑" w:hint="eastAsia"/>
          <w:sz w:val="24"/>
          <w:szCs w:val="24"/>
        </w:rPr>
        <w:t>清算费用由基金财产清算小组优先从基金剩余财产中支付</w:t>
      </w:r>
      <w:r>
        <w:rPr>
          <w:rFonts w:ascii="宋体" w:eastAsia="宋体" w:hAnsi="宋体" w:cs="Malgun Gothic Semilight" w:hint="eastAsia"/>
          <w:sz w:val="24"/>
          <w:szCs w:val="24"/>
        </w:rPr>
        <w:t>。</w:t>
      </w:r>
    </w:p>
    <w:p w14:paraId="436D3526"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8</w:t>
      </w:r>
      <w:r>
        <w:rPr>
          <w:rFonts w:ascii="宋体" w:eastAsia="宋体" w:hAnsi="宋体" w:cs="Arial" w:hint="eastAsia"/>
          <w:sz w:val="24"/>
          <w:szCs w:val="24"/>
        </w:rPr>
        <w:t>.</w:t>
      </w:r>
      <w:r>
        <w:rPr>
          <w:rFonts w:ascii="宋体" w:eastAsia="宋体" w:hAnsi="宋体" w:cs="微软雅黑" w:hint="eastAsia"/>
          <w:sz w:val="24"/>
          <w:szCs w:val="24"/>
        </w:rPr>
        <w:t>基金财产清算剩余资产的分配</w:t>
      </w:r>
      <w:r>
        <w:rPr>
          <w:rFonts w:ascii="宋体" w:eastAsia="宋体" w:hAnsi="宋体" w:cs="Malgun Gothic Semilight" w:hint="eastAsia"/>
          <w:sz w:val="24"/>
          <w:szCs w:val="24"/>
        </w:rPr>
        <w:t>：</w:t>
      </w:r>
    </w:p>
    <w:p w14:paraId="4F9CD124"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依据基金财产清算的分配方案</w:t>
      </w:r>
      <w:r>
        <w:rPr>
          <w:rFonts w:ascii="宋体" w:eastAsia="宋体" w:hAnsi="宋体" w:cs="Malgun Gothic Semilight" w:hint="eastAsia"/>
          <w:sz w:val="24"/>
          <w:szCs w:val="24"/>
        </w:rPr>
        <w:t>，</w:t>
      </w:r>
      <w:r>
        <w:rPr>
          <w:rFonts w:ascii="宋体" w:eastAsia="宋体" w:hAnsi="宋体" w:cs="微软雅黑" w:hint="eastAsia"/>
          <w:sz w:val="24"/>
          <w:szCs w:val="24"/>
        </w:rPr>
        <w:t>将基金财产清算后的全部剩余资产扣除基金财产清算费用</w:t>
      </w:r>
      <w:r>
        <w:rPr>
          <w:rFonts w:ascii="宋体" w:eastAsia="宋体" w:hAnsi="宋体" w:cs="Malgun Gothic Semilight" w:hint="eastAsia"/>
          <w:sz w:val="24"/>
          <w:szCs w:val="24"/>
        </w:rPr>
        <w:t>、</w:t>
      </w:r>
      <w:r>
        <w:rPr>
          <w:rFonts w:ascii="宋体" w:eastAsia="宋体" w:hAnsi="宋体" w:cs="微软雅黑" w:hint="eastAsia"/>
          <w:sz w:val="24"/>
          <w:szCs w:val="24"/>
        </w:rPr>
        <w:t>交纳所欠税款并清偿基金债务后</w:t>
      </w:r>
      <w:r>
        <w:rPr>
          <w:rFonts w:ascii="宋体" w:eastAsia="宋体" w:hAnsi="宋体" w:cs="Malgun Gothic Semilight" w:hint="eastAsia"/>
          <w:sz w:val="24"/>
          <w:szCs w:val="24"/>
        </w:rPr>
        <w:t>，</w:t>
      </w:r>
      <w:r>
        <w:rPr>
          <w:rFonts w:ascii="宋体" w:eastAsia="宋体" w:hAnsi="宋体" w:cs="微软雅黑" w:hint="eastAsia"/>
          <w:sz w:val="24"/>
          <w:szCs w:val="24"/>
        </w:rPr>
        <w:t>按基金份额持有人持有的基金份额比例进行分配</w:t>
      </w:r>
      <w:r>
        <w:rPr>
          <w:rFonts w:ascii="宋体" w:eastAsia="宋体" w:hAnsi="宋体" w:cs="Malgun Gothic Semilight" w:hint="eastAsia"/>
          <w:sz w:val="24"/>
          <w:szCs w:val="24"/>
        </w:rPr>
        <w:t>。</w:t>
      </w:r>
    </w:p>
    <w:p w14:paraId="4E101FDA"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9</w:t>
      </w:r>
      <w:r>
        <w:rPr>
          <w:rFonts w:ascii="宋体" w:eastAsia="宋体" w:hAnsi="宋体" w:cs="Arial" w:hint="eastAsia"/>
          <w:sz w:val="24"/>
          <w:szCs w:val="24"/>
        </w:rPr>
        <w:t>.</w:t>
      </w:r>
      <w:r>
        <w:rPr>
          <w:rFonts w:ascii="宋体" w:eastAsia="宋体" w:hAnsi="宋体" w:cs="微软雅黑" w:hint="eastAsia"/>
          <w:sz w:val="24"/>
          <w:szCs w:val="24"/>
        </w:rPr>
        <w:t>基金财产清算的公告</w:t>
      </w:r>
    </w:p>
    <w:p w14:paraId="5BA2DCDD"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清算过程中的有关重大事项应及时公告</w:t>
      </w:r>
      <w:r>
        <w:rPr>
          <w:rFonts w:ascii="宋体" w:eastAsia="宋体" w:hAnsi="宋体" w:cs="Malgun Gothic Semilight" w:hint="eastAsia"/>
          <w:sz w:val="24"/>
          <w:szCs w:val="24"/>
        </w:rPr>
        <w:t>；</w:t>
      </w:r>
      <w:r>
        <w:rPr>
          <w:rFonts w:ascii="宋体" w:eastAsia="宋体" w:hAnsi="宋体" w:cs="微软雅黑" w:hint="eastAsia"/>
          <w:sz w:val="24"/>
          <w:szCs w:val="24"/>
        </w:rPr>
        <w:t>基金财产清算报告</w:t>
      </w:r>
      <w:proofErr w:type="gramStart"/>
      <w:r>
        <w:rPr>
          <w:rFonts w:ascii="宋体" w:eastAsia="宋体" w:hAnsi="宋体" w:cs="微软雅黑" w:hint="eastAsia"/>
          <w:sz w:val="24"/>
          <w:szCs w:val="24"/>
        </w:rPr>
        <w:t>经符合</w:t>
      </w:r>
      <w:proofErr w:type="gramEnd"/>
      <w:r>
        <w:rPr>
          <w:rFonts w:ascii="宋体" w:eastAsia="宋体" w:hAnsi="宋体" w:cs="Malgun Gothic Semilight" w:hint="eastAsia"/>
          <w:sz w:val="24"/>
          <w:szCs w:val="24"/>
        </w:rPr>
        <w:t>《</w:t>
      </w:r>
      <w:r>
        <w:rPr>
          <w:rFonts w:ascii="宋体" w:eastAsia="宋体" w:hAnsi="宋体" w:cs="微软雅黑" w:hint="eastAsia"/>
          <w:sz w:val="24"/>
          <w:szCs w:val="24"/>
        </w:rPr>
        <w:t>证券法</w:t>
      </w:r>
      <w:r>
        <w:rPr>
          <w:rFonts w:ascii="宋体" w:eastAsia="宋体" w:hAnsi="宋体" w:cs="Malgun Gothic Semilight" w:hint="eastAsia"/>
          <w:sz w:val="24"/>
          <w:szCs w:val="24"/>
        </w:rPr>
        <w:t>》</w:t>
      </w:r>
      <w:r>
        <w:rPr>
          <w:rFonts w:ascii="宋体" w:eastAsia="宋体" w:hAnsi="宋体" w:cs="微软雅黑" w:hint="eastAsia"/>
          <w:sz w:val="24"/>
          <w:szCs w:val="24"/>
        </w:rPr>
        <w:t>规定的会计师事务所审计并由律师事务所出具法律意见书后报中国证监会备案并公告</w:t>
      </w:r>
      <w:r>
        <w:rPr>
          <w:rFonts w:ascii="宋体" w:eastAsia="宋体" w:hAnsi="宋体" w:cs="Malgun Gothic Semilight" w:hint="eastAsia"/>
          <w:sz w:val="24"/>
          <w:szCs w:val="24"/>
        </w:rPr>
        <w:t>。</w:t>
      </w:r>
      <w:r>
        <w:rPr>
          <w:rFonts w:ascii="宋体" w:eastAsia="宋体" w:hAnsi="宋体" w:cs="微软雅黑" w:hint="eastAsia"/>
          <w:sz w:val="24"/>
          <w:szCs w:val="24"/>
        </w:rPr>
        <w:t>基金财产清算公告于基金财产清算报告报中国证监会备案后</w:t>
      </w:r>
      <w:r>
        <w:rPr>
          <w:rFonts w:ascii="宋体" w:hAnsi="宋体" w:cs="Arial"/>
          <w:bCs/>
          <w:sz w:val="24"/>
        </w:rPr>
        <w:t>5</w:t>
      </w:r>
      <w:r>
        <w:rPr>
          <w:rFonts w:ascii="宋体" w:hAnsi="宋体" w:cs="Arial"/>
          <w:bCs/>
          <w:sz w:val="24"/>
        </w:rPr>
        <w:t>个工作日内</w:t>
      </w:r>
      <w:r>
        <w:rPr>
          <w:rFonts w:ascii="宋体" w:eastAsia="宋体" w:hAnsi="宋体" w:cs="微软雅黑"/>
          <w:sz w:val="24"/>
          <w:szCs w:val="24"/>
        </w:rPr>
        <w:t>由基金财产清算小组进行公告</w:t>
      </w:r>
      <w:r>
        <w:rPr>
          <w:rFonts w:ascii="宋体" w:eastAsia="宋体" w:hAnsi="宋体" w:cs="Arial" w:hint="eastAsia"/>
          <w:sz w:val="24"/>
          <w:szCs w:val="24"/>
        </w:rPr>
        <w:t>。</w:t>
      </w:r>
    </w:p>
    <w:p w14:paraId="11FFEEFE"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9.</w:t>
      </w:r>
      <w:r>
        <w:rPr>
          <w:rFonts w:ascii="宋体" w:eastAsia="宋体" w:hAnsi="宋体" w:cs="微软雅黑" w:hint="eastAsia"/>
          <w:sz w:val="24"/>
          <w:szCs w:val="24"/>
        </w:rPr>
        <w:t>基金财产清算账册及文件的保存</w:t>
      </w:r>
    </w:p>
    <w:p w14:paraId="22803E8C" w14:textId="35944C1B"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基金财产清算账册及有关文件由基金托管人保存</w:t>
      </w:r>
      <w:r>
        <w:rPr>
          <w:rFonts w:ascii="宋体" w:eastAsia="宋体" w:hAnsi="宋体" w:cs="Arial" w:hint="eastAsia"/>
          <w:sz w:val="24"/>
          <w:szCs w:val="24"/>
        </w:rPr>
        <w:t>，</w:t>
      </w:r>
      <w:r>
        <w:rPr>
          <w:rFonts w:ascii="宋体" w:eastAsia="宋体" w:hAnsi="宋体" w:cs="微软雅黑" w:hint="eastAsia"/>
          <w:sz w:val="24"/>
          <w:szCs w:val="24"/>
        </w:rPr>
        <w:t>保存</w:t>
      </w:r>
      <w:r>
        <w:rPr>
          <w:rFonts w:ascii="宋体" w:eastAsia="宋体" w:hAnsi="宋体" w:cs="微软雅黑" w:hint="eastAsia"/>
          <w:bCs/>
          <w:sz w:val="24"/>
          <w:szCs w:val="24"/>
        </w:rPr>
        <w:t>期限</w:t>
      </w:r>
      <w:r>
        <w:rPr>
          <w:rFonts w:ascii="宋体" w:eastAsia="宋体" w:hAnsi="宋体" w:cs="微软雅黑" w:hint="eastAsia"/>
          <w:sz w:val="24"/>
          <w:szCs w:val="24"/>
        </w:rPr>
        <w:t>按照法律法规的</w:t>
      </w:r>
      <w:r>
        <w:rPr>
          <w:rFonts w:ascii="宋体" w:eastAsia="宋体" w:hAnsi="宋体" w:cs="微软雅黑" w:hint="eastAsia"/>
          <w:sz w:val="24"/>
          <w:szCs w:val="24"/>
        </w:rPr>
        <w:lastRenderedPageBreak/>
        <w:t>规定执行</w:t>
      </w:r>
      <w:r>
        <w:rPr>
          <w:rFonts w:ascii="宋体" w:eastAsia="宋体" w:hAnsi="宋体" w:cs="Arial" w:hint="eastAsia"/>
          <w:sz w:val="24"/>
          <w:szCs w:val="24"/>
        </w:rPr>
        <w:t>。</w:t>
      </w:r>
    </w:p>
    <w:p w14:paraId="7EFF1D9F" w14:textId="77777777" w:rsidR="00F012EE" w:rsidRDefault="00F012EE">
      <w:pPr>
        <w:adjustRightInd w:val="0"/>
        <w:snapToGrid w:val="0"/>
        <w:spacing w:line="360" w:lineRule="auto"/>
        <w:rPr>
          <w:rFonts w:ascii="宋体" w:eastAsia="宋体" w:hAnsi="宋体" w:cs="Arial"/>
          <w:sz w:val="24"/>
          <w:szCs w:val="24"/>
        </w:rPr>
      </w:pPr>
    </w:p>
    <w:p w14:paraId="1C206954" w14:textId="77777777" w:rsidR="00F012EE" w:rsidRDefault="00477FBC">
      <w:pPr>
        <w:keepNext/>
        <w:keepLines/>
        <w:spacing w:before="260" w:after="260" w:line="360" w:lineRule="auto"/>
        <w:jc w:val="center"/>
        <w:outlineLvl w:val="1"/>
        <w:rPr>
          <w:rFonts w:ascii="宋体" w:eastAsia="宋体" w:hAnsi="宋体" w:cs="Times New Roman"/>
          <w:b/>
          <w:sz w:val="30"/>
          <w:szCs w:val="20"/>
        </w:rPr>
      </w:pPr>
      <w:bookmarkStart w:id="99" w:name="_Toc124325901"/>
      <w:r>
        <w:rPr>
          <w:rFonts w:ascii="宋体" w:eastAsia="宋体" w:hAnsi="宋体" w:cs="微软雅黑" w:hint="eastAsia"/>
          <w:b/>
          <w:sz w:val="30"/>
          <w:szCs w:val="20"/>
        </w:rPr>
        <w:t>十七</w:t>
      </w:r>
      <w:r>
        <w:rPr>
          <w:rFonts w:ascii="宋体" w:eastAsia="宋体" w:hAnsi="宋体" w:cs="Malgun Gothic Semilight" w:hint="eastAsia"/>
          <w:b/>
          <w:sz w:val="30"/>
          <w:szCs w:val="20"/>
        </w:rPr>
        <w:t>、</w:t>
      </w:r>
      <w:r>
        <w:rPr>
          <w:rFonts w:ascii="宋体" w:eastAsia="宋体" w:hAnsi="宋体" w:cs="微软雅黑" w:hint="eastAsia"/>
          <w:b/>
          <w:sz w:val="30"/>
          <w:szCs w:val="20"/>
        </w:rPr>
        <w:t>违约责任</w:t>
      </w:r>
      <w:bookmarkEnd w:id="99"/>
    </w:p>
    <w:p w14:paraId="22758C11"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（一）基金管理人、基金托管人不履行本协议或履行本协议不符合约定的，应当承担违约责任。</w:t>
      </w:r>
    </w:p>
    <w:p w14:paraId="128B25C5"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二）基金管理人、基金托管人在履行各自职责的过程中，违反《基金法》等法律法规规定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14:paraId="7F34B5E1"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三）一方当事人违约，给另一方当事人造成损失的，应就直接损失进行赔偿；给基金财产造成损失的，应就直接损失进行赔偿，另一方当事人有权利及义务代表基金向违约方追偿。但是如发生下列情况，当事人应当免责：</w:t>
      </w:r>
    </w:p>
    <w:p w14:paraId="2432653D"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1.不可抗力；</w:t>
      </w:r>
    </w:p>
    <w:p w14:paraId="3C62893C"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2.基金管理人、基金托管人按照当时有效的法律法规</w:t>
      </w:r>
      <w:r>
        <w:rPr>
          <w:rFonts w:ascii="宋体" w:eastAsia="宋体" w:hAnsi="宋体" w:cs="Arial" w:hint="eastAsia"/>
          <w:sz w:val="24"/>
          <w:szCs w:val="24"/>
        </w:rPr>
        <w:t>、规章</w:t>
      </w:r>
      <w:r>
        <w:rPr>
          <w:rFonts w:ascii="宋体" w:eastAsia="宋体" w:hAnsi="宋体" w:cs="Arial"/>
          <w:sz w:val="24"/>
          <w:szCs w:val="24"/>
        </w:rPr>
        <w:t>或中国证监会</w:t>
      </w:r>
      <w:r>
        <w:rPr>
          <w:rFonts w:ascii="宋体" w:eastAsia="宋体" w:hAnsi="宋体" w:cs="Arial" w:hint="eastAsia"/>
          <w:sz w:val="24"/>
          <w:szCs w:val="24"/>
        </w:rPr>
        <w:t>等监管机构</w:t>
      </w:r>
      <w:r>
        <w:rPr>
          <w:rFonts w:ascii="宋体" w:eastAsia="宋体" w:hAnsi="宋体" w:cs="Arial"/>
          <w:sz w:val="24"/>
          <w:szCs w:val="24"/>
        </w:rPr>
        <w:t>的规定</w:t>
      </w:r>
      <w:r>
        <w:rPr>
          <w:rFonts w:ascii="宋体" w:eastAsia="宋体" w:hAnsi="宋体" w:cs="Arial" w:hint="eastAsia"/>
          <w:sz w:val="24"/>
          <w:szCs w:val="24"/>
        </w:rPr>
        <w:t>或交易所规则</w:t>
      </w:r>
      <w:r>
        <w:rPr>
          <w:rFonts w:ascii="宋体" w:eastAsia="宋体" w:hAnsi="宋体" w:cs="Arial"/>
          <w:sz w:val="24"/>
          <w:szCs w:val="24"/>
        </w:rPr>
        <w:t>作为或不作为而造成的损失等；</w:t>
      </w:r>
    </w:p>
    <w:p w14:paraId="2B37A5DB"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3.在没有过错的情况下，基金管理人由于按照《基金合同》规定的投资原则投资或不投资造成的损失等；</w:t>
      </w:r>
    </w:p>
    <w:p w14:paraId="10E27AFC"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sz w:val="24"/>
          <w:szCs w:val="24"/>
        </w:rPr>
        <w:t>4.非因基金管理人、基金托管人的故意或重大过失造成的计算机系统故障、网络故障、通讯故障、电力故障、计算机病毒攻击及其它意外事故所导致的损失等。</w:t>
      </w:r>
    </w:p>
    <w:p w14:paraId="5B94C068"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74A62BB9"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（五）违约行为虽已发生，但本托管协议能够继续履行的，在最大限度地保护基金份额持有人利益的前提下，基金管理人和基金托管人应当继续履行本协议。</w:t>
      </w:r>
    </w:p>
    <w:p w14:paraId="25E83F29"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六）由于包括但不限于指数编制公司发送的数据不充分、不准确、不及时、不完整等基金管理人、基金托管人不可控制的因素导致业务出现差错，基金管理人和基金托管人虽然已经采取必要、适当、合理的措施进行检查，但是未能发现错误</w:t>
      </w:r>
      <w:r>
        <w:rPr>
          <w:rFonts w:ascii="宋体" w:eastAsia="宋体" w:hAnsi="宋体" w:cs="Arial" w:hint="eastAsia"/>
          <w:bCs/>
          <w:sz w:val="24"/>
          <w:szCs w:val="24"/>
        </w:rPr>
        <w:lastRenderedPageBreak/>
        <w:t>或因前述原因未能避免或更正</w:t>
      </w:r>
      <w:r>
        <w:rPr>
          <w:rFonts w:ascii="宋体" w:eastAsia="宋体" w:hAnsi="宋体" w:cs="Arial"/>
          <w:bCs/>
          <w:sz w:val="24"/>
          <w:szCs w:val="24"/>
        </w:rPr>
        <w:t>错误</w:t>
      </w:r>
      <w:r>
        <w:rPr>
          <w:rFonts w:ascii="宋体" w:eastAsia="宋体" w:hAnsi="宋体" w:cs="Arial" w:hint="eastAsia"/>
          <w:sz w:val="24"/>
          <w:szCs w:val="24"/>
        </w:rPr>
        <w:t>的，由此造成基金财产或投资人损失，基金管理人和基金托管人免除赔偿责任。但是基金管理人和基金托管人应积极采取必要的措施减轻或消除由此造成的影响。</w:t>
      </w:r>
    </w:p>
    <w:p w14:paraId="59CBD18C" w14:textId="77777777" w:rsidR="00F012EE" w:rsidRDefault="00F012EE">
      <w:pPr>
        <w:adjustRightInd w:val="0"/>
        <w:snapToGrid w:val="0"/>
        <w:spacing w:line="360" w:lineRule="auto"/>
        <w:rPr>
          <w:rFonts w:ascii="宋体" w:eastAsia="宋体" w:hAnsi="宋体" w:cs="Arial"/>
          <w:sz w:val="24"/>
          <w:szCs w:val="24"/>
        </w:rPr>
      </w:pPr>
    </w:p>
    <w:p w14:paraId="7B32D6E6" w14:textId="77777777" w:rsidR="00F012EE" w:rsidRDefault="00477FBC">
      <w:pPr>
        <w:keepNext/>
        <w:keepLines/>
        <w:spacing w:before="260" w:after="260" w:line="360" w:lineRule="auto"/>
        <w:jc w:val="center"/>
        <w:outlineLvl w:val="1"/>
        <w:rPr>
          <w:rFonts w:ascii="宋体" w:eastAsia="宋体" w:hAnsi="宋体" w:cs="Times New Roman"/>
          <w:b/>
          <w:sz w:val="30"/>
          <w:szCs w:val="20"/>
        </w:rPr>
      </w:pPr>
      <w:bookmarkStart w:id="100" w:name="_Toc124325902"/>
      <w:r>
        <w:rPr>
          <w:rFonts w:ascii="宋体" w:eastAsia="宋体" w:hAnsi="宋体" w:cs="微软雅黑" w:hint="eastAsia"/>
          <w:b/>
          <w:sz w:val="30"/>
          <w:szCs w:val="20"/>
        </w:rPr>
        <w:t>十八</w:t>
      </w:r>
      <w:r>
        <w:rPr>
          <w:rFonts w:ascii="宋体" w:eastAsia="宋体" w:hAnsi="宋体" w:cs="Malgun Gothic Semilight" w:hint="eastAsia"/>
          <w:b/>
          <w:sz w:val="30"/>
          <w:szCs w:val="20"/>
        </w:rPr>
        <w:t>、</w:t>
      </w:r>
      <w:r>
        <w:rPr>
          <w:rFonts w:ascii="宋体" w:eastAsia="宋体" w:hAnsi="宋体" w:cs="微软雅黑" w:hint="eastAsia"/>
          <w:b/>
          <w:sz w:val="30"/>
          <w:szCs w:val="20"/>
        </w:rPr>
        <w:t>争议解决方式</w:t>
      </w:r>
      <w:bookmarkEnd w:id="100"/>
    </w:p>
    <w:p w14:paraId="686B3D19" w14:textId="201CB328"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因本协议产生或与之相关的争议</w:t>
      </w:r>
      <w:r>
        <w:rPr>
          <w:rFonts w:ascii="宋体" w:eastAsia="宋体" w:hAnsi="宋体" w:cs="Malgun Gothic Semilight" w:hint="eastAsia"/>
          <w:sz w:val="24"/>
          <w:szCs w:val="24"/>
        </w:rPr>
        <w:t>，</w:t>
      </w:r>
      <w:r>
        <w:rPr>
          <w:rFonts w:ascii="宋体" w:eastAsia="宋体" w:hAnsi="宋体" w:cs="微软雅黑" w:hint="eastAsia"/>
          <w:sz w:val="24"/>
          <w:szCs w:val="24"/>
        </w:rPr>
        <w:t>双方当事人应通过协商</w:t>
      </w:r>
      <w:r>
        <w:rPr>
          <w:rFonts w:ascii="宋体" w:eastAsia="宋体" w:hAnsi="宋体" w:cs="Malgun Gothic Semilight" w:hint="eastAsia"/>
          <w:sz w:val="24"/>
          <w:szCs w:val="24"/>
        </w:rPr>
        <w:t>、</w:t>
      </w:r>
      <w:r>
        <w:rPr>
          <w:rFonts w:ascii="宋体" w:eastAsia="宋体" w:hAnsi="宋体" w:cs="微软雅黑" w:hint="eastAsia"/>
          <w:sz w:val="24"/>
          <w:szCs w:val="24"/>
        </w:rPr>
        <w:t>调解解决</w:t>
      </w:r>
      <w:r>
        <w:rPr>
          <w:rFonts w:ascii="宋体" w:eastAsia="宋体" w:hAnsi="宋体" w:cs="Malgun Gothic Semilight" w:hint="eastAsia"/>
          <w:sz w:val="24"/>
          <w:szCs w:val="24"/>
        </w:rPr>
        <w:t>，</w:t>
      </w:r>
      <w:r>
        <w:rPr>
          <w:rFonts w:ascii="宋体" w:eastAsia="宋体" w:hAnsi="宋体" w:cs="微软雅黑" w:hint="eastAsia"/>
          <w:sz w:val="24"/>
          <w:szCs w:val="24"/>
        </w:rPr>
        <w:t>协商</w:t>
      </w:r>
      <w:r>
        <w:rPr>
          <w:rFonts w:ascii="宋体" w:eastAsia="宋体" w:hAnsi="宋体" w:cs="Malgun Gothic Semilight" w:hint="eastAsia"/>
          <w:sz w:val="24"/>
          <w:szCs w:val="24"/>
        </w:rPr>
        <w:t>、</w:t>
      </w:r>
      <w:r>
        <w:rPr>
          <w:rFonts w:ascii="宋体" w:eastAsia="宋体" w:hAnsi="宋体" w:cs="微软雅黑" w:hint="eastAsia"/>
          <w:sz w:val="24"/>
          <w:szCs w:val="24"/>
        </w:rPr>
        <w:t>调解不能解决的</w:t>
      </w:r>
      <w:r>
        <w:rPr>
          <w:rFonts w:ascii="宋体" w:eastAsia="宋体" w:hAnsi="宋体" w:cs="Malgun Gothic Semilight" w:hint="eastAsia"/>
          <w:sz w:val="24"/>
          <w:szCs w:val="24"/>
        </w:rPr>
        <w:t>，</w:t>
      </w:r>
      <w:r>
        <w:rPr>
          <w:rFonts w:ascii="宋体" w:eastAsia="宋体" w:hAnsi="宋体" w:cs="微软雅黑" w:hint="eastAsia"/>
          <w:sz w:val="24"/>
          <w:szCs w:val="24"/>
        </w:rPr>
        <w:t>有权将争议提交中国国际经济贸易仲裁委员会</w:t>
      </w:r>
      <w:r>
        <w:rPr>
          <w:rFonts w:ascii="宋体" w:eastAsia="宋体" w:hAnsi="宋体" w:cs="Malgun Gothic Semilight" w:hint="eastAsia"/>
          <w:sz w:val="24"/>
          <w:szCs w:val="24"/>
        </w:rPr>
        <w:t>，</w:t>
      </w:r>
      <w:r>
        <w:rPr>
          <w:rFonts w:ascii="宋体" w:eastAsia="宋体" w:hAnsi="宋体" w:cs="微软雅黑" w:hint="eastAsia"/>
          <w:sz w:val="24"/>
          <w:szCs w:val="24"/>
        </w:rPr>
        <w:t>仲裁地点为北京市</w:t>
      </w:r>
      <w:r>
        <w:rPr>
          <w:rFonts w:ascii="宋体" w:eastAsia="宋体" w:hAnsi="宋体" w:cs="Malgun Gothic Semilight" w:hint="eastAsia"/>
          <w:sz w:val="24"/>
          <w:szCs w:val="24"/>
        </w:rPr>
        <w:t>，</w:t>
      </w:r>
      <w:r>
        <w:rPr>
          <w:rFonts w:ascii="宋体" w:eastAsia="宋体" w:hAnsi="宋体" w:cs="微软雅黑" w:hint="eastAsia"/>
          <w:sz w:val="24"/>
          <w:szCs w:val="24"/>
        </w:rPr>
        <w:t>按照中国国际经济贸易仲裁委员会届时有效的仲裁规则进行仲裁</w:t>
      </w:r>
      <w:r>
        <w:rPr>
          <w:rFonts w:ascii="宋体" w:eastAsia="宋体" w:hAnsi="宋体" w:cs="Malgun Gothic Semilight" w:hint="eastAsia"/>
          <w:sz w:val="24"/>
          <w:szCs w:val="24"/>
        </w:rPr>
        <w:t>。</w:t>
      </w:r>
      <w:r>
        <w:rPr>
          <w:rFonts w:ascii="宋体" w:eastAsia="宋体" w:hAnsi="宋体" w:cs="微软雅黑" w:hint="eastAsia"/>
          <w:sz w:val="24"/>
          <w:szCs w:val="24"/>
        </w:rPr>
        <w:t>仲裁裁决是终局的</w:t>
      </w:r>
      <w:r>
        <w:rPr>
          <w:rFonts w:ascii="宋体" w:eastAsia="宋体" w:hAnsi="宋体" w:cs="Malgun Gothic Semilight" w:hint="eastAsia"/>
          <w:sz w:val="24"/>
          <w:szCs w:val="24"/>
        </w:rPr>
        <w:t>，</w:t>
      </w:r>
      <w:r>
        <w:rPr>
          <w:rFonts w:ascii="宋体" w:eastAsia="宋体" w:hAnsi="宋体" w:cs="微软雅黑" w:hint="eastAsia"/>
          <w:sz w:val="24"/>
          <w:szCs w:val="24"/>
        </w:rPr>
        <w:t>对当事人均有约束力</w:t>
      </w:r>
      <w:r>
        <w:rPr>
          <w:rFonts w:ascii="宋体" w:eastAsia="宋体" w:hAnsi="宋体" w:cs="Malgun Gothic Semilight" w:hint="eastAsia"/>
          <w:sz w:val="24"/>
          <w:szCs w:val="24"/>
        </w:rPr>
        <w:t>。</w:t>
      </w:r>
      <w:r>
        <w:rPr>
          <w:rFonts w:ascii="宋体" w:eastAsia="宋体" w:hAnsi="宋体" w:cs="微软雅黑" w:hint="eastAsia"/>
          <w:sz w:val="24"/>
          <w:szCs w:val="24"/>
        </w:rPr>
        <w:t>仲裁费用由败诉方承担，除非仲裁裁决另有决定</w:t>
      </w:r>
      <w:r>
        <w:rPr>
          <w:rFonts w:ascii="宋体" w:eastAsia="宋体" w:hAnsi="宋体" w:cs="Malgun Gothic Semilight" w:hint="eastAsia"/>
          <w:sz w:val="24"/>
          <w:szCs w:val="24"/>
        </w:rPr>
        <w:t>。</w:t>
      </w:r>
    </w:p>
    <w:p w14:paraId="7513D88C"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争议处理期间</w:t>
      </w:r>
      <w:r>
        <w:rPr>
          <w:rFonts w:ascii="宋体" w:eastAsia="宋体" w:hAnsi="宋体" w:cs="Malgun Gothic Semilight" w:hint="eastAsia"/>
          <w:sz w:val="24"/>
          <w:szCs w:val="24"/>
        </w:rPr>
        <w:t>，</w:t>
      </w:r>
      <w:r>
        <w:rPr>
          <w:rFonts w:ascii="宋体" w:eastAsia="宋体" w:hAnsi="宋体" w:cs="微软雅黑" w:hint="eastAsia"/>
          <w:sz w:val="24"/>
          <w:szCs w:val="24"/>
        </w:rPr>
        <w:t>双方当事人应恪守基金管理人和基金托管人职责</w:t>
      </w:r>
      <w:r>
        <w:rPr>
          <w:rFonts w:ascii="宋体" w:eastAsia="宋体" w:hAnsi="宋体" w:cs="Malgun Gothic Semilight" w:hint="eastAsia"/>
          <w:sz w:val="24"/>
          <w:szCs w:val="24"/>
        </w:rPr>
        <w:t>，</w:t>
      </w:r>
      <w:r>
        <w:rPr>
          <w:rFonts w:ascii="宋体" w:eastAsia="宋体" w:hAnsi="宋体" w:cs="微软雅黑" w:hint="eastAsia"/>
          <w:sz w:val="24"/>
          <w:szCs w:val="24"/>
        </w:rPr>
        <w:t>各自继续忠实</w:t>
      </w:r>
      <w:r>
        <w:rPr>
          <w:rFonts w:ascii="宋体" w:eastAsia="宋体" w:hAnsi="宋体" w:cs="Malgun Gothic Semilight" w:hint="eastAsia"/>
          <w:sz w:val="24"/>
          <w:szCs w:val="24"/>
        </w:rPr>
        <w:t>、</w:t>
      </w:r>
      <w:r>
        <w:rPr>
          <w:rFonts w:ascii="宋体" w:eastAsia="宋体" w:hAnsi="宋体" w:cs="微软雅黑" w:hint="eastAsia"/>
          <w:sz w:val="24"/>
          <w:szCs w:val="24"/>
        </w:rPr>
        <w:t>勤勉</w:t>
      </w:r>
      <w:r>
        <w:rPr>
          <w:rFonts w:ascii="宋体" w:eastAsia="宋体" w:hAnsi="宋体" w:cs="Malgun Gothic Semilight" w:hint="eastAsia"/>
          <w:sz w:val="24"/>
          <w:szCs w:val="24"/>
        </w:rPr>
        <w:t>、</w:t>
      </w:r>
      <w:r>
        <w:rPr>
          <w:rFonts w:ascii="宋体" w:eastAsia="宋体" w:hAnsi="宋体" w:cs="微软雅黑" w:hint="eastAsia"/>
          <w:sz w:val="24"/>
          <w:szCs w:val="24"/>
        </w:rPr>
        <w:t>尽责地履行</w:t>
      </w:r>
      <w:r>
        <w:rPr>
          <w:rFonts w:ascii="宋体" w:eastAsia="宋体" w:hAnsi="宋体" w:cs="Malgun Gothic Semilight"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和本托管协议规定的义务</w:t>
      </w:r>
      <w:r>
        <w:rPr>
          <w:rFonts w:ascii="宋体" w:eastAsia="宋体" w:hAnsi="宋体" w:cs="Malgun Gothic Semilight" w:hint="eastAsia"/>
          <w:sz w:val="24"/>
          <w:szCs w:val="24"/>
        </w:rPr>
        <w:t>，</w:t>
      </w:r>
      <w:r>
        <w:rPr>
          <w:rFonts w:ascii="宋体" w:eastAsia="宋体" w:hAnsi="宋体" w:cs="微软雅黑" w:hint="eastAsia"/>
          <w:sz w:val="24"/>
          <w:szCs w:val="24"/>
        </w:rPr>
        <w:t>维护基金份额持有人的合法权益</w:t>
      </w:r>
      <w:r>
        <w:rPr>
          <w:rFonts w:ascii="宋体" w:eastAsia="宋体" w:hAnsi="宋体" w:cs="Malgun Gothic Semilight" w:hint="eastAsia"/>
          <w:sz w:val="24"/>
          <w:szCs w:val="24"/>
        </w:rPr>
        <w:t>。</w:t>
      </w:r>
    </w:p>
    <w:p w14:paraId="1567655A"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本协议受中国法律（为本协议之目的，不包括香港特别行政区、澳门特别行政区和台湾地区法律）管辖</w:t>
      </w:r>
      <w:r>
        <w:rPr>
          <w:rFonts w:ascii="宋体" w:eastAsia="宋体" w:hAnsi="宋体" w:cs="Malgun Gothic Semilight" w:hint="eastAsia"/>
          <w:sz w:val="24"/>
          <w:szCs w:val="24"/>
        </w:rPr>
        <w:t>。</w:t>
      </w:r>
    </w:p>
    <w:p w14:paraId="3AA7F627" w14:textId="77777777" w:rsidR="00F012EE" w:rsidRDefault="00F012EE">
      <w:pPr>
        <w:adjustRightInd w:val="0"/>
        <w:snapToGrid w:val="0"/>
        <w:spacing w:line="360" w:lineRule="auto"/>
        <w:rPr>
          <w:rFonts w:ascii="宋体" w:eastAsia="宋体" w:hAnsi="宋体" w:cs="Arial"/>
          <w:sz w:val="24"/>
          <w:szCs w:val="24"/>
        </w:rPr>
      </w:pPr>
    </w:p>
    <w:p w14:paraId="589B0272" w14:textId="77777777" w:rsidR="00F012EE" w:rsidRDefault="00477FBC">
      <w:pPr>
        <w:keepNext/>
        <w:keepLines/>
        <w:spacing w:before="260" w:after="260" w:line="360" w:lineRule="auto"/>
        <w:jc w:val="center"/>
        <w:outlineLvl w:val="1"/>
        <w:rPr>
          <w:rFonts w:ascii="宋体" w:eastAsia="宋体" w:hAnsi="宋体" w:cs="Times New Roman"/>
          <w:b/>
          <w:sz w:val="30"/>
          <w:szCs w:val="20"/>
        </w:rPr>
      </w:pPr>
      <w:bookmarkStart w:id="101" w:name="_Toc124325903"/>
      <w:r>
        <w:rPr>
          <w:rFonts w:ascii="宋体" w:eastAsia="宋体" w:hAnsi="宋体" w:cs="微软雅黑" w:hint="eastAsia"/>
          <w:b/>
          <w:sz w:val="30"/>
          <w:szCs w:val="20"/>
        </w:rPr>
        <w:t>十九</w:t>
      </w:r>
      <w:r>
        <w:rPr>
          <w:rFonts w:ascii="宋体" w:eastAsia="宋体" w:hAnsi="宋体" w:cs="Malgun Gothic Semilight" w:hint="eastAsia"/>
          <w:b/>
          <w:sz w:val="30"/>
          <w:szCs w:val="20"/>
        </w:rPr>
        <w:t>、</w:t>
      </w:r>
      <w:r>
        <w:rPr>
          <w:rFonts w:ascii="宋体" w:eastAsia="宋体" w:hAnsi="宋体" w:cs="微软雅黑" w:hint="eastAsia"/>
          <w:b/>
          <w:sz w:val="30"/>
          <w:szCs w:val="20"/>
        </w:rPr>
        <w:t>托管协议的效力</w:t>
      </w:r>
      <w:bookmarkEnd w:id="101"/>
    </w:p>
    <w:p w14:paraId="4DB9A5CE"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双方对托管协议的效力约定如下</w:t>
      </w:r>
      <w:r>
        <w:rPr>
          <w:rFonts w:ascii="宋体" w:eastAsia="宋体" w:hAnsi="宋体" w:cs="Malgun Gothic Semilight" w:hint="eastAsia"/>
          <w:sz w:val="24"/>
          <w:szCs w:val="24"/>
        </w:rPr>
        <w:t>：</w:t>
      </w:r>
    </w:p>
    <w:p w14:paraId="661ABA3B"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一</w:t>
      </w:r>
      <w:r>
        <w:rPr>
          <w:rFonts w:ascii="宋体" w:eastAsia="宋体" w:hAnsi="宋体" w:cs="Malgun Gothic Semilight" w:hint="eastAsia"/>
          <w:sz w:val="24"/>
          <w:szCs w:val="24"/>
        </w:rPr>
        <w:t>）</w:t>
      </w:r>
      <w:r>
        <w:rPr>
          <w:rFonts w:ascii="宋体" w:eastAsia="宋体" w:hAnsi="宋体" w:cs="微软雅黑" w:hint="eastAsia"/>
          <w:sz w:val="24"/>
          <w:szCs w:val="24"/>
        </w:rPr>
        <w:t>基金管理人在向中国证监会申请发售基金份额时提交的托管协议草案</w:t>
      </w:r>
      <w:r>
        <w:rPr>
          <w:rFonts w:ascii="宋体" w:eastAsia="宋体" w:hAnsi="宋体" w:cs="Malgun Gothic Semilight" w:hint="eastAsia"/>
          <w:sz w:val="24"/>
          <w:szCs w:val="24"/>
        </w:rPr>
        <w:t>，</w:t>
      </w:r>
      <w:r>
        <w:rPr>
          <w:rFonts w:ascii="宋体" w:eastAsia="宋体" w:hAnsi="宋体" w:cs="微软雅黑" w:hint="eastAsia"/>
          <w:sz w:val="24"/>
          <w:szCs w:val="24"/>
        </w:rPr>
        <w:t>应经托管协议当事人双方加盖公章或合同专</w:t>
      </w:r>
      <w:r>
        <w:rPr>
          <w:rFonts w:ascii="宋体" w:eastAsia="宋体" w:hAnsi="宋体" w:cs="微软雅黑"/>
          <w:sz w:val="24"/>
          <w:szCs w:val="24"/>
        </w:rPr>
        <w:t>用</w:t>
      </w:r>
      <w:r>
        <w:rPr>
          <w:rFonts w:ascii="宋体" w:eastAsia="宋体" w:hAnsi="宋体" w:cs="微软雅黑" w:hint="eastAsia"/>
          <w:sz w:val="24"/>
          <w:szCs w:val="24"/>
        </w:rPr>
        <w:t>章以及双方法定代表人或授权代表签字</w:t>
      </w:r>
      <w:r>
        <w:rPr>
          <w:rFonts w:ascii="宋体" w:eastAsia="宋体" w:hAnsi="宋体" w:cs="Malgun Gothic Semilight" w:hint="eastAsia"/>
          <w:sz w:val="24"/>
          <w:szCs w:val="24"/>
        </w:rPr>
        <w:t>（</w:t>
      </w:r>
      <w:r>
        <w:rPr>
          <w:rFonts w:ascii="宋体" w:eastAsia="宋体" w:hAnsi="宋体" w:cs="微软雅黑" w:hint="eastAsia"/>
          <w:sz w:val="24"/>
          <w:szCs w:val="24"/>
        </w:rPr>
        <w:t>或盖章</w:t>
      </w:r>
      <w:r>
        <w:rPr>
          <w:rFonts w:ascii="宋体" w:eastAsia="宋体" w:hAnsi="宋体" w:cs="Arial" w:hint="eastAsia"/>
          <w:sz w:val="24"/>
          <w:szCs w:val="24"/>
        </w:rPr>
        <w:t>），</w:t>
      </w:r>
      <w:r>
        <w:rPr>
          <w:rFonts w:ascii="宋体" w:eastAsia="宋体" w:hAnsi="宋体" w:cs="微软雅黑" w:hint="eastAsia"/>
          <w:sz w:val="24"/>
          <w:szCs w:val="24"/>
        </w:rPr>
        <w:t>协议当事人双方根据中国证监会的意见修改托管协议草案</w:t>
      </w:r>
      <w:r>
        <w:rPr>
          <w:rFonts w:ascii="宋体" w:eastAsia="宋体" w:hAnsi="宋体" w:cs="Malgun Gothic Semilight" w:hint="eastAsia"/>
          <w:sz w:val="24"/>
          <w:szCs w:val="24"/>
        </w:rPr>
        <w:t>。</w:t>
      </w:r>
      <w:r>
        <w:rPr>
          <w:rFonts w:ascii="宋体" w:eastAsia="宋体" w:hAnsi="宋体" w:cs="微软雅黑" w:hint="eastAsia"/>
          <w:sz w:val="24"/>
          <w:szCs w:val="24"/>
        </w:rPr>
        <w:t>托管协议以中国证监会注册的文本为正式文本</w:t>
      </w:r>
      <w:r>
        <w:rPr>
          <w:rFonts w:ascii="宋体" w:eastAsia="宋体" w:hAnsi="宋体" w:cs="Malgun Gothic Semilight" w:hint="eastAsia"/>
          <w:sz w:val="24"/>
          <w:szCs w:val="24"/>
        </w:rPr>
        <w:t>。</w:t>
      </w:r>
    </w:p>
    <w:p w14:paraId="2A6766F1"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二</w:t>
      </w:r>
      <w:r>
        <w:rPr>
          <w:rFonts w:ascii="宋体" w:eastAsia="宋体" w:hAnsi="宋体" w:cs="Malgun Gothic Semilight" w:hint="eastAsia"/>
          <w:sz w:val="24"/>
          <w:szCs w:val="24"/>
        </w:rPr>
        <w:t>）</w:t>
      </w:r>
      <w:r>
        <w:rPr>
          <w:rFonts w:ascii="宋体" w:eastAsia="宋体" w:hAnsi="宋体" w:cs="微软雅黑" w:hint="eastAsia"/>
          <w:sz w:val="24"/>
          <w:szCs w:val="24"/>
        </w:rPr>
        <w:t>托管协议自</w:t>
      </w:r>
      <w:r>
        <w:rPr>
          <w:rFonts w:ascii="宋体" w:eastAsia="宋体" w:hAnsi="宋体" w:cs="Malgun Gothic Semilight"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成立之日起成立</w:t>
      </w:r>
      <w:r>
        <w:rPr>
          <w:rFonts w:ascii="宋体" w:eastAsia="宋体" w:hAnsi="宋体" w:cs="Malgun Gothic Semilight" w:hint="eastAsia"/>
          <w:sz w:val="24"/>
          <w:szCs w:val="24"/>
        </w:rPr>
        <w:t>，</w:t>
      </w:r>
      <w:r>
        <w:rPr>
          <w:rFonts w:ascii="宋体" w:eastAsia="宋体" w:hAnsi="宋体" w:cs="微软雅黑" w:hint="eastAsia"/>
          <w:sz w:val="24"/>
          <w:szCs w:val="24"/>
        </w:rPr>
        <w:t>自</w:t>
      </w:r>
      <w:r>
        <w:rPr>
          <w:rFonts w:ascii="宋体" w:eastAsia="宋体" w:hAnsi="宋体" w:cs="Malgun Gothic Semilight"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生效之日起生效</w:t>
      </w:r>
      <w:r>
        <w:rPr>
          <w:rFonts w:ascii="宋体" w:eastAsia="宋体" w:hAnsi="宋体" w:cs="Malgun Gothic Semilight" w:hint="eastAsia"/>
          <w:sz w:val="24"/>
          <w:szCs w:val="24"/>
        </w:rPr>
        <w:t>。</w:t>
      </w:r>
      <w:r>
        <w:rPr>
          <w:rFonts w:ascii="宋体" w:eastAsia="宋体" w:hAnsi="宋体" w:cs="微软雅黑" w:hint="eastAsia"/>
          <w:sz w:val="24"/>
          <w:szCs w:val="24"/>
        </w:rPr>
        <w:t>托管协议的有效期自其生效之日起至基金财产清算结果报中国证监会备案并公告之日止</w:t>
      </w:r>
      <w:r>
        <w:rPr>
          <w:rFonts w:ascii="宋体" w:eastAsia="宋体" w:hAnsi="宋体" w:cs="Malgun Gothic Semilight" w:hint="eastAsia"/>
          <w:sz w:val="24"/>
          <w:szCs w:val="24"/>
        </w:rPr>
        <w:t>。</w:t>
      </w:r>
    </w:p>
    <w:p w14:paraId="5BE4E88B"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Arial" w:hint="eastAsia"/>
          <w:sz w:val="24"/>
          <w:szCs w:val="24"/>
        </w:rPr>
        <w:t>（</w:t>
      </w:r>
      <w:r>
        <w:rPr>
          <w:rFonts w:ascii="宋体" w:eastAsia="宋体" w:hAnsi="宋体" w:cs="微软雅黑" w:hint="eastAsia"/>
          <w:sz w:val="24"/>
          <w:szCs w:val="24"/>
        </w:rPr>
        <w:t>三</w:t>
      </w:r>
      <w:r>
        <w:rPr>
          <w:rFonts w:ascii="宋体" w:eastAsia="宋体" w:hAnsi="宋体" w:cs="Malgun Gothic Semilight" w:hint="eastAsia"/>
          <w:sz w:val="24"/>
          <w:szCs w:val="24"/>
        </w:rPr>
        <w:t>）</w:t>
      </w:r>
      <w:r>
        <w:rPr>
          <w:rFonts w:ascii="宋体" w:eastAsia="宋体" w:hAnsi="宋体" w:cs="微软雅黑" w:hint="eastAsia"/>
          <w:sz w:val="24"/>
          <w:szCs w:val="24"/>
        </w:rPr>
        <w:t>托管协议自生效之日起对托管协议当事人具有同等的法律约束力</w:t>
      </w:r>
      <w:r>
        <w:rPr>
          <w:rFonts w:ascii="宋体" w:eastAsia="宋体" w:hAnsi="宋体" w:cs="Malgun Gothic Semilight" w:hint="eastAsia"/>
          <w:sz w:val="24"/>
          <w:szCs w:val="24"/>
        </w:rPr>
        <w:t>。</w:t>
      </w:r>
    </w:p>
    <w:p w14:paraId="77B9F0CA" w14:textId="77777777" w:rsidR="00F012EE" w:rsidRDefault="00477FBC">
      <w:pPr>
        <w:adjustRightInd w:val="0"/>
        <w:snapToGrid w:val="0"/>
        <w:spacing w:line="360" w:lineRule="auto"/>
        <w:ind w:firstLineChars="200" w:firstLine="480"/>
        <w:rPr>
          <w:rFonts w:ascii="宋体" w:eastAsia="宋体" w:hAnsi="宋体" w:cs="Times New Roman"/>
          <w:sz w:val="30"/>
          <w:szCs w:val="30"/>
        </w:rPr>
      </w:pPr>
      <w:r>
        <w:rPr>
          <w:rFonts w:ascii="宋体" w:eastAsia="宋体" w:hAnsi="宋体" w:cs="Arial" w:hint="eastAsia"/>
          <w:sz w:val="24"/>
          <w:szCs w:val="24"/>
        </w:rPr>
        <w:t>（</w:t>
      </w:r>
      <w:r>
        <w:rPr>
          <w:rFonts w:ascii="宋体" w:eastAsia="宋体" w:hAnsi="宋体" w:cs="微软雅黑" w:hint="eastAsia"/>
          <w:sz w:val="24"/>
          <w:szCs w:val="24"/>
        </w:rPr>
        <w:t>四</w:t>
      </w:r>
      <w:r>
        <w:rPr>
          <w:rFonts w:ascii="宋体" w:eastAsia="宋体" w:hAnsi="宋体" w:cs="Malgun Gothic Semilight" w:hint="eastAsia"/>
          <w:sz w:val="24"/>
          <w:szCs w:val="24"/>
        </w:rPr>
        <w:t>）</w:t>
      </w:r>
      <w:r>
        <w:rPr>
          <w:rFonts w:ascii="宋体" w:eastAsia="宋体" w:hAnsi="宋体" w:cs="微软雅黑" w:hint="eastAsia"/>
          <w:sz w:val="24"/>
          <w:szCs w:val="24"/>
        </w:rPr>
        <w:t>本协议一式叁份</w:t>
      </w:r>
      <w:r>
        <w:rPr>
          <w:rFonts w:ascii="宋体" w:eastAsia="宋体" w:hAnsi="宋体" w:cs="Malgun Gothic Semilight" w:hint="eastAsia"/>
          <w:sz w:val="24"/>
          <w:szCs w:val="24"/>
        </w:rPr>
        <w:t>，</w:t>
      </w:r>
      <w:r>
        <w:rPr>
          <w:rFonts w:ascii="宋体" w:eastAsia="宋体" w:hAnsi="宋体" w:cs="微软雅黑" w:hint="eastAsia"/>
          <w:sz w:val="24"/>
          <w:szCs w:val="24"/>
        </w:rPr>
        <w:t>协议双方各持一份</w:t>
      </w:r>
      <w:r>
        <w:rPr>
          <w:rFonts w:ascii="宋体" w:eastAsia="宋体" w:hAnsi="宋体" w:cs="Malgun Gothic Semilight" w:hint="eastAsia"/>
          <w:sz w:val="24"/>
          <w:szCs w:val="24"/>
        </w:rPr>
        <w:t>，</w:t>
      </w:r>
      <w:r>
        <w:rPr>
          <w:rFonts w:ascii="宋体" w:eastAsia="宋体" w:hAnsi="宋体" w:cs="微软雅黑" w:hint="eastAsia"/>
          <w:sz w:val="24"/>
          <w:szCs w:val="24"/>
        </w:rPr>
        <w:t>上报监管机构一份</w:t>
      </w:r>
      <w:r>
        <w:rPr>
          <w:rFonts w:ascii="宋体" w:eastAsia="宋体" w:hAnsi="宋体" w:cs="Malgun Gothic Semilight" w:hint="eastAsia"/>
          <w:sz w:val="24"/>
          <w:szCs w:val="24"/>
        </w:rPr>
        <w:t>，</w:t>
      </w:r>
      <w:r>
        <w:rPr>
          <w:rFonts w:ascii="宋体" w:eastAsia="宋体" w:hAnsi="宋体" w:cs="微软雅黑" w:hint="eastAsia"/>
          <w:sz w:val="24"/>
          <w:szCs w:val="24"/>
        </w:rPr>
        <w:t>每份具有同等的法律效力</w:t>
      </w:r>
      <w:r>
        <w:rPr>
          <w:rFonts w:ascii="宋体" w:eastAsia="宋体" w:hAnsi="宋体" w:cs="Malgun Gothic Semilight" w:hint="eastAsia"/>
          <w:sz w:val="24"/>
          <w:szCs w:val="24"/>
        </w:rPr>
        <w:t>。</w:t>
      </w:r>
    </w:p>
    <w:p w14:paraId="33575C7C" w14:textId="77777777" w:rsidR="00F012EE" w:rsidRDefault="00F012EE">
      <w:pPr>
        <w:adjustRightInd w:val="0"/>
        <w:snapToGrid w:val="0"/>
        <w:spacing w:line="360" w:lineRule="auto"/>
        <w:rPr>
          <w:rFonts w:ascii="宋体" w:eastAsia="宋体" w:hAnsi="宋体" w:cs="Arial"/>
          <w:sz w:val="24"/>
          <w:szCs w:val="24"/>
        </w:rPr>
      </w:pPr>
    </w:p>
    <w:p w14:paraId="3983D87D" w14:textId="77777777" w:rsidR="00F012EE" w:rsidRDefault="00477FBC">
      <w:pPr>
        <w:keepNext/>
        <w:keepLines/>
        <w:spacing w:before="260" w:after="260" w:line="360" w:lineRule="auto"/>
        <w:jc w:val="center"/>
        <w:outlineLvl w:val="1"/>
        <w:rPr>
          <w:rFonts w:ascii="宋体" w:eastAsia="宋体" w:hAnsi="宋体" w:cs="Times New Roman"/>
          <w:b/>
          <w:sz w:val="30"/>
          <w:szCs w:val="20"/>
        </w:rPr>
      </w:pPr>
      <w:bookmarkStart w:id="102" w:name="_Toc124325904"/>
      <w:r>
        <w:rPr>
          <w:rFonts w:ascii="宋体" w:eastAsia="宋体" w:hAnsi="宋体" w:cs="微软雅黑" w:hint="eastAsia"/>
          <w:b/>
          <w:sz w:val="30"/>
          <w:szCs w:val="20"/>
        </w:rPr>
        <w:t>二十</w:t>
      </w:r>
      <w:r>
        <w:rPr>
          <w:rFonts w:ascii="宋体" w:eastAsia="宋体" w:hAnsi="宋体" w:cs="Malgun Gothic Semilight" w:hint="eastAsia"/>
          <w:b/>
          <w:sz w:val="30"/>
          <w:szCs w:val="20"/>
        </w:rPr>
        <w:t>、</w:t>
      </w:r>
      <w:r>
        <w:rPr>
          <w:rFonts w:ascii="宋体" w:eastAsia="宋体" w:hAnsi="宋体" w:cs="微软雅黑" w:hint="eastAsia"/>
          <w:b/>
          <w:sz w:val="30"/>
          <w:szCs w:val="20"/>
        </w:rPr>
        <w:t>其他事项</w:t>
      </w:r>
      <w:bookmarkEnd w:id="102"/>
    </w:p>
    <w:p w14:paraId="12150C47"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如发生有权司法机关依法冻结基金份额持有人的基金份额时</w:t>
      </w:r>
      <w:r>
        <w:rPr>
          <w:rFonts w:ascii="宋体" w:eastAsia="宋体" w:hAnsi="宋体" w:cs="Malgun Gothic Semilight" w:hint="eastAsia"/>
          <w:sz w:val="24"/>
          <w:szCs w:val="24"/>
        </w:rPr>
        <w:t>，</w:t>
      </w:r>
      <w:r>
        <w:rPr>
          <w:rFonts w:ascii="宋体" w:eastAsia="宋体" w:hAnsi="宋体" w:cs="微软雅黑" w:hint="eastAsia"/>
          <w:sz w:val="24"/>
          <w:szCs w:val="24"/>
        </w:rPr>
        <w:t>基金管理人应予以配合</w:t>
      </w:r>
      <w:r>
        <w:rPr>
          <w:rFonts w:ascii="宋体" w:eastAsia="宋体" w:hAnsi="宋体" w:cs="Malgun Gothic Semilight" w:hint="eastAsia"/>
          <w:sz w:val="24"/>
          <w:szCs w:val="24"/>
        </w:rPr>
        <w:t>，</w:t>
      </w:r>
      <w:r>
        <w:rPr>
          <w:rFonts w:ascii="宋体" w:eastAsia="宋体" w:hAnsi="宋体" w:cs="微软雅黑" w:hint="eastAsia"/>
          <w:sz w:val="24"/>
          <w:szCs w:val="24"/>
        </w:rPr>
        <w:t>承担司法协助义务</w:t>
      </w:r>
      <w:r>
        <w:rPr>
          <w:rFonts w:ascii="宋体" w:eastAsia="宋体" w:hAnsi="宋体" w:cs="Malgun Gothic Semilight" w:hint="eastAsia"/>
          <w:sz w:val="24"/>
          <w:szCs w:val="24"/>
        </w:rPr>
        <w:t>。</w:t>
      </w:r>
    </w:p>
    <w:p w14:paraId="4C84C39A"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除本协议有明确定义外</w:t>
      </w:r>
      <w:r>
        <w:rPr>
          <w:rFonts w:ascii="宋体" w:eastAsia="宋体" w:hAnsi="宋体" w:cs="Malgun Gothic Semilight" w:hint="eastAsia"/>
          <w:sz w:val="24"/>
          <w:szCs w:val="24"/>
        </w:rPr>
        <w:t>，</w:t>
      </w:r>
      <w:r>
        <w:rPr>
          <w:rFonts w:ascii="宋体" w:eastAsia="宋体" w:hAnsi="宋体" w:cs="微软雅黑" w:hint="eastAsia"/>
          <w:sz w:val="24"/>
          <w:szCs w:val="24"/>
        </w:rPr>
        <w:t>本协议的用语定义适用</w:t>
      </w:r>
      <w:r>
        <w:rPr>
          <w:rFonts w:ascii="宋体" w:eastAsia="宋体" w:hAnsi="宋体" w:cs="Malgun Gothic Semilight"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的约定</w:t>
      </w:r>
      <w:r>
        <w:rPr>
          <w:rFonts w:ascii="宋体" w:eastAsia="宋体" w:hAnsi="宋体" w:cs="Malgun Gothic Semilight" w:hint="eastAsia"/>
          <w:sz w:val="24"/>
          <w:szCs w:val="24"/>
        </w:rPr>
        <w:t>。</w:t>
      </w:r>
      <w:r>
        <w:rPr>
          <w:rFonts w:ascii="宋体" w:eastAsia="宋体" w:hAnsi="宋体" w:cs="微软雅黑" w:hint="eastAsia"/>
          <w:sz w:val="24"/>
          <w:szCs w:val="24"/>
        </w:rPr>
        <w:t>本协议未尽事宜</w:t>
      </w:r>
      <w:r>
        <w:rPr>
          <w:rFonts w:ascii="宋体" w:eastAsia="宋体" w:hAnsi="宋体" w:cs="Malgun Gothic Semilight" w:hint="eastAsia"/>
          <w:sz w:val="24"/>
          <w:szCs w:val="24"/>
        </w:rPr>
        <w:t>，</w:t>
      </w:r>
      <w:r>
        <w:rPr>
          <w:rFonts w:ascii="宋体" w:eastAsia="宋体" w:hAnsi="宋体" w:cs="微软雅黑" w:hint="eastAsia"/>
          <w:sz w:val="24"/>
          <w:szCs w:val="24"/>
        </w:rPr>
        <w:t>当事人依据</w:t>
      </w:r>
      <w:r>
        <w:rPr>
          <w:rFonts w:ascii="宋体" w:eastAsia="宋体" w:hAnsi="宋体" w:cs="Malgun Gothic Semilight" w:hint="eastAsia"/>
          <w:sz w:val="24"/>
          <w:szCs w:val="24"/>
        </w:rPr>
        <w:t>《</w:t>
      </w:r>
      <w:r>
        <w:rPr>
          <w:rFonts w:ascii="宋体" w:eastAsia="宋体" w:hAnsi="宋体" w:cs="微软雅黑" w:hint="eastAsia"/>
          <w:sz w:val="24"/>
          <w:szCs w:val="24"/>
        </w:rPr>
        <w:t>基金合同</w:t>
      </w:r>
      <w:r>
        <w:rPr>
          <w:rFonts w:ascii="宋体" w:eastAsia="宋体" w:hAnsi="宋体" w:cs="Malgun Gothic Semilight" w:hint="eastAsia"/>
          <w:sz w:val="24"/>
          <w:szCs w:val="24"/>
        </w:rPr>
        <w:t>》、</w:t>
      </w:r>
      <w:r>
        <w:rPr>
          <w:rFonts w:ascii="宋体" w:eastAsia="宋体" w:hAnsi="宋体" w:cs="微软雅黑" w:hint="eastAsia"/>
          <w:sz w:val="24"/>
          <w:szCs w:val="24"/>
        </w:rPr>
        <w:t>有关法律法规等规定协商办理</w:t>
      </w:r>
      <w:r>
        <w:rPr>
          <w:rFonts w:ascii="宋体" w:eastAsia="宋体" w:hAnsi="宋体" w:cs="Malgun Gothic Semilight" w:hint="eastAsia"/>
          <w:sz w:val="24"/>
          <w:szCs w:val="24"/>
        </w:rPr>
        <w:t>。</w:t>
      </w:r>
    </w:p>
    <w:p w14:paraId="1C50D38C" w14:textId="77777777" w:rsidR="00F012EE" w:rsidRDefault="00F012EE">
      <w:pPr>
        <w:adjustRightInd w:val="0"/>
        <w:snapToGrid w:val="0"/>
        <w:spacing w:line="360" w:lineRule="auto"/>
        <w:rPr>
          <w:rFonts w:ascii="宋体" w:eastAsia="宋体" w:hAnsi="宋体" w:cs="Times New Roman"/>
          <w:b/>
          <w:bCs/>
          <w:szCs w:val="24"/>
        </w:rPr>
      </w:pPr>
    </w:p>
    <w:p w14:paraId="63D06B36" w14:textId="77777777" w:rsidR="00F012EE" w:rsidRDefault="00477FBC">
      <w:pPr>
        <w:keepNext/>
        <w:keepLines/>
        <w:spacing w:before="260" w:after="260" w:line="360" w:lineRule="auto"/>
        <w:jc w:val="center"/>
        <w:outlineLvl w:val="1"/>
        <w:rPr>
          <w:rFonts w:ascii="宋体" w:eastAsia="宋体" w:hAnsi="宋体" w:cs="Times New Roman"/>
          <w:b/>
          <w:sz w:val="30"/>
          <w:szCs w:val="20"/>
        </w:rPr>
      </w:pPr>
      <w:bookmarkStart w:id="103" w:name="_Toc124325905"/>
      <w:r>
        <w:rPr>
          <w:rFonts w:ascii="宋体" w:eastAsia="宋体" w:hAnsi="宋体" w:cs="微软雅黑" w:hint="eastAsia"/>
          <w:b/>
          <w:sz w:val="30"/>
          <w:szCs w:val="20"/>
        </w:rPr>
        <w:t>二十一</w:t>
      </w:r>
      <w:r>
        <w:rPr>
          <w:rFonts w:ascii="宋体" w:eastAsia="宋体" w:hAnsi="宋体" w:cs="Malgun Gothic Semilight" w:hint="eastAsia"/>
          <w:b/>
          <w:sz w:val="30"/>
          <w:szCs w:val="20"/>
        </w:rPr>
        <w:t>、</w:t>
      </w:r>
      <w:r>
        <w:rPr>
          <w:rFonts w:ascii="宋体" w:eastAsia="宋体" w:hAnsi="宋体" w:cs="微软雅黑" w:hint="eastAsia"/>
          <w:b/>
          <w:sz w:val="30"/>
          <w:szCs w:val="20"/>
        </w:rPr>
        <w:t>托管协议的签订</w:t>
      </w:r>
      <w:bookmarkEnd w:id="103"/>
    </w:p>
    <w:p w14:paraId="4DADF026" w14:textId="77777777" w:rsidR="00F012EE" w:rsidRDefault="00477FBC">
      <w:pPr>
        <w:adjustRightInd w:val="0"/>
        <w:snapToGrid w:val="0"/>
        <w:spacing w:line="360" w:lineRule="auto"/>
        <w:ind w:firstLineChars="200" w:firstLine="480"/>
        <w:rPr>
          <w:rFonts w:ascii="宋体" w:eastAsia="宋体" w:hAnsi="宋体" w:cs="Arial"/>
          <w:sz w:val="24"/>
          <w:szCs w:val="24"/>
        </w:rPr>
      </w:pPr>
      <w:r>
        <w:rPr>
          <w:rFonts w:ascii="宋体" w:eastAsia="宋体" w:hAnsi="宋体" w:cs="微软雅黑" w:hint="eastAsia"/>
          <w:sz w:val="24"/>
          <w:szCs w:val="24"/>
        </w:rPr>
        <w:t>本协议双方法定代表人或授权代表签字或盖章并加盖双方公章或合同专用章</w:t>
      </w:r>
      <w:r>
        <w:rPr>
          <w:rFonts w:ascii="宋体" w:eastAsia="宋体" w:hAnsi="宋体" w:cs="Malgun Gothic Semilight" w:hint="eastAsia"/>
          <w:sz w:val="24"/>
          <w:szCs w:val="24"/>
        </w:rPr>
        <w:t>，</w:t>
      </w:r>
      <w:r>
        <w:rPr>
          <w:rFonts w:ascii="宋体" w:eastAsia="宋体" w:hAnsi="宋体" w:cs="微软雅黑" w:hint="eastAsia"/>
          <w:sz w:val="24"/>
          <w:szCs w:val="24"/>
        </w:rPr>
        <w:t>并列明签订地</w:t>
      </w:r>
      <w:r>
        <w:rPr>
          <w:rFonts w:ascii="宋体" w:eastAsia="宋体" w:hAnsi="宋体" w:cs="Malgun Gothic Semilight" w:hint="eastAsia"/>
          <w:sz w:val="24"/>
          <w:szCs w:val="24"/>
        </w:rPr>
        <w:t>、</w:t>
      </w:r>
      <w:r>
        <w:rPr>
          <w:rFonts w:ascii="宋体" w:eastAsia="宋体" w:hAnsi="宋体" w:cs="微软雅黑" w:hint="eastAsia"/>
          <w:sz w:val="24"/>
          <w:szCs w:val="24"/>
        </w:rPr>
        <w:t>签订日</w:t>
      </w:r>
      <w:r>
        <w:rPr>
          <w:rFonts w:ascii="宋体" w:eastAsia="宋体" w:hAnsi="宋体" w:cs="Arial" w:hint="eastAsia"/>
          <w:sz w:val="24"/>
          <w:szCs w:val="24"/>
        </w:rPr>
        <w:t>。</w:t>
      </w:r>
    </w:p>
    <w:bookmarkEnd w:id="0"/>
    <w:bookmarkEnd w:id="1"/>
    <w:p w14:paraId="18893D04" w14:textId="77777777" w:rsidR="00F012EE" w:rsidRPr="00AC35ED" w:rsidRDefault="00F012EE">
      <w:pPr>
        <w:spacing w:line="360" w:lineRule="auto"/>
        <w:rPr>
          <w:rFonts w:ascii="宋体" w:eastAsia="宋体" w:hAnsi="宋体"/>
        </w:rPr>
      </w:pPr>
    </w:p>
    <w:sectPr w:rsidR="00F012EE" w:rsidRPr="00AC35ED">
      <w:headerReference w:type="default" r:id="rId10"/>
      <w:footerReference w:type="even" r:id="rId11"/>
      <w:footerReference w:type="default" r:id="rId12"/>
      <w:pgSz w:w="11906" w:h="16838"/>
      <w:pgMar w:top="1418" w:right="1701" w:bottom="1418" w:left="1701"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4BE2C0" w16cex:dateUtc="2026-03-30T2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FFB616" w16cid:durableId="7FFFB616"/>
  <w16cid:commentId w16cid:paraId="6C6027C9" w16cid:durableId="6C6027C9"/>
  <w16cid:commentId w16cid:paraId="7FFD4C9B" w16cid:durableId="7FFD4C9B"/>
  <w16cid:commentId w16cid:paraId="79FE6D04" w16cid:durableId="79FE6D04"/>
  <w16cid:commentId w16cid:paraId="1627D906" w16cid:durableId="1627D906"/>
  <w16cid:commentId w16cid:paraId="11BD85F6" w16cid:durableId="11BD85F6"/>
  <w16cid:commentId w16cid:paraId="2EC8F7FC" w16cid:durableId="2EC8F7FC"/>
  <w16cid:commentId w16cid:paraId="70C3A4D6" w16cid:durableId="70C3A4D6"/>
  <w16cid:commentId w16cid:paraId="4E5E6639" w16cid:durableId="4E5E6639"/>
  <w16cid:commentId w16cid:paraId="5264CDE7" w16cid:durableId="5264CDE7"/>
  <w16cid:commentId w16cid:paraId="15BF4062" w16cid:durableId="15BF4062"/>
  <w16cid:commentId w16cid:paraId="6EDE56EC" w16cid:durableId="6EDE56EC"/>
  <w16cid:commentId w16cid:paraId="614B40CB" w16cid:durableId="614B40CB"/>
  <w16cid:commentId w16cid:paraId="62B99228" w16cid:durableId="62B99228"/>
  <w16cid:commentId w16cid:paraId="0428F8DA" w16cid:durableId="0428F8DA"/>
  <w16cid:commentId w16cid:paraId="32DF8163" w16cid:durableId="32DF8163"/>
  <w16cid:commentId w16cid:paraId="437383AA" w16cid:durableId="437383AA"/>
  <w16cid:commentId w16cid:paraId="418EDC49" w16cid:durableId="418EDC49"/>
  <w16cid:commentId w16cid:paraId="1C17EB6A" w16cid:durableId="1A4BE2C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200A9" w14:textId="77777777" w:rsidR="004A03DE" w:rsidRDefault="004A03DE">
      <w:r>
        <w:separator/>
      </w:r>
    </w:p>
  </w:endnote>
  <w:endnote w:type="continuationSeparator" w:id="0">
    <w:p w14:paraId="0A7AC604" w14:textId="77777777" w:rsidR="004A03DE" w:rsidRDefault="004A03DE">
      <w:r>
        <w:continuationSeparator/>
      </w:r>
    </w:p>
  </w:endnote>
  <w:endnote w:type="continuationNotice" w:id="1">
    <w:p w14:paraId="0092F1A1" w14:textId="77777777" w:rsidR="004A03DE" w:rsidRDefault="004A03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仿宋简体">
    <w:altName w:val="宋体"/>
    <w:charset w:val="86"/>
    <w:family w:val="auto"/>
    <w:pitch w:val="default"/>
    <w:sig w:usb0="00000000" w:usb1="00000000" w:usb2="00000012" w:usb3="00000000" w:csb0="00040001"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7097B" w14:textId="77777777" w:rsidR="00F012EE" w:rsidRDefault="00477FBC">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6733B3E2" w14:textId="77777777" w:rsidR="00F012EE" w:rsidRDefault="00F012EE">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D0C3D" w14:textId="77935106" w:rsidR="00F012EE" w:rsidRDefault="00477FBC">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482A33">
      <w:rPr>
        <w:rStyle w:val="af"/>
        <w:noProof/>
      </w:rPr>
      <w:t>1</w:t>
    </w:r>
    <w:r>
      <w:rPr>
        <w:rStyle w:val="af"/>
      </w:rPr>
      <w:fldChar w:fldCharType="end"/>
    </w:r>
  </w:p>
  <w:p w14:paraId="394B5C53" w14:textId="77777777" w:rsidR="00F012EE" w:rsidRDefault="00F012EE">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78686" w14:textId="77777777" w:rsidR="00F012EE" w:rsidRDefault="00477FBC">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7260A9C7" w14:textId="77777777" w:rsidR="00F012EE" w:rsidRDefault="00F012EE">
    <w:pPr>
      <w:pStyle w:val="a8"/>
    </w:pPr>
  </w:p>
  <w:p w14:paraId="015E351A" w14:textId="77777777" w:rsidR="00F012EE" w:rsidRDefault="00F012EE"/>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7CACA" w14:textId="1DBC80CF" w:rsidR="00F012EE" w:rsidRDefault="00477FBC">
    <w:pPr>
      <w:pStyle w:val="a8"/>
      <w:framePr w:wrap="around" w:vAnchor="text" w:hAnchor="margin" w:xAlign="center" w:y="1"/>
      <w:jc w:val="center"/>
      <w:rPr>
        <w:rStyle w:val="af"/>
      </w:rPr>
    </w:pPr>
    <w:r>
      <w:rPr>
        <w:rStyle w:val="af"/>
      </w:rPr>
      <w:fldChar w:fldCharType="begin"/>
    </w:r>
    <w:r>
      <w:rPr>
        <w:rStyle w:val="af"/>
      </w:rPr>
      <w:instrText xml:space="preserve">PAGE  </w:instrText>
    </w:r>
    <w:r>
      <w:rPr>
        <w:rStyle w:val="af"/>
      </w:rPr>
      <w:fldChar w:fldCharType="separate"/>
    </w:r>
    <w:r w:rsidR="00482A33">
      <w:rPr>
        <w:rStyle w:val="af"/>
        <w:noProof/>
      </w:rPr>
      <w:t>3</w:t>
    </w:r>
    <w:r>
      <w:rPr>
        <w:rStyle w:val="af"/>
      </w:rPr>
      <w:fldChar w:fldCharType="end"/>
    </w:r>
  </w:p>
  <w:p w14:paraId="1C3B91C9" w14:textId="77777777" w:rsidR="00F012EE" w:rsidRDefault="00F012EE">
    <w:pPr>
      <w:pStyle w:val="a8"/>
    </w:pPr>
  </w:p>
  <w:p w14:paraId="34547CCD" w14:textId="77777777" w:rsidR="00F012EE" w:rsidRDefault="00F012E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1C6D9C" w14:textId="77777777" w:rsidR="004A03DE" w:rsidRDefault="004A03DE">
      <w:r>
        <w:separator/>
      </w:r>
    </w:p>
  </w:footnote>
  <w:footnote w:type="continuationSeparator" w:id="0">
    <w:p w14:paraId="5667386F" w14:textId="77777777" w:rsidR="004A03DE" w:rsidRDefault="004A03DE">
      <w:r>
        <w:continuationSeparator/>
      </w:r>
    </w:p>
  </w:footnote>
  <w:footnote w:type="continuationNotice" w:id="1">
    <w:p w14:paraId="2A5D2C5E" w14:textId="77777777" w:rsidR="004A03DE" w:rsidRDefault="004A03D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51C79" w14:textId="37FE853C" w:rsidR="00F012EE" w:rsidRDefault="00477FBC">
    <w:pPr>
      <w:pStyle w:val="aa"/>
      <w:jc w:val="left"/>
    </w:pPr>
    <w:r>
      <w:rPr>
        <w:rFonts w:hint="eastAsia"/>
      </w:rPr>
      <w:t>嘉实中证红利低波动</w:t>
    </w:r>
    <w:r>
      <w:t>100</w:t>
    </w:r>
    <w:r>
      <w:rPr>
        <w:rFonts w:hint="eastAsia"/>
      </w:rPr>
      <w:t>交易型开放式指数证券投资基金</w:t>
    </w:r>
    <w:r>
      <w:rPr>
        <w:rFonts w:hint="eastAsia"/>
      </w:rPr>
      <w:t xml:space="preserve"> </w:t>
    </w:r>
    <w:r>
      <w:t xml:space="preserve">                     </w:t>
    </w:r>
    <w:r w:rsidR="00A02593">
      <w:t xml:space="preserve">       </w:t>
    </w:r>
    <w:r>
      <w:t xml:space="preserve">      </w:t>
    </w:r>
    <w:r>
      <w:rPr>
        <w:rFonts w:hint="eastAsia"/>
      </w:rPr>
      <w:t>托管协议</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66162"/>
    <w:multiLevelType w:val="hybridMultilevel"/>
    <w:tmpl w:val="1D5EF138"/>
    <w:lvl w:ilvl="0" w:tplc="70F631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EA0"/>
    <w:rsid w:val="8ED76E93"/>
    <w:rsid w:val="FDFD1FFE"/>
    <w:rsid w:val="FF5E2126"/>
    <w:rsid w:val="00002218"/>
    <w:rsid w:val="00013D31"/>
    <w:rsid w:val="0001623C"/>
    <w:rsid w:val="000207EB"/>
    <w:rsid w:val="0002269F"/>
    <w:rsid w:val="00027EFD"/>
    <w:rsid w:val="00030EA3"/>
    <w:rsid w:val="00040132"/>
    <w:rsid w:val="0004072D"/>
    <w:rsid w:val="00044C41"/>
    <w:rsid w:val="0005074D"/>
    <w:rsid w:val="00053C75"/>
    <w:rsid w:val="00066618"/>
    <w:rsid w:val="000731C1"/>
    <w:rsid w:val="0007499B"/>
    <w:rsid w:val="00075774"/>
    <w:rsid w:val="00075EBD"/>
    <w:rsid w:val="00083BD8"/>
    <w:rsid w:val="00087EB9"/>
    <w:rsid w:val="000918CD"/>
    <w:rsid w:val="0009329E"/>
    <w:rsid w:val="00094164"/>
    <w:rsid w:val="000B2EA0"/>
    <w:rsid w:val="000B522E"/>
    <w:rsid w:val="000B5C8D"/>
    <w:rsid w:val="000C3BEB"/>
    <w:rsid w:val="000D2AD8"/>
    <w:rsid w:val="000D4C1C"/>
    <w:rsid w:val="000E70B4"/>
    <w:rsid w:val="000E7167"/>
    <w:rsid w:val="000F5D28"/>
    <w:rsid w:val="000F6BEA"/>
    <w:rsid w:val="001108FB"/>
    <w:rsid w:val="00114E2D"/>
    <w:rsid w:val="00116F9A"/>
    <w:rsid w:val="00117492"/>
    <w:rsid w:val="00121114"/>
    <w:rsid w:val="00127AEC"/>
    <w:rsid w:val="00132F15"/>
    <w:rsid w:val="00133FB2"/>
    <w:rsid w:val="0013531A"/>
    <w:rsid w:val="00135425"/>
    <w:rsid w:val="001414C4"/>
    <w:rsid w:val="00141F4A"/>
    <w:rsid w:val="00143AC0"/>
    <w:rsid w:val="0014651B"/>
    <w:rsid w:val="00155457"/>
    <w:rsid w:val="001710B6"/>
    <w:rsid w:val="001752E6"/>
    <w:rsid w:val="00184F82"/>
    <w:rsid w:val="00187A93"/>
    <w:rsid w:val="00190CBF"/>
    <w:rsid w:val="001966B2"/>
    <w:rsid w:val="001A386C"/>
    <w:rsid w:val="001A78B0"/>
    <w:rsid w:val="001B614A"/>
    <w:rsid w:val="001B6E6B"/>
    <w:rsid w:val="001C0008"/>
    <w:rsid w:val="001C0011"/>
    <w:rsid w:val="001C2634"/>
    <w:rsid w:val="001C3E50"/>
    <w:rsid w:val="001C5ADA"/>
    <w:rsid w:val="001C6768"/>
    <w:rsid w:val="001D2640"/>
    <w:rsid w:val="001E0C6E"/>
    <w:rsid w:val="001E4724"/>
    <w:rsid w:val="001E4830"/>
    <w:rsid w:val="001E4D0B"/>
    <w:rsid w:val="001E6084"/>
    <w:rsid w:val="001F19EF"/>
    <w:rsid w:val="0020030D"/>
    <w:rsid w:val="00204BC3"/>
    <w:rsid w:val="002051D8"/>
    <w:rsid w:val="00206F45"/>
    <w:rsid w:val="00213A17"/>
    <w:rsid w:val="00222849"/>
    <w:rsid w:val="0022406B"/>
    <w:rsid w:val="0023588B"/>
    <w:rsid w:val="00237AF9"/>
    <w:rsid w:val="002452C3"/>
    <w:rsid w:val="002456FA"/>
    <w:rsid w:val="00247B28"/>
    <w:rsid w:val="002507F8"/>
    <w:rsid w:val="00253D06"/>
    <w:rsid w:val="00262A6A"/>
    <w:rsid w:val="00265DAB"/>
    <w:rsid w:val="00280103"/>
    <w:rsid w:val="00285142"/>
    <w:rsid w:val="0028716E"/>
    <w:rsid w:val="00287CC0"/>
    <w:rsid w:val="00290755"/>
    <w:rsid w:val="002948B0"/>
    <w:rsid w:val="00297AC6"/>
    <w:rsid w:val="002A066B"/>
    <w:rsid w:val="002B1B74"/>
    <w:rsid w:val="002B334C"/>
    <w:rsid w:val="002D30B8"/>
    <w:rsid w:val="002D3106"/>
    <w:rsid w:val="002E0149"/>
    <w:rsid w:val="002E057A"/>
    <w:rsid w:val="002E12A7"/>
    <w:rsid w:val="002E383E"/>
    <w:rsid w:val="002F207B"/>
    <w:rsid w:val="002F4296"/>
    <w:rsid w:val="002F63E5"/>
    <w:rsid w:val="002F7565"/>
    <w:rsid w:val="002F7840"/>
    <w:rsid w:val="002F7BC8"/>
    <w:rsid w:val="003129CA"/>
    <w:rsid w:val="003148F8"/>
    <w:rsid w:val="003179CD"/>
    <w:rsid w:val="00331CDE"/>
    <w:rsid w:val="00336EF6"/>
    <w:rsid w:val="00342249"/>
    <w:rsid w:val="0034721B"/>
    <w:rsid w:val="003514DD"/>
    <w:rsid w:val="0035298A"/>
    <w:rsid w:val="00354DC8"/>
    <w:rsid w:val="00362AA0"/>
    <w:rsid w:val="0036518C"/>
    <w:rsid w:val="00366EF1"/>
    <w:rsid w:val="00370F96"/>
    <w:rsid w:val="00375B26"/>
    <w:rsid w:val="00376C08"/>
    <w:rsid w:val="00381B3F"/>
    <w:rsid w:val="00386322"/>
    <w:rsid w:val="00387F23"/>
    <w:rsid w:val="0039153F"/>
    <w:rsid w:val="0039252F"/>
    <w:rsid w:val="003A357A"/>
    <w:rsid w:val="003A5B93"/>
    <w:rsid w:val="003B079C"/>
    <w:rsid w:val="003C42F6"/>
    <w:rsid w:val="003C7AC5"/>
    <w:rsid w:val="003D19AB"/>
    <w:rsid w:val="003E5669"/>
    <w:rsid w:val="003F503E"/>
    <w:rsid w:val="003F5D49"/>
    <w:rsid w:val="003F7F35"/>
    <w:rsid w:val="0040034E"/>
    <w:rsid w:val="00401FEE"/>
    <w:rsid w:val="00407AB2"/>
    <w:rsid w:val="00407CFD"/>
    <w:rsid w:val="00410E76"/>
    <w:rsid w:val="00413DF5"/>
    <w:rsid w:val="0041479C"/>
    <w:rsid w:val="00416321"/>
    <w:rsid w:val="00417DEF"/>
    <w:rsid w:val="00425BCD"/>
    <w:rsid w:val="00436155"/>
    <w:rsid w:val="0044422D"/>
    <w:rsid w:val="0044552B"/>
    <w:rsid w:val="00446B72"/>
    <w:rsid w:val="00451BDE"/>
    <w:rsid w:val="00463BCC"/>
    <w:rsid w:val="00477FBC"/>
    <w:rsid w:val="0048092F"/>
    <w:rsid w:val="00482A33"/>
    <w:rsid w:val="00490DAA"/>
    <w:rsid w:val="00496332"/>
    <w:rsid w:val="004A03DE"/>
    <w:rsid w:val="004A5153"/>
    <w:rsid w:val="004B36CD"/>
    <w:rsid w:val="004B3A57"/>
    <w:rsid w:val="004B4D90"/>
    <w:rsid w:val="004B54F5"/>
    <w:rsid w:val="004C584B"/>
    <w:rsid w:val="004D2B6F"/>
    <w:rsid w:val="004D573E"/>
    <w:rsid w:val="004D6172"/>
    <w:rsid w:val="004E10B7"/>
    <w:rsid w:val="004F25DD"/>
    <w:rsid w:val="004F31A0"/>
    <w:rsid w:val="004F4C30"/>
    <w:rsid w:val="004F4CE2"/>
    <w:rsid w:val="004F5F23"/>
    <w:rsid w:val="00510673"/>
    <w:rsid w:val="00510B8D"/>
    <w:rsid w:val="00511023"/>
    <w:rsid w:val="00520AE1"/>
    <w:rsid w:val="00545851"/>
    <w:rsid w:val="00546370"/>
    <w:rsid w:val="00553857"/>
    <w:rsid w:val="005564B7"/>
    <w:rsid w:val="005638D8"/>
    <w:rsid w:val="00567189"/>
    <w:rsid w:val="00571869"/>
    <w:rsid w:val="00577E77"/>
    <w:rsid w:val="00581F7D"/>
    <w:rsid w:val="00587DBC"/>
    <w:rsid w:val="00593148"/>
    <w:rsid w:val="005952B0"/>
    <w:rsid w:val="005953EF"/>
    <w:rsid w:val="00597D11"/>
    <w:rsid w:val="005A110D"/>
    <w:rsid w:val="005A6602"/>
    <w:rsid w:val="005B5B3F"/>
    <w:rsid w:val="005C1BF0"/>
    <w:rsid w:val="005C42DB"/>
    <w:rsid w:val="005C5829"/>
    <w:rsid w:val="005C7D39"/>
    <w:rsid w:val="005D2010"/>
    <w:rsid w:val="005E32D6"/>
    <w:rsid w:val="005F0FEB"/>
    <w:rsid w:val="005F139A"/>
    <w:rsid w:val="005F22CB"/>
    <w:rsid w:val="005F2BF3"/>
    <w:rsid w:val="005F3238"/>
    <w:rsid w:val="005F63CE"/>
    <w:rsid w:val="005F79D6"/>
    <w:rsid w:val="00603CF3"/>
    <w:rsid w:val="0061308C"/>
    <w:rsid w:val="00613FB6"/>
    <w:rsid w:val="0062206C"/>
    <w:rsid w:val="0062242F"/>
    <w:rsid w:val="006239DC"/>
    <w:rsid w:val="006265C4"/>
    <w:rsid w:val="00630612"/>
    <w:rsid w:val="00636B83"/>
    <w:rsid w:val="00642BEF"/>
    <w:rsid w:val="006450DE"/>
    <w:rsid w:val="0065013A"/>
    <w:rsid w:val="00663365"/>
    <w:rsid w:val="00664B50"/>
    <w:rsid w:val="00670495"/>
    <w:rsid w:val="00670DE3"/>
    <w:rsid w:val="00680911"/>
    <w:rsid w:val="00681639"/>
    <w:rsid w:val="00684564"/>
    <w:rsid w:val="0069127B"/>
    <w:rsid w:val="006958D7"/>
    <w:rsid w:val="006965F1"/>
    <w:rsid w:val="006A6C5B"/>
    <w:rsid w:val="006B21A7"/>
    <w:rsid w:val="006B70DA"/>
    <w:rsid w:val="006C032E"/>
    <w:rsid w:val="006D22D9"/>
    <w:rsid w:val="006D48E7"/>
    <w:rsid w:val="006D5DD8"/>
    <w:rsid w:val="006D7007"/>
    <w:rsid w:val="006E20B0"/>
    <w:rsid w:val="006E4B5A"/>
    <w:rsid w:val="006F5968"/>
    <w:rsid w:val="006F7E23"/>
    <w:rsid w:val="00701C23"/>
    <w:rsid w:val="00711011"/>
    <w:rsid w:val="00712A3C"/>
    <w:rsid w:val="007138AC"/>
    <w:rsid w:val="0072127D"/>
    <w:rsid w:val="00722B86"/>
    <w:rsid w:val="00726929"/>
    <w:rsid w:val="007317F3"/>
    <w:rsid w:val="00732571"/>
    <w:rsid w:val="0073740F"/>
    <w:rsid w:val="0074150D"/>
    <w:rsid w:val="00742388"/>
    <w:rsid w:val="007435C4"/>
    <w:rsid w:val="0074436A"/>
    <w:rsid w:val="0074554F"/>
    <w:rsid w:val="00745D35"/>
    <w:rsid w:val="00761B32"/>
    <w:rsid w:val="0078339C"/>
    <w:rsid w:val="0078483F"/>
    <w:rsid w:val="00787250"/>
    <w:rsid w:val="007900F2"/>
    <w:rsid w:val="00793737"/>
    <w:rsid w:val="007A22A3"/>
    <w:rsid w:val="007A2A4A"/>
    <w:rsid w:val="007B08BB"/>
    <w:rsid w:val="007B6627"/>
    <w:rsid w:val="007B7F70"/>
    <w:rsid w:val="007C147E"/>
    <w:rsid w:val="007C2885"/>
    <w:rsid w:val="007C29FF"/>
    <w:rsid w:val="007C3091"/>
    <w:rsid w:val="007C7757"/>
    <w:rsid w:val="007D314B"/>
    <w:rsid w:val="007E6C9B"/>
    <w:rsid w:val="007F2039"/>
    <w:rsid w:val="00803AE1"/>
    <w:rsid w:val="008051E8"/>
    <w:rsid w:val="00805487"/>
    <w:rsid w:val="00807A46"/>
    <w:rsid w:val="00826D6E"/>
    <w:rsid w:val="0083719F"/>
    <w:rsid w:val="00841C0F"/>
    <w:rsid w:val="00844226"/>
    <w:rsid w:val="00861474"/>
    <w:rsid w:val="00861882"/>
    <w:rsid w:val="00863F92"/>
    <w:rsid w:val="00865032"/>
    <w:rsid w:val="00874D43"/>
    <w:rsid w:val="008774ED"/>
    <w:rsid w:val="008779F0"/>
    <w:rsid w:val="008813FB"/>
    <w:rsid w:val="00884D56"/>
    <w:rsid w:val="008A355C"/>
    <w:rsid w:val="008A556D"/>
    <w:rsid w:val="008B3F72"/>
    <w:rsid w:val="008B6463"/>
    <w:rsid w:val="008C59D8"/>
    <w:rsid w:val="008C6155"/>
    <w:rsid w:val="008D6D64"/>
    <w:rsid w:val="008E2E6C"/>
    <w:rsid w:val="008E53CC"/>
    <w:rsid w:val="008F4D8F"/>
    <w:rsid w:val="008F60A4"/>
    <w:rsid w:val="00910A2C"/>
    <w:rsid w:val="009201CA"/>
    <w:rsid w:val="00920ED8"/>
    <w:rsid w:val="009331E3"/>
    <w:rsid w:val="00942FA1"/>
    <w:rsid w:val="00950F9D"/>
    <w:rsid w:val="00953011"/>
    <w:rsid w:val="0096205E"/>
    <w:rsid w:val="0097169D"/>
    <w:rsid w:val="00993514"/>
    <w:rsid w:val="0099436F"/>
    <w:rsid w:val="009A18EF"/>
    <w:rsid w:val="009A2D0A"/>
    <w:rsid w:val="009A3628"/>
    <w:rsid w:val="009A627C"/>
    <w:rsid w:val="009B3DA4"/>
    <w:rsid w:val="009C1DD4"/>
    <w:rsid w:val="009C1E81"/>
    <w:rsid w:val="009C34B2"/>
    <w:rsid w:val="009D1DDF"/>
    <w:rsid w:val="009D3FE0"/>
    <w:rsid w:val="009D440C"/>
    <w:rsid w:val="009E24AA"/>
    <w:rsid w:val="009E49E2"/>
    <w:rsid w:val="009E71B4"/>
    <w:rsid w:val="00A000AD"/>
    <w:rsid w:val="00A0105E"/>
    <w:rsid w:val="00A02593"/>
    <w:rsid w:val="00A07603"/>
    <w:rsid w:val="00A10152"/>
    <w:rsid w:val="00A16E82"/>
    <w:rsid w:val="00A21216"/>
    <w:rsid w:val="00A223CD"/>
    <w:rsid w:val="00A23D6B"/>
    <w:rsid w:val="00A25308"/>
    <w:rsid w:val="00A27F05"/>
    <w:rsid w:val="00A31048"/>
    <w:rsid w:val="00A465B9"/>
    <w:rsid w:val="00A4728A"/>
    <w:rsid w:val="00A47A36"/>
    <w:rsid w:val="00A510DB"/>
    <w:rsid w:val="00A543A6"/>
    <w:rsid w:val="00A5601C"/>
    <w:rsid w:val="00A64C85"/>
    <w:rsid w:val="00A81086"/>
    <w:rsid w:val="00A853F6"/>
    <w:rsid w:val="00A92865"/>
    <w:rsid w:val="00A97BFE"/>
    <w:rsid w:val="00AA2F43"/>
    <w:rsid w:val="00AA4F91"/>
    <w:rsid w:val="00AA6482"/>
    <w:rsid w:val="00AA6FE7"/>
    <w:rsid w:val="00AB3025"/>
    <w:rsid w:val="00AB5984"/>
    <w:rsid w:val="00AC0B06"/>
    <w:rsid w:val="00AC14E3"/>
    <w:rsid w:val="00AC35ED"/>
    <w:rsid w:val="00AD1683"/>
    <w:rsid w:val="00AE07F2"/>
    <w:rsid w:val="00AF1013"/>
    <w:rsid w:val="00AF1E42"/>
    <w:rsid w:val="00AF3FC0"/>
    <w:rsid w:val="00B069CE"/>
    <w:rsid w:val="00B107E7"/>
    <w:rsid w:val="00B1366D"/>
    <w:rsid w:val="00B16A0A"/>
    <w:rsid w:val="00B17646"/>
    <w:rsid w:val="00B21D0A"/>
    <w:rsid w:val="00B27163"/>
    <w:rsid w:val="00B33563"/>
    <w:rsid w:val="00B41E6D"/>
    <w:rsid w:val="00B42410"/>
    <w:rsid w:val="00B440A5"/>
    <w:rsid w:val="00B44869"/>
    <w:rsid w:val="00B529F8"/>
    <w:rsid w:val="00B61851"/>
    <w:rsid w:val="00B63623"/>
    <w:rsid w:val="00B667CB"/>
    <w:rsid w:val="00B73CA7"/>
    <w:rsid w:val="00B77A5B"/>
    <w:rsid w:val="00B80972"/>
    <w:rsid w:val="00B85EE8"/>
    <w:rsid w:val="00B92245"/>
    <w:rsid w:val="00BB4832"/>
    <w:rsid w:val="00BC0044"/>
    <w:rsid w:val="00BC0F08"/>
    <w:rsid w:val="00BC3B22"/>
    <w:rsid w:val="00BC4D75"/>
    <w:rsid w:val="00BD2C26"/>
    <w:rsid w:val="00BD55DD"/>
    <w:rsid w:val="00BD65FA"/>
    <w:rsid w:val="00BE3274"/>
    <w:rsid w:val="00BE3D15"/>
    <w:rsid w:val="00BE65EF"/>
    <w:rsid w:val="00BE7FCA"/>
    <w:rsid w:val="00BF540E"/>
    <w:rsid w:val="00BF6E25"/>
    <w:rsid w:val="00BF7A0D"/>
    <w:rsid w:val="00C037BF"/>
    <w:rsid w:val="00C04B57"/>
    <w:rsid w:val="00C05CEE"/>
    <w:rsid w:val="00C0691B"/>
    <w:rsid w:val="00C11AC6"/>
    <w:rsid w:val="00C17DAD"/>
    <w:rsid w:val="00C2322B"/>
    <w:rsid w:val="00C237E4"/>
    <w:rsid w:val="00C24CC0"/>
    <w:rsid w:val="00C272DE"/>
    <w:rsid w:val="00C45AEE"/>
    <w:rsid w:val="00C45DD4"/>
    <w:rsid w:val="00C47205"/>
    <w:rsid w:val="00C47764"/>
    <w:rsid w:val="00C478B6"/>
    <w:rsid w:val="00C5315D"/>
    <w:rsid w:val="00C54E51"/>
    <w:rsid w:val="00C554B5"/>
    <w:rsid w:val="00C6199A"/>
    <w:rsid w:val="00C62CD1"/>
    <w:rsid w:val="00C73848"/>
    <w:rsid w:val="00C824AD"/>
    <w:rsid w:val="00C84356"/>
    <w:rsid w:val="00C917C0"/>
    <w:rsid w:val="00C93864"/>
    <w:rsid w:val="00C9636D"/>
    <w:rsid w:val="00C975BC"/>
    <w:rsid w:val="00CA23D0"/>
    <w:rsid w:val="00CA40EE"/>
    <w:rsid w:val="00CA66BD"/>
    <w:rsid w:val="00CB58AD"/>
    <w:rsid w:val="00CC089E"/>
    <w:rsid w:val="00CC12D3"/>
    <w:rsid w:val="00CD629D"/>
    <w:rsid w:val="00CE0333"/>
    <w:rsid w:val="00CE4092"/>
    <w:rsid w:val="00CE7284"/>
    <w:rsid w:val="00D06DE4"/>
    <w:rsid w:val="00D11E3C"/>
    <w:rsid w:val="00D13AA8"/>
    <w:rsid w:val="00D14EC4"/>
    <w:rsid w:val="00D444B8"/>
    <w:rsid w:val="00D45BCB"/>
    <w:rsid w:val="00D47918"/>
    <w:rsid w:val="00D519BC"/>
    <w:rsid w:val="00D56C70"/>
    <w:rsid w:val="00D62F18"/>
    <w:rsid w:val="00D63BEE"/>
    <w:rsid w:val="00D7632E"/>
    <w:rsid w:val="00D76505"/>
    <w:rsid w:val="00D8154D"/>
    <w:rsid w:val="00D87F5B"/>
    <w:rsid w:val="00D90F53"/>
    <w:rsid w:val="00DA171A"/>
    <w:rsid w:val="00DA3897"/>
    <w:rsid w:val="00DA440C"/>
    <w:rsid w:val="00DA5CF9"/>
    <w:rsid w:val="00DA62A4"/>
    <w:rsid w:val="00DA7EBB"/>
    <w:rsid w:val="00DB294E"/>
    <w:rsid w:val="00DC374A"/>
    <w:rsid w:val="00DC6003"/>
    <w:rsid w:val="00DD37EC"/>
    <w:rsid w:val="00DD4926"/>
    <w:rsid w:val="00DD5FE9"/>
    <w:rsid w:val="00DD6186"/>
    <w:rsid w:val="00DE2825"/>
    <w:rsid w:val="00DE2B31"/>
    <w:rsid w:val="00DE38E5"/>
    <w:rsid w:val="00DE516F"/>
    <w:rsid w:val="00DF1EDE"/>
    <w:rsid w:val="00DF2916"/>
    <w:rsid w:val="00DF3C9D"/>
    <w:rsid w:val="00DF62B2"/>
    <w:rsid w:val="00DF7744"/>
    <w:rsid w:val="00E0077C"/>
    <w:rsid w:val="00E00BD7"/>
    <w:rsid w:val="00E01C62"/>
    <w:rsid w:val="00E02FFF"/>
    <w:rsid w:val="00E14533"/>
    <w:rsid w:val="00E1544E"/>
    <w:rsid w:val="00E17F61"/>
    <w:rsid w:val="00E202A1"/>
    <w:rsid w:val="00E22A6E"/>
    <w:rsid w:val="00E273BA"/>
    <w:rsid w:val="00E30E54"/>
    <w:rsid w:val="00E33108"/>
    <w:rsid w:val="00E45E85"/>
    <w:rsid w:val="00E47D04"/>
    <w:rsid w:val="00E52340"/>
    <w:rsid w:val="00E54B4C"/>
    <w:rsid w:val="00E60FE8"/>
    <w:rsid w:val="00E6232A"/>
    <w:rsid w:val="00E6416A"/>
    <w:rsid w:val="00E67C7A"/>
    <w:rsid w:val="00E761A0"/>
    <w:rsid w:val="00E7775E"/>
    <w:rsid w:val="00E929BA"/>
    <w:rsid w:val="00E933AB"/>
    <w:rsid w:val="00E97525"/>
    <w:rsid w:val="00EA1769"/>
    <w:rsid w:val="00EA3397"/>
    <w:rsid w:val="00EB43D5"/>
    <w:rsid w:val="00EB6CD0"/>
    <w:rsid w:val="00EB7C8F"/>
    <w:rsid w:val="00EC231F"/>
    <w:rsid w:val="00EC4573"/>
    <w:rsid w:val="00EC4DF3"/>
    <w:rsid w:val="00ED7A8F"/>
    <w:rsid w:val="00EE2FF4"/>
    <w:rsid w:val="00EE3CEC"/>
    <w:rsid w:val="00EF7660"/>
    <w:rsid w:val="00EF79F7"/>
    <w:rsid w:val="00F012EE"/>
    <w:rsid w:val="00F0333D"/>
    <w:rsid w:val="00F03E5B"/>
    <w:rsid w:val="00F13B24"/>
    <w:rsid w:val="00F22413"/>
    <w:rsid w:val="00F26BED"/>
    <w:rsid w:val="00F37E80"/>
    <w:rsid w:val="00F55D8D"/>
    <w:rsid w:val="00F56903"/>
    <w:rsid w:val="00F61621"/>
    <w:rsid w:val="00F6261B"/>
    <w:rsid w:val="00F63F36"/>
    <w:rsid w:val="00F65342"/>
    <w:rsid w:val="00F65C75"/>
    <w:rsid w:val="00F70147"/>
    <w:rsid w:val="00F7191F"/>
    <w:rsid w:val="00F77A70"/>
    <w:rsid w:val="00F8186E"/>
    <w:rsid w:val="00F8567A"/>
    <w:rsid w:val="00F9528C"/>
    <w:rsid w:val="00FA4B39"/>
    <w:rsid w:val="00FA560A"/>
    <w:rsid w:val="00FC04E7"/>
    <w:rsid w:val="00FC41CF"/>
    <w:rsid w:val="00FC6A73"/>
    <w:rsid w:val="00FD207D"/>
    <w:rsid w:val="00FD23DF"/>
    <w:rsid w:val="158E315F"/>
    <w:rsid w:val="23433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4AFBFD"/>
  <w15:docId w15:val="{15CB4B04-FE00-4610-8EBE-B48D9755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iPriority="0" w:unhideWhenUsed="1" w:qFormat="1"/>
    <w:lsdException w:name="footnote text" w:semiHidden="1"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unhideWhenUsed="1" w:qFormat="1"/>
    <w:lsdException w:name="Block Text" w:semiHidden="1" w:unhideWhenUsed="1"/>
    <w:lsdException w:name="Hyperlink" w:uiPriority="0"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0"/>
    <w:link w:val="21"/>
    <w:qFormat/>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rPr>
      <w:rFonts w:ascii="Times New Roman" w:eastAsia="宋体" w:hAnsi="Times New Roman" w:cs="Times New Roman"/>
      <w:szCs w:val="24"/>
    </w:rPr>
  </w:style>
  <w:style w:type="paragraph" w:styleId="7">
    <w:name w:val="toc 7"/>
    <w:basedOn w:val="a"/>
    <w:next w:val="a"/>
    <w:semiHidden/>
    <w:qFormat/>
    <w:pPr>
      <w:ind w:leftChars="1200" w:left="2520"/>
    </w:pPr>
    <w:rPr>
      <w:rFonts w:ascii="Times New Roman" w:eastAsia="宋体" w:hAnsi="Times New Roman" w:cs="Times New Roman"/>
      <w:szCs w:val="24"/>
    </w:rPr>
  </w:style>
  <w:style w:type="paragraph" w:styleId="a4">
    <w:name w:val="annotation text"/>
    <w:basedOn w:val="a"/>
    <w:link w:val="1"/>
    <w:uiPriority w:val="99"/>
    <w:qFormat/>
    <w:pPr>
      <w:jc w:val="left"/>
    </w:pPr>
    <w:rPr>
      <w:rFonts w:ascii="Times New Roman" w:eastAsia="宋体" w:hAnsi="Times New Roman" w:cs="Times New Roman"/>
      <w:szCs w:val="24"/>
    </w:rPr>
  </w:style>
  <w:style w:type="paragraph" w:styleId="a5">
    <w:name w:val="Body Text"/>
    <w:basedOn w:val="a"/>
    <w:link w:val="10"/>
    <w:qFormat/>
    <w:pPr>
      <w:spacing w:line="360" w:lineRule="auto"/>
    </w:pPr>
    <w:rPr>
      <w:rFonts w:ascii="仿宋_GB2312" w:eastAsia="仿宋_GB2312" w:hAnsi="Times New Roman" w:cs="Times New Roman"/>
      <w:color w:val="000000"/>
      <w:kern w:val="0"/>
      <w:sz w:val="24"/>
      <w:szCs w:val="28"/>
    </w:rPr>
  </w:style>
  <w:style w:type="paragraph" w:styleId="a6">
    <w:name w:val="Body Text Indent"/>
    <w:basedOn w:val="a"/>
    <w:link w:val="11"/>
    <w:qFormat/>
    <w:pPr>
      <w:adjustRightInd w:val="0"/>
      <w:snapToGrid w:val="0"/>
      <w:spacing w:line="560" w:lineRule="exact"/>
      <w:ind w:firstLineChars="200" w:firstLine="480"/>
    </w:pPr>
    <w:rPr>
      <w:rFonts w:ascii="Times New Roman" w:eastAsia="方正仿宋简体" w:hAnsi="Times New Roman" w:cs="Times New Roman"/>
      <w:sz w:val="24"/>
      <w:szCs w:val="30"/>
    </w:rPr>
  </w:style>
  <w:style w:type="paragraph" w:styleId="5">
    <w:name w:val="toc 5"/>
    <w:basedOn w:val="a"/>
    <w:next w:val="a"/>
    <w:semiHidden/>
    <w:qFormat/>
    <w:pPr>
      <w:ind w:leftChars="800" w:left="1680"/>
    </w:pPr>
    <w:rPr>
      <w:rFonts w:ascii="Times New Roman" w:eastAsia="宋体" w:hAnsi="Times New Roman" w:cs="Times New Roman"/>
      <w:szCs w:val="24"/>
    </w:rPr>
  </w:style>
  <w:style w:type="paragraph" w:styleId="3">
    <w:name w:val="toc 3"/>
    <w:basedOn w:val="a"/>
    <w:next w:val="a"/>
    <w:semiHidden/>
    <w:qFormat/>
    <w:pPr>
      <w:ind w:leftChars="400" w:left="840"/>
    </w:pPr>
    <w:rPr>
      <w:rFonts w:ascii="Times New Roman" w:eastAsia="宋体" w:hAnsi="Times New Roman" w:cs="Times New Roman"/>
      <w:szCs w:val="24"/>
    </w:rPr>
  </w:style>
  <w:style w:type="paragraph" w:styleId="8">
    <w:name w:val="toc 8"/>
    <w:basedOn w:val="a"/>
    <w:next w:val="a"/>
    <w:semiHidden/>
    <w:qFormat/>
    <w:pPr>
      <w:ind w:leftChars="1400" w:left="2940"/>
    </w:pPr>
    <w:rPr>
      <w:rFonts w:ascii="Times New Roman" w:eastAsia="宋体" w:hAnsi="Times New Roman" w:cs="Times New Roman"/>
      <w:szCs w:val="24"/>
    </w:rPr>
  </w:style>
  <w:style w:type="paragraph" w:styleId="20">
    <w:name w:val="Body Text Indent 2"/>
    <w:basedOn w:val="a"/>
    <w:link w:val="210"/>
    <w:qFormat/>
    <w:pPr>
      <w:spacing w:line="360" w:lineRule="auto"/>
      <w:ind w:firstLine="525"/>
    </w:pPr>
    <w:rPr>
      <w:rFonts w:ascii="宋体" w:eastAsia="宋体" w:hAnsi="宋体" w:cs="Times New Roman"/>
      <w:sz w:val="28"/>
      <w:szCs w:val="20"/>
    </w:rPr>
  </w:style>
  <w:style w:type="paragraph" w:styleId="a7">
    <w:name w:val="Balloon Text"/>
    <w:basedOn w:val="a"/>
    <w:link w:val="12"/>
    <w:semiHidden/>
    <w:qFormat/>
    <w:rPr>
      <w:rFonts w:ascii="Times New Roman" w:eastAsia="宋体" w:hAnsi="Times New Roman" w:cs="Times New Roman"/>
      <w:sz w:val="18"/>
      <w:szCs w:val="18"/>
    </w:rPr>
  </w:style>
  <w:style w:type="paragraph" w:styleId="a8">
    <w:name w:val="footer"/>
    <w:basedOn w:val="a"/>
    <w:link w:val="a9"/>
    <w:unhideWhenUsed/>
    <w:qFormat/>
    <w:pPr>
      <w:tabs>
        <w:tab w:val="center" w:pos="4153"/>
        <w:tab w:val="right" w:pos="8306"/>
      </w:tabs>
      <w:snapToGrid w:val="0"/>
      <w:jc w:val="left"/>
    </w:pPr>
    <w:rPr>
      <w:rFonts w:ascii="Times New Roman" w:eastAsia="宋体" w:hAnsi="Times New Roman" w:cs="Times New Roman"/>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3">
    <w:name w:val="toc 1"/>
    <w:basedOn w:val="a"/>
    <w:next w:val="a"/>
    <w:semiHidden/>
    <w:qFormat/>
    <w:rPr>
      <w:rFonts w:ascii="Times New Roman" w:eastAsia="宋体" w:hAnsi="Times New Roman" w:cs="Times New Roman"/>
      <w:szCs w:val="24"/>
    </w:rPr>
  </w:style>
  <w:style w:type="paragraph" w:styleId="4">
    <w:name w:val="toc 4"/>
    <w:basedOn w:val="a"/>
    <w:next w:val="a"/>
    <w:semiHidden/>
    <w:qFormat/>
    <w:pPr>
      <w:ind w:leftChars="600" w:left="1260"/>
    </w:pPr>
    <w:rPr>
      <w:rFonts w:ascii="Times New Roman" w:eastAsia="宋体" w:hAnsi="Times New Roman" w:cs="Times New Roman"/>
      <w:szCs w:val="24"/>
    </w:rPr>
  </w:style>
  <w:style w:type="paragraph" w:styleId="6">
    <w:name w:val="toc 6"/>
    <w:basedOn w:val="a"/>
    <w:next w:val="a"/>
    <w:semiHidden/>
    <w:qFormat/>
    <w:pPr>
      <w:ind w:leftChars="1000" w:left="2100"/>
    </w:pPr>
    <w:rPr>
      <w:rFonts w:ascii="Times New Roman" w:eastAsia="宋体" w:hAnsi="Times New Roman" w:cs="Times New Roman"/>
      <w:szCs w:val="24"/>
    </w:rPr>
  </w:style>
  <w:style w:type="paragraph" w:styleId="30">
    <w:name w:val="Body Text Indent 3"/>
    <w:basedOn w:val="a"/>
    <w:link w:val="31"/>
    <w:qFormat/>
    <w:pPr>
      <w:adjustRightInd w:val="0"/>
      <w:snapToGrid w:val="0"/>
      <w:ind w:firstLineChars="200" w:firstLine="480"/>
    </w:pPr>
    <w:rPr>
      <w:rFonts w:ascii="仿宋_GB2312" w:eastAsia="仿宋_GB2312" w:hAnsi="宋体" w:cs="Arial"/>
      <w:color w:val="000000"/>
      <w:sz w:val="24"/>
      <w:szCs w:val="24"/>
    </w:rPr>
  </w:style>
  <w:style w:type="paragraph" w:styleId="22">
    <w:name w:val="toc 2"/>
    <w:basedOn w:val="a"/>
    <w:next w:val="a"/>
    <w:semiHidden/>
    <w:qFormat/>
    <w:pPr>
      <w:ind w:leftChars="200" w:left="420"/>
    </w:pPr>
    <w:rPr>
      <w:rFonts w:ascii="Times New Roman" w:eastAsia="宋体" w:hAnsi="Times New Roman" w:cs="Times New Roman"/>
      <w:szCs w:val="24"/>
    </w:rPr>
  </w:style>
  <w:style w:type="paragraph" w:styleId="9">
    <w:name w:val="toc 9"/>
    <w:basedOn w:val="a"/>
    <w:next w:val="a"/>
    <w:semiHidden/>
    <w:qFormat/>
    <w:pPr>
      <w:ind w:leftChars="1600" w:left="3360"/>
    </w:pPr>
    <w:rPr>
      <w:rFonts w:ascii="Times New Roman" w:eastAsia="宋体" w:hAnsi="Times New Roman" w:cs="Times New Roman"/>
      <w:szCs w:val="24"/>
    </w:rPr>
  </w:style>
  <w:style w:type="paragraph" w:styleId="HTML">
    <w:name w:val="HTML Preformatted"/>
    <w:basedOn w:val="a"/>
    <w:link w:val="HTML1"/>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c">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d">
    <w:name w:val="annotation subject"/>
    <w:basedOn w:val="a4"/>
    <w:next w:val="a4"/>
    <w:link w:val="14"/>
    <w:qFormat/>
    <w:rPr>
      <w:b/>
      <w:bCs/>
    </w:rPr>
  </w:style>
  <w:style w:type="character" w:styleId="ae">
    <w:name w:val="Strong"/>
    <w:qFormat/>
    <w:rPr>
      <w:b/>
      <w:bCs/>
    </w:rPr>
  </w:style>
  <w:style w:type="character" w:styleId="af">
    <w:name w:val="page number"/>
    <w:qFormat/>
  </w:style>
  <w:style w:type="character" w:styleId="af0">
    <w:name w:val="FollowedHyperlink"/>
    <w:uiPriority w:val="99"/>
    <w:semiHidden/>
    <w:unhideWhenUsed/>
    <w:qFormat/>
    <w:rPr>
      <w:color w:val="800080"/>
      <w:u w:val="single"/>
    </w:rPr>
  </w:style>
  <w:style w:type="character" w:styleId="af1">
    <w:name w:val="Hyperlink"/>
    <w:qFormat/>
    <w:rPr>
      <w:color w:val="0000FF"/>
      <w:u w:val="single"/>
    </w:rPr>
  </w:style>
  <w:style w:type="character" w:styleId="af2">
    <w:name w:val="annotation reference"/>
    <w:qFormat/>
    <w:rPr>
      <w:sz w:val="21"/>
      <w:szCs w:val="21"/>
    </w:rPr>
  </w:style>
  <w:style w:type="character" w:customStyle="1" w:styleId="23">
    <w:name w:val="标题 2 字符"/>
    <w:basedOn w:val="a1"/>
    <w:uiPriority w:val="9"/>
    <w:semiHidden/>
    <w:qFormat/>
    <w:rPr>
      <w:rFonts w:asciiTheme="majorHAnsi" w:eastAsiaTheme="majorEastAsia" w:hAnsiTheme="majorHAnsi" w:cstheme="majorBidi"/>
      <w:b/>
      <w:bCs/>
      <w:sz w:val="32"/>
      <w:szCs w:val="32"/>
    </w:rPr>
  </w:style>
  <w:style w:type="character" w:customStyle="1" w:styleId="ab">
    <w:name w:val="页眉 字符"/>
    <w:basedOn w:val="a1"/>
    <w:link w:val="aa"/>
    <w:qFormat/>
    <w:rPr>
      <w:rFonts w:ascii="Times New Roman" w:eastAsia="宋体" w:hAnsi="Times New Roman" w:cs="Times New Roman"/>
      <w:sz w:val="18"/>
      <w:szCs w:val="18"/>
    </w:rPr>
  </w:style>
  <w:style w:type="character" w:customStyle="1" w:styleId="a9">
    <w:name w:val="页脚 字符"/>
    <w:basedOn w:val="a1"/>
    <w:link w:val="a8"/>
    <w:qFormat/>
    <w:rPr>
      <w:rFonts w:ascii="Times New Roman" w:eastAsia="宋体" w:hAnsi="Times New Roman" w:cs="Times New Roman"/>
      <w:sz w:val="18"/>
      <w:szCs w:val="18"/>
    </w:rPr>
  </w:style>
  <w:style w:type="character" w:customStyle="1" w:styleId="Char">
    <w:name w:val="页眉 Char"/>
    <w:uiPriority w:val="99"/>
    <w:qFormat/>
    <w:rPr>
      <w:sz w:val="18"/>
      <w:szCs w:val="18"/>
    </w:rPr>
  </w:style>
  <w:style w:type="character" w:customStyle="1" w:styleId="Char0">
    <w:name w:val="页脚 Char"/>
    <w:uiPriority w:val="99"/>
    <w:qFormat/>
    <w:rPr>
      <w:sz w:val="18"/>
      <w:szCs w:val="18"/>
    </w:rPr>
  </w:style>
  <w:style w:type="character" w:customStyle="1" w:styleId="21">
    <w:name w:val="标题 2 字符1"/>
    <w:link w:val="2"/>
    <w:qFormat/>
    <w:rPr>
      <w:rFonts w:ascii="Arial" w:eastAsia="黑体" w:hAnsi="Arial" w:cs="Times New Roman"/>
      <w:b/>
      <w:sz w:val="32"/>
      <w:szCs w:val="20"/>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character" w:customStyle="1" w:styleId="af3">
    <w:name w:val="正文文本 字符"/>
    <w:basedOn w:val="a1"/>
    <w:uiPriority w:val="99"/>
    <w:semiHidden/>
    <w:qFormat/>
  </w:style>
  <w:style w:type="character" w:customStyle="1" w:styleId="10">
    <w:name w:val="正文文本 字符1"/>
    <w:link w:val="a5"/>
    <w:qFormat/>
    <w:rPr>
      <w:rFonts w:ascii="仿宋_GB2312" w:eastAsia="仿宋_GB2312" w:hAnsi="Times New Roman" w:cs="Times New Roman"/>
      <w:color w:val="000000"/>
      <w:kern w:val="0"/>
      <w:sz w:val="24"/>
      <w:szCs w:val="28"/>
    </w:rPr>
  </w:style>
  <w:style w:type="character" w:customStyle="1" w:styleId="read">
    <w:name w:val="read"/>
    <w:qFormat/>
  </w:style>
  <w:style w:type="character" w:customStyle="1" w:styleId="af4">
    <w:name w:val="正文文本缩进 字符"/>
    <w:basedOn w:val="a1"/>
    <w:uiPriority w:val="99"/>
    <w:semiHidden/>
    <w:qFormat/>
  </w:style>
  <w:style w:type="character" w:customStyle="1" w:styleId="11">
    <w:name w:val="正文文本缩进 字符1"/>
    <w:link w:val="a6"/>
    <w:qFormat/>
    <w:rPr>
      <w:rFonts w:ascii="Times New Roman" w:eastAsia="方正仿宋简体" w:hAnsi="Times New Roman" w:cs="Times New Roman"/>
      <w:sz w:val="24"/>
      <w:szCs w:val="30"/>
    </w:rPr>
  </w:style>
  <w:style w:type="character" w:customStyle="1" w:styleId="24">
    <w:name w:val="正文文本缩进 2 字符"/>
    <w:basedOn w:val="a1"/>
    <w:uiPriority w:val="99"/>
    <w:semiHidden/>
    <w:qFormat/>
  </w:style>
  <w:style w:type="character" w:customStyle="1" w:styleId="210">
    <w:name w:val="正文文本缩进 2 字符1"/>
    <w:link w:val="20"/>
    <w:qFormat/>
    <w:rPr>
      <w:rFonts w:ascii="宋体" w:eastAsia="宋体" w:hAnsi="宋体" w:cs="Times New Roman"/>
      <w:sz w:val="28"/>
      <w:szCs w:val="20"/>
    </w:rPr>
  </w:style>
  <w:style w:type="character" w:customStyle="1" w:styleId="32">
    <w:name w:val="正文文本缩进 3 字符"/>
    <w:basedOn w:val="a1"/>
    <w:uiPriority w:val="99"/>
    <w:semiHidden/>
    <w:qFormat/>
    <w:rPr>
      <w:sz w:val="16"/>
      <w:szCs w:val="16"/>
    </w:rPr>
  </w:style>
  <w:style w:type="character" w:customStyle="1" w:styleId="31">
    <w:name w:val="正文文本缩进 3 字符1"/>
    <w:link w:val="30"/>
    <w:qFormat/>
    <w:rPr>
      <w:rFonts w:ascii="仿宋_GB2312" w:eastAsia="仿宋_GB2312" w:hAnsi="宋体" w:cs="Arial"/>
      <w:color w:val="000000"/>
      <w:sz w:val="24"/>
      <w:szCs w:val="24"/>
    </w:rPr>
  </w:style>
  <w:style w:type="character" w:customStyle="1" w:styleId="af5">
    <w:name w:val="批注框文本 字符"/>
    <w:basedOn w:val="a1"/>
    <w:uiPriority w:val="99"/>
    <w:semiHidden/>
    <w:qFormat/>
    <w:rPr>
      <w:sz w:val="18"/>
      <w:szCs w:val="18"/>
    </w:rPr>
  </w:style>
  <w:style w:type="character" w:customStyle="1" w:styleId="12">
    <w:name w:val="批注框文本 字符1"/>
    <w:link w:val="a7"/>
    <w:semiHidden/>
    <w:qFormat/>
    <w:rPr>
      <w:rFonts w:ascii="Times New Roman" w:eastAsia="宋体" w:hAnsi="Times New Roman" w:cs="Times New Roman"/>
      <w:sz w:val="18"/>
      <w:szCs w:val="18"/>
    </w:rPr>
  </w:style>
  <w:style w:type="paragraph" w:customStyle="1" w:styleId="Char1">
    <w:name w:val="Char"/>
    <w:basedOn w:val="a"/>
    <w:qFormat/>
    <w:rPr>
      <w:rFonts w:ascii="Times New Roman" w:eastAsia="宋体" w:hAnsi="Times New Roman" w:cs="Times New Roman"/>
      <w:szCs w:val="24"/>
    </w:rPr>
  </w:style>
  <w:style w:type="paragraph" w:customStyle="1" w:styleId="Char10">
    <w:name w:val="Char1"/>
    <w:basedOn w:val="a"/>
    <w:qFormat/>
    <w:pPr>
      <w:tabs>
        <w:tab w:val="left"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qFormat/>
    <w:rPr>
      <w:rFonts w:ascii="Times New Roman" w:eastAsia="宋体" w:hAnsi="Times New Roman" w:cs="Times New Roman"/>
      <w:szCs w:val="24"/>
    </w:rPr>
  </w:style>
  <w:style w:type="character" w:customStyle="1" w:styleId="af6">
    <w:name w:val="批注文字 字符"/>
    <w:basedOn w:val="a1"/>
    <w:qFormat/>
  </w:style>
  <w:style w:type="character" w:customStyle="1" w:styleId="1">
    <w:name w:val="批注文字 字符1"/>
    <w:link w:val="a4"/>
    <w:uiPriority w:val="99"/>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rPr>
      <w:rFonts w:ascii="Times New Roman" w:eastAsia="宋体" w:hAnsi="Times New Roman" w:cs="Times New Roman"/>
      <w:szCs w:val="24"/>
    </w:rPr>
  </w:style>
  <w:style w:type="paragraph" w:customStyle="1" w:styleId="CharChar">
    <w:name w:val="Char Char"/>
    <w:basedOn w:val="a"/>
    <w:qFormat/>
    <w:rPr>
      <w:rFonts w:ascii="Times New Roman" w:eastAsia="宋体" w:hAnsi="Times New Roman" w:cs="Times New Roman"/>
      <w:szCs w:val="20"/>
    </w:rPr>
  </w:style>
  <w:style w:type="character" w:customStyle="1" w:styleId="HTML0">
    <w:name w:val="HTML 预设格式 字符"/>
    <w:basedOn w:val="a1"/>
    <w:uiPriority w:val="99"/>
    <w:semiHidden/>
    <w:qFormat/>
    <w:rPr>
      <w:rFonts w:ascii="Courier New" w:hAnsi="Courier New" w:cs="Courier New"/>
      <w:sz w:val="20"/>
      <w:szCs w:val="20"/>
    </w:rPr>
  </w:style>
  <w:style w:type="character" w:customStyle="1" w:styleId="HTML1">
    <w:name w:val="HTML 预设格式 字符1"/>
    <w:link w:val="HTML"/>
    <w:uiPriority w:val="99"/>
    <w:qFormat/>
    <w:rPr>
      <w:rFonts w:ascii="宋体" w:eastAsia="宋体" w:hAnsi="宋体" w:cs="宋体"/>
      <w:kern w:val="0"/>
      <w:sz w:val="24"/>
      <w:szCs w:val="24"/>
    </w:rPr>
  </w:style>
  <w:style w:type="character" w:customStyle="1" w:styleId="af7">
    <w:name w:val="批注主题 字符"/>
    <w:basedOn w:val="af6"/>
    <w:uiPriority w:val="99"/>
    <w:semiHidden/>
    <w:qFormat/>
    <w:rPr>
      <w:b/>
      <w:bCs/>
    </w:rPr>
  </w:style>
  <w:style w:type="character" w:customStyle="1" w:styleId="14">
    <w:name w:val="批注主题 字符1"/>
    <w:link w:val="ad"/>
    <w:qFormat/>
    <w:rPr>
      <w:rFonts w:ascii="Times New Roman" w:eastAsia="宋体" w:hAnsi="Times New Roman" w:cs="Times New Roman"/>
      <w:b/>
      <w:bCs/>
      <w:szCs w:val="24"/>
    </w:rPr>
  </w:style>
  <w:style w:type="paragraph" w:customStyle="1" w:styleId="15">
    <w:name w:val="修订1"/>
    <w:hidden/>
    <w:uiPriority w:val="99"/>
    <w:semiHidden/>
    <w:qFormat/>
    <w:rPr>
      <w:kern w:val="2"/>
      <w:sz w:val="21"/>
      <w:szCs w:val="24"/>
    </w:rPr>
  </w:style>
  <w:style w:type="character" w:customStyle="1" w:styleId="im-content1">
    <w:name w:val="im-content1"/>
    <w:qFormat/>
    <w:rPr>
      <w:color w:val="000000"/>
    </w:rPr>
  </w:style>
  <w:style w:type="paragraph" w:customStyle="1" w:styleId="25">
    <w:name w:val="修订2"/>
    <w:hidden/>
    <w:uiPriority w:val="99"/>
    <w:semiHidden/>
    <w:qFormat/>
    <w:rPr>
      <w:rFonts w:asciiTheme="minorHAnsi" w:eastAsiaTheme="minorEastAsia" w:hAnsiTheme="minorHAnsi" w:cstheme="minorBidi"/>
      <w:kern w:val="2"/>
      <w:sz w:val="21"/>
      <w:szCs w:val="22"/>
    </w:rPr>
  </w:style>
  <w:style w:type="character" w:customStyle="1" w:styleId="cf01">
    <w:name w:val="cf01"/>
    <w:basedOn w:val="a1"/>
    <w:qFormat/>
    <w:rPr>
      <w:rFonts w:ascii="微软雅黑" w:eastAsia="微软雅黑" w:hAnsi="微软雅黑" w:hint="eastAsia"/>
      <w:sz w:val="22"/>
      <w:szCs w:val="22"/>
    </w:rPr>
  </w:style>
  <w:style w:type="paragraph" w:styleId="af8">
    <w:name w:val="Revision"/>
    <w:hidden/>
    <w:uiPriority w:val="99"/>
    <w:semiHidden/>
    <w:rsid w:val="00B42410"/>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6E4E39FB-DE85-4B67-BE98-76C7291A9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40</Pages>
  <Words>4627</Words>
  <Characters>26374</Characters>
  <Application>Microsoft Office Word</Application>
  <DocSecurity>0</DocSecurity>
  <Lines>219</Lines>
  <Paragraphs>61</Paragraphs>
  <ScaleCrop>false</ScaleCrop>
  <Company>1</Company>
  <LinksUpToDate>false</LinksUpToDate>
  <CharactersWithSpaces>30940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嘉实中证红利低波动100交易型开放式指数证券投资基金托管协议（草案）</dc:title>
  <dc:creator>董明睿</dc:creator>
  <cp:lastModifiedBy>孙波</cp:lastModifiedBy>
  <cp:revision>12</cp:revision>
  <cp:lastPrinted>2026-04-27T10:13:00Z</cp:lastPrinted>
  <dcterms:created xsi:type="dcterms:W3CDTF">2026-04-27T10:05:00Z</dcterms:created>
  <dcterms:modified xsi:type="dcterms:W3CDTF">2026-06-30T07:46:00Z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436ADC5B64F4482F851E386477ACDE94_12</vt:lpwstr>
  </property>
</Properties>
</file>