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snapToGrid w:val="0"/>
        <w:spacing w:after="0" w:line="360" w:lineRule="auto"/>
        <w:jc w:val="center"/>
        <w:rPr>
          <w:rFonts w:ascii="Times New Roman" w:hAnsi="Times New Roman" w:cs="Times New Roman"/>
          <w:bCs/>
          <w:sz w:val="44"/>
        </w:rPr>
      </w:pPr>
      <w:bookmarkStart w:id="0" w:name="OLE_LINK12"/>
      <w:bookmarkStart w:id="1" w:name="OLE_LINK9"/>
    </w:p>
    <w:p>
      <w:pPr>
        <w:snapToGrid w:val="0"/>
        <w:spacing w:after="0" w:line="360" w:lineRule="auto"/>
        <w:jc w:val="center"/>
        <w:rPr>
          <w:rFonts w:ascii="Times New Roman" w:hAnsi="Times New Roman" w:cs="Times New Roman"/>
          <w:b/>
          <w:sz w:val="52"/>
        </w:rPr>
      </w:pPr>
    </w:p>
    <w:p>
      <w:pPr>
        <w:snapToGrid w:val="0"/>
        <w:spacing w:after="0" w:line="360" w:lineRule="auto"/>
        <w:jc w:val="center"/>
        <w:rPr>
          <w:rFonts w:ascii="Times New Roman" w:hAnsi="Times New Roman" w:cs="Times New Roman"/>
          <w:b/>
          <w:sz w:val="52"/>
          <w:lang w:eastAsia="zh-CN"/>
        </w:rPr>
      </w:pPr>
      <w:r>
        <w:rPr>
          <w:rFonts w:ascii="Times New Roman" w:hAnsi="Times New Roman" w:cs="Times New Roman"/>
          <w:b/>
          <w:sz w:val="52"/>
          <w:lang w:eastAsia="zh-CN"/>
        </w:rPr>
        <w:t>华安基金管理有限公司</w:t>
      </w:r>
    </w:p>
    <w:p>
      <w:pPr>
        <w:snapToGrid w:val="0"/>
        <w:spacing w:after="0" w:line="360" w:lineRule="auto"/>
        <w:jc w:val="center"/>
        <w:rPr>
          <w:rFonts w:ascii="Times New Roman" w:hAnsi="Times New Roman" w:cs="Times New Roman"/>
          <w:b/>
          <w:sz w:val="48"/>
          <w:lang w:eastAsia="zh-CN"/>
        </w:rPr>
      </w:pPr>
    </w:p>
    <w:p>
      <w:pPr>
        <w:snapToGrid w:val="0"/>
        <w:spacing w:after="0" w:line="360" w:lineRule="auto"/>
        <w:jc w:val="center"/>
        <w:rPr>
          <w:rFonts w:ascii="Times New Roman" w:hAnsi="Times New Roman" w:cs="Times New Roman"/>
          <w:b/>
          <w:sz w:val="48"/>
          <w:lang w:eastAsia="zh-CN"/>
        </w:rPr>
      </w:pPr>
      <w:bookmarkStart w:id="2" w:name="OLE_LINK11"/>
      <w:bookmarkStart w:id="3" w:name="OLE_LINK10"/>
      <w:r>
        <w:rPr>
          <w:rFonts w:hint="eastAsia" w:ascii="Times New Roman" w:hAnsi="Times New Roman" w:cs="Times New Roman"/>
          <w:b/>
          <w:sz w:val="48"/>
          <w:lang w:eastAsia="zh-CN"/>
        </w:rPr>
        <w:t>华安沣利债券型</w:t>
      </w:r>
      <w:r>
        <w:rPr>
          <w:rFonts w:ascii="Times New Roman" w:hAnsi="Times New Roman" w:cs="Times New Roman"/>
          <w:b/>
          <w:sz w:val="48"/>
          <w:lang w:eastAsia="zh-CN"/>
        </w:rPr>
        <w:t>证券投资基金</w:t>
      </w:r>
      <w:bookmarkEnd w:id="2"/>
      <w:bookmarkEnd w:id="3"/>
    </w:p>
    <w:p>
      <w:pPr>
        <w:snapToGrid w:val="0"/>
        <w:spacing w:after="0" w:line="360" w:lineRule="auto"/>
        <w:jc w:val="center"/>
        <w:rPr>
          <w:rFonts w:ascii="Times New Roman" w:hAnsi="Times New Roman" w:cs="Times New Roman"/>
          <w:b/>
          <w:sz w:val="48"/>
          <w:lang w:eastAsia="zh-CN"/>
        </w:rPr>
      </w:pPr>
      <w:r>
        <w:rPr>
          <w:rFonts w:ascii="Times New Roman" w:hAnsi="Times New Roman" w:cs="Times New Roman"/>
          <w:b/>
          <w:sz w:val="48"/>
          <w:lang w:eastAsia="zh-CN"/>
        </w:rPr>
        <w:t>基金合同</w:t>
      </w:r>
    </w:p>
    <w:p>
      <w:pPr>
        <w:snapToGrid w:val="0"/>
        <w:spacing w:after="0" w:line="360" w:lineRule="auto"/>
        <w:jc w:val="center"/>
        <w:rPr>
          <w:rFonts w:ascii="Times New Roman" w:hAnsi="Times New Roman" w:cs="Times New Roman"/>
          <w:b/>
          <w:sz w:val="48"/>
          <w:lang w:eastAsia="zh-CN"/>
        </w:rPr>
      </w:pPr>
    </w:p>
    <w:p>
      <w:pPr>
        <w:snapToGrid w:val="0"/>
        <w:spacing w:after="0" w:line="360" w:lineRule="auto"/>
        <w:jc w:val="center"/>
        <w:rPr>
          <w:rFonts w:ascii="Times New Roman" w:hAnsi="Times New Roman" w:cs="Times New Roman"/>
          <w:b/>
          <w:sz w:val="52"/>
          <w:lang w:eastAsia="zh-CN"/>
        </w:rPr>
      </w:pPr>
    </w:p>
    <w:p>
      <w:pPr>
        <w:snapToGrid w:val="0"/>
        <w:spacing w:after="0" w:line="360" w:lineRule="auto"/>
        <w:jc w:val="center"/>
        <w:rPr>
          <w:rFonts w:ascii="Times New Roman" w:hAnsi="Times New Roman" w:cs="Times New Roman"/>
          <w:b/>
          <w:sz w:val="52"/>
          <w:lang w:eastAsia="zh-CN"/>
        </w:rPr>
      </w:pPr>
    </w:p>
    <w:p>
      <w:pPr>
        <w:snapToGrid w:val="0"/>
        <w:spacing w:after="0" w:line="360" w:lineRule="auto"/>
        <w:rPr>
          <w:rFonts w:ascii="Times New Roman" w:hAnsi="Times New Roman" w:cs="Times New Roman"/>
          <w:b/>
          <w:lang w:eastAsia="zh-CN"/>
        </w:rPr>
      </w:pPr>
    </w:p>
    <w:p>
      <w:pPr>
        <w:snapToGrid w:val="0"/>
        <w:spacing w:after="0" w:line="360" w:lineRule="auto"/>
        <w:jc w:val="center"/>
        <w:rPr>
          <w:rFonts w:ascii="Times New Roman" w:hAnsi="Times New Roman" w:cs="Times New Roman"/>
          <w:b/>
          <w:sz w:val="36"/>
          <w:lang w:eastAsia="zh-CN"/>
        </w:rPr>
      </w:pPr>
      <w:bookmarkStart w:id="4" w:name="_Toc139991726"/>
      <w:bookmarkStart w:id="5" w:name="_Toc123112224"/>
      <w:bookmarkStart w:id="6" w:name="_Toc139992301"/>
      <w:bookmarkStart w:id="7" w:name="_Toc123112263"/>
      <w:bookmarkStart w:id="8" w:name="_Toc123701383"/>
      <w:r>
        <w:rPr>
          <w:rFonts w:ascii="Times New Roman" w:hAnsi="Times New Roman" w:cs="Times New Roman"/>
          <w:b/>
          <w:sz w:val="36"/>
          <w:lang w:eastAsia="zh-CN"/>
        </w:rPr>
        <w:t>基金管理人：</w:t>
      </w:r>
      <w:bookmarkEnd w:id="4"/>
      <w:bookmarkEnd w:id="5"/>
      <w:bookmarkEnd w:id="6"/>
      <w:bookmarkEnd w:id="7"/>
      <w:bookmarkEnd w:id="8"/>
      <w:r>
        <w:rPr>
          <w:rFonts w:ascii="Times New Roman" w:hAnsi="Times New Roman" w:cs="Times New Roman"/>
          <w:b/>
          <w:sz w:val="36"/>
          <w:lang w:eastAsia="zh-CN"/>
        </w:rPr>
        <w:t>华安基金管理有限公司</w:t>
      </w:r>
    </w:p>
    <w:p>
      <w:pPr>
        <w:snapToGrid w:val="0"/>
        <w:spacing w:after="0" w:line="360" w:lineRule="auto"/>
        <w:jc w:val="center"/>
        <w:rPr>
          <w:rFonts w:ascii="Times New Roman" w:hAnsi="Times New Roman" w:cs="Times New Roman"/>
          <w:b/>
          <w:sz w:val="36"/>
          <w:lang w:eastAsia="zh-CN"/>
        </w:rPr>
      </w:pPr>
      <w:bookmarkStart w:id="9" w:name="_Toc123701384"/>
      <w:bookmarkStart w:id="10" w:name="_Toc123112225"/>
      <w:bookmarkStart w:id="11" w:name="_Toc123112264"/>
      <w:bookmarkStart w:id="12" w:name="_Toc139992302"/>
      <w:bookmarkStart w:id="13" w:name="_Toc139991727"/>
      <w:r>
        <w:rPr>
          <w:rFonts w:ascii="Times New Roman" w:hAnsi="Times New Roman" w:cs="Times New Roman"/>
          <w:b/>
          <w:sz w:val="36"/>
          <w:lang w:eastAsia="zh-CN"/>
        </w:rPr>
        <w:t>基金托管人：</w:t>
      </w:r>
      <w:bookmarkEnd w:id="9"/>
      <w:bookmarkEnd w:id="10"/>
      <w:bookmarkEnd w:id="11"/>
      <w:bookmarkEnd w:id="12"/>
      <w:bookmarkEnd w:id="13"/>
      <w:r>
        <w:rPr>
          <w:rFonts w:hint="eastAsia" w:ascii="Times New Roman" w:hAnsi="Times New Roman" w:cs="Times New Roman"/>
          <w:b/>
          <w:sz w:val="36"/>
          <w:lang w:eastAsia="zh-CN"/>
        </w:rPr>
        <w:t>中国建设银行</w:t>
      </w:r>
      <w:r>
        <w:rPr>
          <w:rFonts w:ascii="Times New Roman" w:hAnsi="Times New Roman" w:cs="Times New Roman"/>
          <w:b/>
          <w:sz w:val="36"/>
          <w:lang w:eastAsia="zh-CN"/>
        </w:rPr>
        <w:t>股份有限公司</w:t>
      </w:r>
    </w:p>
    <w:p>
      <w:pPr>
        <w:snapToGrid w:val="0"/>
        <w:spacing w:after="0" w:line="360" w:lineRule="auto"/>
        <w:jc w:val="center"/>
        <w:rPr>
          <w:rFonts w:ascii="Times New Roman" w:hAnsi="Times New Roman" w:cs="Times New Roman"/>
          <w:bCs/>
          <w:sz w:val="32"/>
          <w:lang w:eastAsia="zh-CN"/>
        </w:rPr>
      </w:pPr>
    </w:p>
    <w:p>
      <w:pPr>
        <w:snapToGrid w:val="0"/>
        <w:spacing w:after="0" w:line="360" w:lineRule="auto"/>
        <w:jc w:val="center"/>
        <w:rPr>
          <w:rFonts w:ascii="Times New Roman" w:hAnsi="Times New Roman" w:cs="Times New Roman"/>
          <w:bCs/>
          <w:sz w:val="28"/>
          <w:lang w:eastAsia="zh-CN"/>
        </w:rPr>
      </w:pPr>
      <w:bookmarkStart w:id="14" w:name="_Toc139991729"/>
      <w:bookmarkStart w:id="15" w:name="_Toc123701386"/>
      <w:bookmarkStart w:id="16" w:name="_Toc123112266"/>
      <w:bookmarkStart w:id="17" w:name="_Toc123112227"/>
    </w:p>
    <w:p>
      <w:pPr>
        <w:snapToGrid w:val="0"/>
        <w:spacing w:after="0" w:line="360" w:lineRule="auto"/>
        <w:jc w:val="center"/>
        <w:rPr>
          <w:rFonts w:ascii="Times New Roman" w:hAnsi="Times New Roman" w:cs="Times New Roman"/>
          <w:b/>
          <w:bCs/>
          <w:sz w:val="30"/>
          <w:lang w:eastAsia="zh-CN"/>
        </w:rPr>
      </w:pPr>
      <w:r>
        <w:rPr>
          <w:rFonts w:ascii="Times New Roman" w:hAnsi="Times New Roman" w:cs="Times New Roman"/>
          <w:b/>
          <w:bCs/>
          <w:sz w:val="30"/>
          <w:lang w:eastAsia="zh-CN"/>
        </w:rPr>
        <w:t>二零二</w:t>
      </w:r>
      <w:r>
        <w:rPr>
          <w:rFonts w:hint="eastAsia" w:ascii="Times New Roman" w:hAnsi="Times New Roman" w:cs="Times New Roman"/>
          <w:b/>
          <w:bCs/>
          <w:sz w:val="30"/>
          <w:lang w:eastAsia="zh-CN"/>
        </w:rPr>
        <w:t>六</w:t>
      </w:r>
      <w:r>
        <w:rPr>
          <w:rFonts w:ascii="Times New Roman" w:hAnsi="Times New Roman" w:cs="Times New Roman"/>
          <w:b/>
          <w:bCs/>
          <w:sz w:val="30"/>
          <w:lang w:eastAsia="zh-CN"/>
        </w:rPr>
        <w:t>年</w:t>
      </w:r>
      <w:r>
        <w:rPr>
          <w:rFonts w:hint="eastAsia" w:ascii="Times New Roman" w:hAnsi="Times New Roman" w:cs="Times New Roman"/>
          <w:b/>
          <w:bCs/>
          <w:sz w:val="30"/>
          <w:lang w:val="en-US" w:eastAsia="zh-CN"/>
        </w:rPr>
        <w:t>七</w:t>
      </w:r>
      <w:r>
        <w:rPr>
          <w:rFonts w:ascii="Times New Roman" w:hAnsi="Times New Roman" w:cs="Times New Roman"/>
          <w:b/>
          <w:bCs/>
          <w:sz w:val="30"/>
          <w:lang w:eastAsia="zh-CN"/>
        </w:rPr>
        <w:t>月</w:t>
      </w:r>
    </w:p>
    <w:p>
      <w:pPr>
        <w:widowControl/>
        <w:snapToGrid w:val="0"/>
        <w:spacing w:after="0" w:line="360" w:lineRule="auto"/>
        <w:jc w:val="left"/>
        <w:rPr>
          <w:rFonts w:ascii="Times New Roman" w:hAnsi="Times New Roman" w:cs="Times New Roman"/>
          <w:bCs/>
          <w:sz w:val="28"/>
          <w:lang w:eastAsia="zh-CN"/>
        </w:rPr>
        <w:sectPr>
          <w:footerReference r:id="rId7" w:type="first"/>
          <w:headerReference r:id="rId5" w:type="default"/>
          <w:footerReference r:id="rId6" w:type="default"/>
          <w:pgSz w:w="11906" w:h="16838"/>
          <w:pgMar w:top="1440" w:right="1800" w:bottom="1440" w:left="1800" w:header="851" w:footer="992" w:gutter="0"/>
          <w:pgNumType w:start="1"/>
          <w:cols w:space="720" w:num="1"/>
          <w:titlePg/>
          <w:docGrid w:type="lines" w:linePitch="312" w:charSpace="0"/>
        </w:sectPr>
      </w:pPr>
    </w:p>
    <w:p>
      <w:pPr>
        <w:snapToGrid w:val="0"/>
        <w:spacing w:after="0" w:line="360" w:lineRule="auto"/>
        <w:jc w:val="center"/>
        <w:rPr>
          <w:rFonts w:ascii="Times New Roman" w:hAnsi="Times New Roman" w:cs="Times New Roman"/>
          <w:b/>
          <w:bCs/>
          <w:sz w:val="28"/>
          <w:lang w:eastAsia="zh-CN"/>
        </w:rPr>
      </w:pPr>
      <w:r>
        <w:rPr>
          <w:rFonts w:ascii="Times New Roman" w:hAnsi="Times New Roman" w:cs="Times New Roman"/>
          <w:b/>
          <w:bCs/>
          <w:sz w:val="28"/>
          <w:lang w:eastAsia="zh-CN"/>
        </w:rPr>
        <w:t>目录</w:t>
      </w:r>
      <w:bookmarkEnd w:id="14"/>
      <w:bookmarkEnd w:id="15"/>
      <w:bookmarkEnd w:id="16"/>
      <w:bookmarkEnd w:id="17"/>
    </w:p>
    <w:p>
      <w:pPr>
        <w:pStyle w:val="27"/>
        <w:tabs>
          <w:tab w:val="right" w:leader="dot" w:pos="8306"/>
          <w:tab w:val="clear" w:pos="8296"/>
        </w:tabs>
        <w:adjustRightInd w:val="0"/>
        <w:snapToGrid w:val="0"/>
        <w:rPr>
          <w:rFonts w:ascii="宋体" w:hAnsi="宋体" w:cs="宋体"/>
          <w:szCs w:val="21"/>
        </w:rPr>
      </w:pP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TOC \o "1-1" \h \z \u </w:instrText>
      </w:r>
      <w:r>
        <w:rPr>
          <w:rFonts w:ascii="Times New Roman" w:hAnsi="Times New Roman" w:cs="Times New Roman"/>
          <w:bCs/>
          <w:sz w:val="24"/>
          <w:szCs w:val="24"/>
        </w:rPr>
        <w:fldChar w:fldCharType="separate"/>
      </w:r>
      <w:r>
        <w:fldChar w:fldCharType="begin"/>
      </w:r>
      <w:r>
        <w:instrText xml:space="preserve"> HYPERLINK \l "_Toc16242" </w:instrText>
      </w:r>
      <w:r>
        <w:fldChar w:fldCharType="separate"/>
      </w:r>
      <w:r>
        <w:rPr>
          <w:rFonts w:hint="eastAsia" w:ascii="宋体" w:hAnsi="宋体" w:cs="宋体"/>
          <w:szCs w:val="21"/>
          <w:lang w:eastAsia="zh-CN"/>
        </w:rPr>
        <w:t>第一部分 前言</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_Toc16242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"_Toc7083" </w:instrText>
      </w:r>
      <w:r>
        <w:fldChar w:fldCharType="separate"/>
      </w:r>
      <w:r>
        <w:rPr>
          <w:rFonts w:hint="eastAsia" w:ascii="宋体" w:hAnsi="宋体" w:cs="宋体"/>
          <w:szCs w:val="21"/>
          <w:lang w:eastAsia="zh-CN"/>
        </w:rPr>
        <w:t>第二部分 释义</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_Toc7083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"_Toc27816" </w:instrText>
      </w:r>
      <w:r>
        <w:fldChar w:fldCharType="separate"/>
      </w:r>
      <w:r>
        <w:rPr>
          <w:rFonts w:hint="eastAsia" w:ascii="宋体" w:hAnsi="宋体" w:cs="宋体"/>
          <w:szCs w:val="21"/>
          <w:lang w:eastAsia="zh-CN"/>
        </w:rPr>
        <w:t>第三部分 基金的基本情况</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_Toc27816 \h </w:instrText>
      </w:r>
      <w:r>
        <w:rPr>
          <w:rFonts w:hint="eastAsia" w:ascii="宋体" w:hAnsi="宋体" w:cs="宋体"/>
          <w:szCs w:val="21"/>
        </w:rPr>
        <w:fldChar w:fldCharType="separate"/>
      </w:r>
      <w:r>
        <w:rPr>
          <w:rFonts w:hint="eastAsia" w:ascii="宋体" w:hAnsi="宋体" w:cs="宋体"/>
          <w:szCs w:val="21"/>
        </w:rPr>
        <w:t>9</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"_Toc30824" </w:instrText>
      </w:r>
      <w:r>
        <w:fldChar w:fldCharType="separate"/>
      </w:r>
      <w:r>
        <w:rPr>
          <w:rFonts w:hint="eastAsia" w:ascii="宋体" w:hAnsi="宋体" w:cs="宋体"/>
          <w:szCs w:val="21"/>
          <w:lang w:eastAsia="zh-CN"/>
        </w:rPr>
        <w:t>第四部分 基金份额的发售</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_Toc30824 \h </w:instrText>
      </w:r>
      <w:r>
        <w:rPr>
          <w:rFonts w:hint="eastAsia" w:ascii="宋体" w:hAnsi="宋体" w:cs="宋体"/>
          <w:szCs w:val="21"/>
        </w:rPr>
        <w:fldChar w:fldCharType="separate"/>
      </w:r>
      <w:r>
        <w:rPr>
          <w:rFonts w:hint="eastAsia" w:ascii="宋体" w:hAnsi="宋体" w:cs="宋体"/>
          <w:szCs w:val="21"/>
        </w:rPr>
        <w:t>11</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"_Toc2544" </w:instrText>
      </w:r>
      <w:r>
        <w:fldChar w:fldCharType="separate"/>
      </w:r>
      <w:r>
        <w:rPr>
          <w:rFonts w:hint="eastAsia" w:ascii="宋体" w:hAnsi="宋体" w:cs="宋体"/>
          <w:szCs w:val="21"/>
          <w:lang w:eastAsia="zh-CN"/>
        </w:rPr>
        <w:t>第五部分 基金备案</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_Toc2544 \h </w:instrText>
      </w:r>
      <w:r>
        <w:rPr>
          <w:rFonts w:hint="eastAsia" w:ascii="宋体" w:hAnsi="宋体" w:cs="宋体"/>
          <w:szCs w:val="21"/>
        </w:rPr>
        <w:fldChar w:fldCharType="separate"/>
      </w:r>
      <w:r>
        <w:rPr>
          <w:rFonts w:hint="eastAsia" w:ascii="宋体" w:hAnsi="宋体" w:cs="宋体"/>
          <w:szCs w:val="21"/>
        </w:rPr>
        <w:t>13</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"_Toc25645" </w:instrText>
      </w:r>
      <w:r>
        <w:fldChar w:fldCharType="separate"/>
      </w:r>
      <w:r>
        <w:rPr>
          <w:rFonts w:hint="eastAsia" w:ascii="宋体" w:hAnsi="宋体" w:cs="宋体"/>
          <w:szCs w:val="21"/>
          <w:lang w:eastAsia="zh-CN"/>
        </w:rPr>
        <w:t>第六部分 基金份额的申购与赎回</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_Toc25645 \h </w:instrText>
      </w:r>
      <w:r>
        <w:rPr>
          <w:rFonts w:hint="eastAsia" w:ascii="宋体" w:hAnsi="宋体" w:cs="宋体"/>
          <w:szCs w:val="21"/>
        </w:rPr>
        <w:fldChar w:fldCharType="separate"/>
      </w:r>
      <w:r>
        <w:rPr>
          <w:rFonts w:hint="eastAsia" w:ascii="宋体" w:hAnsi="宋体" w:cs="宋体"/>
          <w:szCs w:val="21"/>
        </w:rPr>
        <w:t>14</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"_Toc24940" </w:instrText>
      </w:r>
      <w:r>
        <w:fldChar w:fldCharType="separate"/>
      </w:r>
      <w:r>
        <w:rPr>
          <w:rFonts w:hint="eastAsia" w:ascii="宋体" w:hAnsi="宋体" w:cs="宋体"/>
          <w:szCs w:val="21"/>
          <w:lang w:eastAsia="zh-CN"/>
        </w:rPr>
        <w:t>第七部分 基金合同当事人及权利义务</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_Toc24940 \h </w:instrText>
      </w:r>
      <w:r>
        <w:rPr>
          <w:rFonts w:hint="eastAsia" w:ascii="宋体" w:hAnsi="宋体" w:cs="宋体"/>
          <w:szCs w:val="21"/>
        </w:rPr>
        <w:fldChar w:fldCharType="separate"/>
      </w:r>
      <w:r>
        <w:rPr>
          <w:rFonts w:hint="eastAsia" w:ascii="宋体" w:hAnsi="宋体" w:cs="宋体"/>
          <w:szCs w:val="21"/>
        </w:rPr>
        <w:t>23</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"_Toc23676" </w:instrText>
      </w:r>
      <w:r>
        <w:fldChar w:fldCharType="separate"/>
      </w:r>
      <w:r>
        <w:rPr>
          <w:rFonts w:hint="eastAsia" w:ascii="宋体" w:hAnsi="宋体" w:cs="宋体"/>
          <w:szCs w:val="21"/>
          <w:lang w:eastAsia="zh-CN"/>
        </w:rPr>
        <w:t>第八部分 基金份额持有人大会</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_Toc23676 \h </w:instrText>
      </w:r>
      <w:r>
        <w:rPr>
          <w:rFonts w:hint="eastAsia" w:ascii="宋体" w:hAnsi="宋体" w:cs="宋体"/>
          <w:szCs w:val="21"/>
        </w:rPr>
        <w:fldChar w:fldCharType="separate"/>
      </w:r>
      <w:r>
        <w:rPr>
          <w:rFonts w:hint="eastAsia" w:ascii="宋体" w:hAnsi="宋体" w:cs="宋体"/>
          <w:szCs w:val="21"/>
        </w:rPr>
        <w:t>31</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"_Toc3794" </w:instrText>
      </w:r>
      <w:r>
        <w:fldChar w:fldCharType="separate"/>
      </w:r>
      <w:r>
        <w:rPr>
          <w:rFonts w:hint="eastAsia" w:ascii="宋体" w:hAnsi="宋体" w:cs="宋体"/>
          <w:szCs w:val="21"/>
          <w:lang w:eastAsia="zh-CN"/>
        </w:rPr>
        <w:t>第九部分 基金管理人、基金托管人的更换条件和程序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_Toc3794 \h </w:instrText>
      </w:r>
      <w:r>
        <w:rPr>
          <w:rFonts w:hint="eastAsia" w:ascii="宋体" w:hAnsi="宋体" w:cs="宋体"/>
          <w:szCs w:val="21"/>
        </w:rPr>
        <w:fldChar w:fldCharType="separate"/>
      </w:r>
      <w:r>
        <w:rPr>
          <w:rFonts w:hint="eastAsia" w:ascii="宋体" w:hAnsi="宋体" w:cs="宋体"/>
          <w:szCs w:val="21"/>
        </w:rPr>
        <w:t>40</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"_Toc22895" </w:instrText>
      </w:r>
      <w:r>
        <w:fldChar w:fldCharType="separate"/>
      </w:r>
      <w:r>
        <w:rPr>
          <w:rFonts w:hint="eastAsia" w:ascii="宋体" w:hAnsi="宋体" w:cs="宋体"/>
          <w:szCs w:val="21"/>
          <w:lang w:eastAsia="zh-CN"/>
        </w:rPr>
        <w:t>第十部分 基金的托管</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_Toc22895 \h </w:instrText>
      </w:r>
      <w:r>
        <w:rPr>
          <w:rFonts w:hint="eastAsia" w:ascii="宋体" w:hAnsi="宋体" w:cs="宋体"/>
          <w:szCs w:val="21"/>
        </w:rPr>
        <w:fldChar w:fldCharType="separate"/>
      </w:r>
      <w:r>
        <w:rPr>
          <w:rFonts w:hint="eastAsia" w:ascii="宋体" w:hAnsi="宋体" w:cs="宋体"/>
          <w:szCs w:val="21"/>
        </w:rPr>
        <w:t>43</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"_Toc12328" </w:instrText>
      </w:r>
      <w:r>
        <w:fldChar w:fldCharType="separate"/>
      </w:r>
      <w:r>
        <w:rPr>
          <w:rFonts w:hint="eastAsia" w:ascii="宋体" w:hAnsi="宋体" w:cs="宋体"/>
          <w:szCs w:val="21"/>
          <w:lang w:eastAsia="zh-CN"/>
        </w:rPr>
        <w:t>第十一部分 基金份额的登记</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_Toc12328 \h </w:instrText>
      </w:r>
      <w:r>
        <w:rPr>
          <w:rFonts w:hint="eastAsia" w:ascii="宋体" w:hAnsi="宋体" w:cs="宋体"/>
          <w:szCs w:val="21"/>
        </w:rPr>
        <w:fldChar w:fldCharType="separate"/>
      </w:r>
      <w:r>
        <w:rPr>
          <w:rFonts w:hint="eastAsia" w:ascii="宋体" w:hAnsi="宋体" w:cs="宋体"/>
          <w:szCs w:val="21"/>
        </w:rPr>
        <w:t>44</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"_Toc13824" </w:instrText>
      </w:r>
      <w:r>
        <w:fldChar w:fldCharType="separate"/>
      </w:r>
      <w:r>
        <w:rPr>
          <w:rFonts w:hint="eastAsia" w:ascii="宋体" w:hAnsi="宋体" w:cs="宋体"/>
          <w:szCs w:val="21"/>
          <w:lang w:eastAsia="zh-CN"/>
        </w:rPr>
        <w:t>第十二部分 基金的投资</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_Toc13824 \h </w:instrText>
      </w:r>
      <w:r>
        <w:rPr>
          <w:rFonts w:hint="eastAsia" w:ascii="宋体" w:hAnsi="宋体" w:cs="宋体"/>
          <w:szCs w:val="21"/>
        </w:rPr>
        <w:fldChar w:fldCharType="separate"/>
      </w:r>
      <w:r>
        <w:rPr>
          <w:rFonts w:hint="eastAsia" w:ascii="宋体" w:hAnsi="宋体" w:cs="宋体"/>
          <w:szCs w:val="21"/>
        </w:rPr>
        <w:t>46</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"_Toc15716" </w:instrText>
      </w:r>
      <w:r>
        <w:fldChar w:fldCharType="separate"/>
      </w:r>
      <w:r>
        <w:rPr>
          <w:rFonts w:hint="eastAsia" w:ascii="宋体" w:hAnsi="宋体" w:cs="宋体"/>
          <w:szCs w:val="21"/>
          <w:lang w:eastAsia="zh-CN"/>
        </w:rPr>
        <w:t>第十三部分 基金的财产</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_Toc15716 \h </w:instrText>
      </w:r>
      <w:r>
        <w:rPr>
          <w:rFonts w:hint="eastAsia" w:ascii="宋体" w:hAnsi="宋体" w:cs="宋体"/>
          <w:szCs w:val="21"/>
        </w:rPr>
        <w:fldChar w:fldCharType="separate"/>
      </w:r>
      <w:r>
        <w:rPr>
          <w:rFonts w:hint="eastAsia" w:ascii="宋体" w:hAnsi="宋体" w:cs="宋体"/>
          <w:szCs w:val="21"/>
        </w:rPr>
        <w:t>58</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"_Toc30625" </w:instrText>
      </w:r>
      <w:r>
        <w:fldChar w:fldCharType="separate"/>
      </w:r>
      <w:r>
        <w:rPr>
          <w:rFonts w:hint="eastAsia" w:ascii="宋体" w:hAnsi="宋体" w:cs="宋体"/>
          <w:szCs w:val="21"/>
          <w:lang w:eastAsia="zh-CN"/>
        </w:rPr>
        <w:t>第十四部分 基金资产估值</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_Toc30625 \h </w:instrText>
      </w:r>
      <w:r>
        <w:rPr>
          <w:rFonts w:hint="eastAsia" w:ascii="宋体" w:hAnsi="宋体" w:cs="宋体"/>
          <w:szCs w:val="21"/>
        </w:rPr>
        <w:fldChar w:fldCharType="separate"/>
      </w:r>
      <w:r>
        <w:rPr>
          <w:rFonts w:hint="eastAsia" w:ascii="宋体" w:hAnsi="宋体" w:cs="宋体"/>
          <w:szCs w:val="21"/>
        </w:rPr>
        <w:t>59</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"_Toc17951" </w:instrText>
      </w:r>
      <w:r>
        <w:fldChar w:fldCharType="separate"/>
      </w:r>
      <w:r>
        <w:rPr>
          <w:rFonts w:hint="eastAsia" w:ascii="宋体" w:hAnsi="宋体" w:cs="宋体"/>
          <w:szCs w:val="21"/>
          <w:lang w:eastAsia="zh-CN"/>
        </w:rPr>
        <w:t>第十五部分 基金费用与税收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_Toc17951 \h </w:instrText>
      </w:r>
      <w:r>
        <w:rPr>
          <w:rFonts w:hint="eastAsia" w:ascii="宋体" w:hAnsi="宋体" w:cs="宋体"/>
          <w:szCs w:val="21"/>
        </w:rPr>
        <w:fldChar w:fldCharType="separate"/>
      </w:r>
      <w:r>
        <w:rPr>
          <w:rFonts w:hint="eastAsia" w:ascii="宋体" w:hAnsi="宋体" w:cs="宋体"/>
          <w:szCs w:val="21"/>
        </w:rPr>
        <w:t>68</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"_Toc22452" </w:instrText>
      </w:r>
      <w:r>
        <w:fldChar w:fldCharType="separate"/>
      </w:r>
      <w:r>
        <w:rPr>
          <w:rFonts w:hint="eastAsia" w:ascii="宋体" w:hAnsi="宋体" w:cs="宋体"/>
          <w:szCs w:val="21"/>
          <w:lang w:eastAsia="zh-CN"/>
        </w:rPr>
        <w:t>第十六部分 基金的收益与分配</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_Toc22452 \h </w:instrText>
      </w:r>
      <w:r>
        <w:rPr>
          <w:rFonts w:hint="eastAsia" w:ascii="宋体" w:hAnsi="宋体" w:cs="宋体"/>
          <w:szCs w:val="21"/>
        </w:rPr>
        <w:fldChar w:fldCharType="separate"/>
      </w:r>
      <w:r>
        <w:rPr>
          <w:rFonts w:hint="eastAsia" w:ascii="宋体" w:hAnsi="宋体" w:cs="宋体"/>
          <w:szCs w:val="21"/>
        </w:rPr>
        <w:t>72</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"_Toc3509" </w:instrText>
      </w:r>
      <w:r>
        <w:fldChar w:fldCharType="separate"/>
      </w:r>
      <w:r>
        <w:rPr>
          <w:rFonts w:hint="eastAsia" w:ascii="宋体" w:hAnsi="宋体" w:cs="宋体"/>
          <w:szCs w:val="21"/>
          <w:lang w:eastAsia="zh-CN"/>
        </w:rPr>
        <w:t>第十七部分 基金的会计与审计</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_Toc3509 \h </w:instrText>
      </w:r>
      <w:r>
        <w:rPr>
          <w:rFonts w:hint="eastAsia" w:ascii="宋体" w:hAnsi="宋体" w:cs="宋体"/>
          <w:szCs w:val="21"/>
        </w:rPr>
        <w:fldChar w:fldCharType="separate"/>
      </w:r>
      <w:r>
        <w:rPr>
          <w:rFonts w:hint="eastAsia" w:ascii="宋体" w:hAnsi="宋体" w:cs="宋体"/>
          <w:szCs w:val="21"/>
        </w:rPr>
        <w:t>74</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"_Toc17824" </w:instrText>
      </w:r>
      <w:r>
        <w:fldChar w:fldCharType="separate"/>
      </w:r>
      <w:r>
        <w:rPr>
          <w:rFonts w:hint="eastAsia" w:ascii="宋体" w:hAnsi="宋体" w:cs="宋体"/>
          <w:szCs w:val="21"/>
          <w:lang w:eastAsia="zh-CN"/>
        </w:rPr>
        <w:t>第十八部分 基金的信息披露</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_Toc17824 \h </w:instrText>
      </w:r>
      <w:r>
        <w:rPr>
          <w:rFonts w:hint="eastAsia" w:ascii="宋体" w:hAnsi="宋体" w:cs="宋体"/>
          <w:szCs w:val="21"/>
        </w:rPr>
        <w:fldChar w:fldCharType="separate"/>
      </w:r>
      <w:r>
        <w:rPr>
          <w:rFonts w:hint="eastAsia" w:ascii="宋体" w:hAnsi="宋体" w:cs="宋体"/>
          <w:szCs w:val="21"/>
        </w:rPr>
        <w:t>75</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"_Toc391" </w:instrText>
      </w:r>
      <w:r>
        <w:fldChar w:fldCharType="separate"/>
      </w:r>
      <w:r>
        <w:rPr>
          <w:rFonts w:hint="eastAsia" w:ascii="宋体" w:hAnsi="宋体" w:cs="宋体"/>
          <w:szCs w:val="21"/>
          <w:lang w:eastAsia="zh-CN"/>
        </w:rPr>
        <w:t>第十九部分 基金合同的变更、终止与基金财产的清算</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_Toc391 \h </w:instrText>
      </w:r>
      <w:r>
        <w:rPr>
          <w:rFonts w:hint="eastAsia" w:ascii="宋体" w:hAnsi="宋体" w:cs="宋体"/>
          <w:szCs w:val="21"/>
        </w:rPr>
        <w:fldChar w:fldCharType="separate"/>
      </w:r>
      <w:r>
        <w:rPr>
          <w:rFonts w:hint="eastAsia" w:ascii="宋体" w:hAnsi="宋体" w:cs="宋体"/>
          <w:szCs w:val="21"/>
        </w:rPr>
        <w:t>83</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"_Toc3723" </w:instrText>
      </w:r>
      <w:r>
        <w:fldChar w:fldCharType="separate"/>
      </w:r>
      <w:r>
        <w:rPr>
          <w:rFonts w:hint="eastAsia" w:ascii="宋体" w:hAnsi="宋体" w:cs="宋体"/>
          <w:szCs w:val="21"/>
          <w:lang w:eastAsia="zh-CN"/>
        </w:rPr>
        <w:t>第二十部分 违约责任</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_Toc3723 \h </w:instrText>
      </w:r>
      <w:r>
        <w:rPr>
          <w:rFonts w:hint="eastAsia" w:ascii="宋体" w:hAnsi="宋体" w:cs="宋体"/>
          <w:szCs w:val="21"/>
        </w:rPr>
        <w:fldChar w:fldCharType="separate"/>
      </w:r>
      <w:r>
        <w:rPr>
          <w:rFonts w:hint="eastAsia" w:ascii="宋体" w:hAnsi="宋体" w:cs="宋体"/>
          <w:szCs w:val="21"/>
        </w:rPr>
        <w:t>86</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"_Toc8769" </w:instrText>
      </w:r>
      <w:r>
        <w:fldChar w:fldCharType="separate"/>
      </w:r>
      <w:r>
        <w:rPr>
          <w:rFonts w:hint="eastAsia" w:ascii="宋体" w:hAnsi="宋体" w:cs="宋体"/>
          <w:szCs w:val="21"/>
          <w:lang w:eastAsia="zh-CN"/>
        </w:rPr>
        <w:t>第二十一部分 争议的处理和适用的法律</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_Toc8769 \h </w:instrText>
      </w:r>
      <w:r>
        <w:rPr>
          <w:rFonts w:hint="eastAsia" w:ascii="宋体" w:hAnsi="宋体" w:cs="宋体"/>
          <w:szCs w:val="21"/>
        </w:rPr>
        <w:fldChar w:fldCharType="separate"/>
      </w:r>
      <w:r>
        <w:rPr>
          <w:rFonts w:hint="eastAsia" w:ascii="宋体" w:hAnsi="宋体" w:cs="宋体"/>
          <w:szCs w:val="21"/>
        </w:rPr>
        <w:t>87</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"_Toc15" </w:instrText>
      </w:r>
      <w:r>
        <w:fldChar w:fldCharType="separate"/>
      </w:r>
      <w:r>
        <w:rPr>
          <w:rFonts w:hint="eastAsia" w:ascii="宋体" w:hAnsi="宋体" w:cs="宋体"/>
          <w:szCs w:val="21"/>
          <w:lang w:eastAsia="zh-CN"/>
        </w:rPr>
        <w:t>第二十二部分 基金合同的效力</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 \h </w:instrText>
      </w:r>
      <w:r>
        <w:rPr>
          <w:rFonts w:hint="eastAsia" w:ascii="宋体" w:hAnsi="宋体" w:cs="宋体"/>
          <w:szCs w:val="21"/>
        </w:rPr>
        <w:fldChar w:fldCharType="separate"/>
      </w:r>
      <w:r>
        <w:rPr>
          <w:rFonts w:hint="eastAsia" w:ascii="宋体" w:hAnsi="宋体" w:cs="宋体"/>
          <w:szCs w:val="21"/>
        </w:rPr>
        <w:t>88</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rPr>
          <w:rFonts w:ascii="宋体" w:hAnsi="宋体" w:cs="宋体"/>
          <w:szCs w:val="21"/>
        </w:rPr>
      </w:pPr>
      <w:r>
        <w:fldChar w:fldCharType="begin"/>
      </w:r>
      <w:r>
        <w:instrText xml:space="preserve"> HYPERLINK \l "_Toc73" </w:instrText>
      </w:r>
      <w:r>
        <w:fldChar w:fldCharType="separate"/>
      </w:r>
      <w:r>
        <w:rPr>
          <w:rFonts w:hint="eastAsia" w:ascii="宋体" w:hAnsi="宋体" w:cs="宋体"/>
          <w:szCs w:val="21"/>
          <w:lang w:eastAsia="zh-CN"/>
        </w:rPr>
        <w:t>第二十三部分 其他事项</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_Toc73 \h </w:instrText>
      </w:r>
      <w:r>
        <w:rPr>
          <w:rFonts w:hint="eastAsia" w:ascii="宋体" w:hAnsi="宋体" w:cs="宋体"/>
          <w:szCs w:val="21"/>
        </w:rPr>
        <w:fldChar w:fldCharType="separate"/>
      </w:r>
      <w:r>
        <w:rPr>
          <w:rFonts w:hint="eastAsia" w:ascii="宋体" w:hAnsi="宋体" w:cs="宋体"/>
          <w:szCs w:val="21"/>
        </w:rPr>
        <w:t>89</w:t>
      </w:r>
      <w:r>
        <w:rPr>
          <w:rFonts w:hint="eastAsia" w:ascii="宋体" w:hAnsi="宋体" w:cs="宋体"/>
          <w:szCs w:val="21"/>
        </w:rPr>
        <w:fldChar w:fldCharType="end"/>
      </w:r>
      <w:r>
        <w:rPr>
          <w:rFonts w:hint="eastAsia" w:ascii="宋体" w:hAnsi="宋体" w:cs="宋体"/>
          <w:szCs w:val="21"/>
        </w:rPr>
        <w:fldChar w:fldCharType="end"/>
      </w:r>
    </w:p>
    <w:p>
      <w:pPr>
        <w:pStyle w:val="27"/>
        <w:tabs>
          <w:tab w:val="right" w:leader="dot" w:pos="8306"/>
          <w:tab w:val="clear" w:pos="8296"/>
        </w:tabs>
        <w:adjustRightInd w:val="0"/>
        <w:snapToGrid w:val="0"/>
      </w:pPr>
      <w:r>
        <w:fldChar w:fldCharType="begin"/>
      </w:r>
      <w:r>
        <w:instrText xml:space="preserve"> HYPERLINK \l "_Toc17757" </w:instrText>
      </w:r>
      <w:r>
        <w:fldChar w:fldCharType="separate"/>
      </w:r>
      <w:r>
        <w:rPr>
          <w:rFonts w:hint="eastAsia" w:ascii="宋体" w:hAnsi="宋体" w:cs="宋体"/>
          <w:szCs w:val="21"/>
          <w:lang w:eastAsia="zh-CN"/>
        </w:rPr>
        <w:t>第二十四部分 基金合同内容摘要</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_Toc17757 \h </w:instrText>
      </w:r>
      <w:r>
        <w:rPr>
          <w:rFonts w:hint="eastAsia" w:ascii="宋体" w:hAnsi="宋体" w:cs="宋体"/>
          <w:szCs w:val="21"/>
        </w:rPr>
        <w:fldChar w:fldCharType="separate"/>
      </w:r>
      <w:r>
        <w:rPr>
          <w:rFonts w:hint="eastAsia" w:ascii="宋体" w:hAnsi="宋体" w:cs="宋体"/>
          <w:szCs w:val="21"/>
        </w:rPr>
        <w:t>90</w:t>
      </w:r>
      <w:r>
        <w:rPr>
          <w:rFonts w:hint="eastAsia" w:ascii="宋体" w:hAnsi="宋体" w:cs="宋体"/>
          <w:szCs w:val="21"/>
        </w:rPr>
        <w:fldChar w:fldCharType="end"/>
      </w:r>
      <w:r>
        <w:rPr>
          <w:rFonts w:hint="eastAsia" w:ascii="宋体" w:hAnsi="宋体" w:cs="宋体"/>
          <w:szCs w:val="21"/>
        </w:rPr>
        <w:fldChar w:fldCharType="end"/>
      </w:r>
    </w:p>
    <w:p>
      <w:pPr>
        <w:pStyle w:val="2"/>
        <w:snapToGrid w:val="0"/>
        <w:spacing w:before="0" w:after="0"/>
        <w:jc w:val="left"/>
        <w:rPr>
          <w:rFonts w:ascii="Times New Roman" w:hAnsi="Times New Roman" w:cs="Times New Roman"/>
          <w:b w:val="0"/>
          <w:bCs/>
          <w:color w:val="auto"/>
          <w:szCs w:val="24"/>
        </w:rPr>
      </w:pPr>
      <w:r>
        <w:rPr>
          <w:rFonts w:ascii="Times New Roman" w:hAnsi="Times New Roman" w:cs="Times New Roman"/>
          <w:b w:val="0"/>
          <w:bCs/>
          <w:color w:val="auto"/>
          <w:szCs w:val="24"/>
        </w:rPr>
        <w:fldChar w:fldCharType="end"/>
      </w:r>
      <w:bookmarkStart w:id="18" w:name="_Toc32639"/>
      <w:bookmarkStart w:id="19" w:name="_Toc23386"/>
      <w:bookmarkStart w:id="20" w:name="_Toc6306"/>
      <w:bookmarkStart w:id="21" w:name="_Toc139991730"/>
      <w:bookmarkStart w:id="22" w:name="_Toc141703880"/>
      <w:bookmarkStart w:id="23" w:name="_Toc29629"/>
      <w:bookmarkStart w:id="24" w:name="_Toc26897"/>
      <w:bookmarkStart w:id="25" w:name="_Toc4966"/>
      <w:bookmarkStart w:id="26" w:name="_Toc15517"/>
      <w:bookmarkStart w:id="27" w:name="_Toc4867"/>
      <w:bookmarkStart w:id="28" w:name="_Toc8727"/>
      <w:bookmarkStart w:id="29" w:name="_Toc30935"/>
      <w:bookmarkStart w:id="30" w:name="_Toc123112229"/>
      <w:bookmarkStart w:id="31" w:name="_Toc123701389"/>
      <w:bookmarkStart w:id="32" w:name="_Toc123112268"/>
      <w:bookmarkStart w:id="33" w:name="_Toc233456271"/>
    </w:p>
    <w:p>
      <w:pPr>
        <w:widowControl/>
        <w:snapToGrid w:val="0"/>
        <w:spacing w:after="0" w:line="360" w:lineRule="auto"/>
        <w:jc w:val="left"/>
        <w:rPr>
          <w:rFonts w:ascii="Times New Roman" w:hAnsi="Times New Roman" w:cs="Times New Roman"/>
          <w:bCs/>
          <w:sz w:val="24"/>
          <w:szCs w:val="24"/>
        </w:rPr>
      </w:pPr>
      <w:r>
        <w:rPr>
          <w:rFonts w:ascii="Times New Roman" w:hAnsi="Times New Roman" w:cs="Times New Roman"/>
          <w:b/>
          <w:bCs/>
          <w:sz w:val="24"/>
          <w:szCs w:val="24"/>
        </w:rPr>
        <w:br w:type="page"/>
      </w:r>
    </w:p>
    <w:p>
      <w:pPr>
        <w:widowControl/>
        <w:snapToGrid w:val="0"/>
        <w:spacing w:after="0" w:line="360" w:lineRule="auto"/>
        <w:ind w:firstLine="600" w:firstLineChars="200"/>
        <w:jc w:val="left"/>
        <w:rPr>
          <w:rFonts w:ascii="Times New Roman" w:hAnsi="Times New Roman" w:cs="Times New Roman"/>
          <w:sz w:val="30"/>
        </w:rPr>
        <w:sectPr>
          <w:headerReference r:id="rId8" w:type="default"/>
          <w:footerReference r:id="rId9" w:type="default"/>
          <w:pgSz w:w="11906" w:h="16838"/>
          <w:pgMar w:top="1440" w:right="1800" w:bottom="1440" w:left="1800" w:header="851" w:footer="992" w:gutter="0"/>
          <w:pgNumType w:start="1"/>
          <w:cols w:space="720" w:num="1"/>
          <w:docGrid w:type="lines" w:linePitch="312" w:charSpace="0"/>
        </w:sectPr>
      </w:pPr>
      <w:bookmarkStart w:id="34" w:name="_Toc481653672"/>
    </w:p>
    <w:p>
      <w:pPr>
        <w:pStyle w:val="2"/>
        <w:snapToGrid w:val="0"/>
        <w:spacing w:before="0" w:after="0"/>
        <w:jc w:val="center"/>
        <w:rPr>
          <w:rFonts w:ascii="Times New Roman" w:hAnsi="Times New Roman" w:cs="Times New Roman"/>
          <w:color w:val="auto"/>
          <w:sz w:val="30"/>
          <w:lang w:eastAsia="zh-CN"/>
        </w:rPr>
      </w:pPr>
      <w:bookmarkStart w:id="525" w:name="_GoBack"/>
      <w:bookmarkEnd w:id="525"/>
      <w:bookmarkStart w:id="35" w:name="_Toc16242"/>
      <w:bookmarkStart w:id="36" w:name="_Toc97040601"/>
      <w:r>
        <w:rPr>
          <w:rFonts w:ascii="Times New Roman" w:hAnsi="Times New Roman" w:cs="Times New Roman"/>
          <w:color w:val="auto"/>
          <w:sz w:val="30"/>
          <w:lang w:eastAsia="zh-CN"/>
        </w:rPr>
        <w:t>第一部分 前言</w:t>
      </w:r>
      <w:bookmarkEnd w:id="18"/>
      <w:bookmarkEnd w:id="19"/>
      <w:bookmarkEnd w:id="20"/>
      <w:bookmarkEnd w:id="21"/>
      <w:bookmarkEnd w:id="22"/>
      <w:bookmarkEnd w:id="23"/>
      <w:bookmarkEnd w:id="24"/>
      <w:bookmarkEnd w:id="25"/>
      <w:bookmarkEnd w:id="26"/>
      <w:bookmarkEnd w:id="27"/>
      <w:bookmarkEnd w:id="28"/>
      <w:bookmarkEnd w:id="29"/>
      <w:bookmarkEnd w:id="34"/>
      <w:bookmarkEnd w:id="35"/>
      <w:bookmarkEnd w:id="36"/>
    </w:p>
    <w:p>
      <w:pPr>
        <w:snapToGrid w:val="0"/>
        <w:spacing w:after="0" w:line="360" w:lineRule="auto"/>
        <w:rPr>
          <w:rFonts w:ascii="Times New Roman" w:hAnsi="Times New Roman" w:cs="Times New Roman"/>
          <w:bCs/>
          <w:lang w:eastAsia="zh-CN"/>
        </w:rPr>
      </w:pPr>
      <w:bookmarkStart w:id="37" w:name="_Toc139991731"/>
    </w:p>
    <w:bookmarkEnd w:id="30"/>
    <w:bookmarkEnd w:id="31"/>
    <w:bookmarkEnd w:id="32"/>
    <w:bookmarkEnd w:id="37"/>
    <w:p>
      <w:pPr>
        <w:snapToGrid w:val="0"/>
        <w:spacing w:after="0" w:line="360" w:lineRule="auto"/>
        <w:ind w:firstLine="480"/>
        <w:rPr>
          <w:rFonts w:ascii="Times New Roman" w:hAnsi="Times New Roman" w:cs="Times New Roman"/>
          <w:bCs/>
          <w:sz w:val="24"/>
          <w:lang w:eastAsia="zh-CN"/>
        </w:rPr>
      </w:pPr>
      <w:bookmarkStart w:id="38" w:name="_Toc258829399"/>
      <w:r>
        <w:rPr>
          <w:rFonts w:ascii="Times New Roman" w:hAnsi="Times New Roman" w:cs="Times New Roman"/>
          <w:bCs/>
          <w:sz w:val="24"/>
          <w:lang w:eastAsia="zh-CN"/>
        </w:rPr>
        <w:t>一、订立本基金合同的目的、依据和原则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1、订立本基金合同的目的是保护投资人合法权益，明确基金合同当事人的权利义务，规范基金运作。</w:t>
      </w:r>
    </w:p>
    <w:p>
      <w:pPr>
        <w:snapToGrid w:val="0"/>
        <w:spacing w:after="0" w:line="360" w:lineRule="auto"/>
        <w:ind w:firstLine="480"/>
        <w:rPr>
          <w:rFonts w:ascii="宋体" w:hAnsi="宋体" w:cs="Times New Roman"/>
          <w:bCs/>
          <w:sz w:val="24"/>
          <w:lang w:eastAsia="zh-CN"/>
        </w:rPr>
      </w:pPr>
      <w:r>
        <w:rPr>
          <w:rFonts w:ascii="宋体" w:hAnsi="宋体" w:cs="Times New Roman"/>
          <w:bCs/>
          <w:sz w:val="24"/>
          <w:lang w:eastAsia="zh-CN"/>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pPr>
        <w:snapToGrid w:val="0"/>
        <w:spacing w:after="0" w:line="360" w:lineRule="auto"/>
        <w:ind w:firstLine="480"/>
        <w:rPr>
          <w:rFonts w:ascii="宋体" w:hAnsi="宋体" w:cs="Times New Roman"/>
          <w:bCs/>
          <w:sz w:val="24"/>
          <w:lang w:eastAsia="zh-CN"/>
        </w:rPr>
      </w:pPr>
      <w:r>
        <w:rPr>
          <w:rFonts w:ascii="宋体" w:hAnsi="宋体" w:cs="Times New Roman"/>
          <w:bCs/>
          <w:sz w:val="24"/>
          <w:lang w:eastAsia="zh-CN"/>
        </w:rPr>
        <w:t>3、订立本基金合同的原则是平等自愿、诚实信用、充分保护投资人合法权益。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napToGrid w:val="0"/>
        <w:spacing w:after="0" w:line="360" w:lineRule="auto"/>
        <w:ind w:firstLine="480"/>
        <w:rPr>
          <w:rFonts w:ascii="Times New Roman" w:hAnsi="Times New Roman" w:cs="Times New Roman"/>
          <w:bCs/>
          <w:lang w:eastAsia="zh-CN"/>
        </w:rPr>
      </w:pPr>
      <w:r>
        <w:rPr>
          <w:rFonts w:ascii="Times New Roman" w:hAnsi="Times New Roman" w:cs="Times New Roman"/>
          <w:bCs/>
          <w:sz w:val="24"/>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napToGrid w:val="0"/>
        <w:spacing w:after="0" w:line="360" w:lineRule="auto"/>
        <w:ind w:firstLine="480"/>
        <w:rPr>
          <w:rFonts w:ascii="宋体" w:hAnsi="宋体" w:cs="Times New Roman"/>
          <w:bCs/>
          <w:sz w:val="24"/>
          <w:lang w:eastAsia="zh-CN"/>
        </w:rPr>
      </w:pPr>
      <w:r>
        <w:rPr>
          <w:rFonts w:ascii="Times New Roman" w:hAnsi="Times New Roman" w:cs="Times New Roman"/>
          <w:bCs/>
          <w:sz w:val="24"/>
          <w:lang w:eastAsia="zh-CN"/>
        </w:rPr>
        <w:t>三、</w:t>
      </w:r>
      <w:r>
        <w:rPr>
          <w:rFonts w:hint="eastAsia" w:ascii="Times New Roman" w:hAnsi="Times New Roman" w:cs="Times New Roman"/>
          <w:bCs/>
          <w:sz w:val="24"/>
          <w:lang w:eastAsia="zh-CN"/>
        </w:rPr>
        <w:t>华安沣利债券型</w:t>
      </w:r>
      <w:r>
        <w:rPr>
          <w:rFonts w:ascii="Times New Roman" w:hAnsi="Times New Roman" w:cs="Times New Roman"/>
          <w:bCs/>
          <w:sz w:val="24"/>
          <w:lang w:eastAsia="zh-CN"/>
        </w:rPr>
        <w:t>证券投资基金由基金管理人依照《基</w:t>
      </w:r>
      <w:r>
        <w:rPr>
          <w:rFonts w:ascii="宋体" w:hAnsi="宋体" w:cs="Times New Roman"/>
          <w:bCs/>
          <w:sz w:val="24"/>
          <w:lang w:eastAsia="zh-CN"/>
        </w:rPr>
        <w:t>金法》、基金合同及其他有关规定募集，并经中国证券监督管理委员会(以下简称</w:t>
      </w:r>
      <w:r>
        <w:rPr>
          <w:rFonts w:ascii="宋体" w:hAnsi="宋体" w:cs="Times New Roman"/>
          <w:sz w:val="24"/>
          <w:lang w:eastAsia="zh-CN"/>
        </w:rPr>
        <w:t>“</w:t>
      </w:r>
      <w:r>
        <w:rPr>
          <w:rFonts w:ascii="宋体" w:hAnsi="宋体" w:cs="Times New Roman"/>
          <w:bCs/>
          <w:sz w:val="24"/>
          <w:lang w:eastAsia="zh-CN"/>
        </w:rPr>
        <w:t>中国证监会”)注册。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中国证监会对本基金募集的注册，并不表明其对本基金的投资价值和市场前景做出实质性判断或保证，也不表明投资于本基金没有风险。</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bCs/>
          <w:sz w:val="24"/>
          <w:lang w:eastAsia="zh-CN"/>
        </w:rPr>
        <w:t>基金管理人依照恪尽职守、诚实信用、谨慎勤勉的原则管理和运用基金财产，但不保证投资于本基金一定盈利，也不保证最低收益。</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bCs/>
          <w:sz w:val="24"/>
          <w:lang w:eastAsia="zh-CN"/>
        </w:rPr>
        <w:t>投资者应当认真阅读基金招募说明书、基金合同、基金产品资料概要等信息披露文件，自主判断基金的投资价值，自主做出投资决策，自行承担投资风险。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四、本基金单一投资者持有基金份额数不得达到或超过基金份额总数的50%，但在基金运作过程中因基金份额赎回等情形导致被动达到或超过50%的除外。法律法规或监管机构另有规定的，从其规定。</w:t>
      </w:r>
    </w:p>
    <w:p>
      <w:pPr>
        <w:snapToGrid w:val="0"/>
        <w:spacing w:after="0" w:line="360" w:lineRule="auto"/>
        <w:ind w:firstLine="480"/>
        <w:rPr>
          <w:rFonts w:ascii="宋体" w:hAnsi="宋体" w:cs="Times New Roman"/>
          <w:bCs/>
          <w:sz w:val="24"/>
          <w:lang w:eastAsia="zh-CN"/>
        </w:rPr>
      </w:pPr>
      <w:r>
        <w:rPr>
          <w:rFonts w:ascii="Times New Roman" w:hAnsi="Times New Roman" w:cs="Times New Roman"/>
          <w:bCs/>
          <w:sz w:val="24"/>
          <w:lang w:eastAsia="zh-CN"/>
        </w:rPr>
        <w:t>五、本基金可根据投资策略需要或不同配置地市场环境的变化，选择将部分基金资产投资于港股或选择不将基金资产投资于港股，基金资产并非必然投资港股。</w:t>
      </w:r>
    </w:p>
    <w:p>
      <w:pPr>
        <w:snapToGrid w:val="0"/>
        <w:spacing w:after="0" w:line="360" w:lineRule="auto"/>
        <w:ind w:firstLine="480"/>
        <w:rPr>
          <w:rFonts w:ascii="Times New Roman" w:hAnsi="Times New Roman" w:cs="Times New Roman"/>
          <w:bCs/>
          <w:sz w:val="24"/>
          <w:lang w:eastAsia="zh-CN"/>
        </w:rPr>
      </w:pPr>
      <w:r>
        <w:rPr>
          <w:rFonts w:ascii="宋体" w:hAnsi="宋体" w:cs="Times New Roman"/>
          <w:bCs/>
          <w:sz w:val="24"/>
          <w:lang w:eastAsia="zh-CN"/>
        </w:rPr>
        <w:t>若基金资产投资于港股，会面临内地与香港股票市场交易互联互通（以下简称“港股通”）机制下因投资环境、投资标的、市场制度以及交易规则等差异带来的特有风险，包</w:t>
      </w:r>
      <w:r>
        <w:rPr>
          <w:rFonts w:ascii="Times New Roman" w:hAnsi="Times New Roman" w:cs="Times New Roman"/>
          <w:bCs/>
          <w:sz w:val="24"/>
          <w:lang w:eastAsia="zh-CN"/>
        </w:rPr>
        <w:t>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六、本基金的投资范围包括存托凭证，如投资，除与其他仅投资于境内市场股票的基金所面临的共同风险外，本基金还将面临投资存托凭证的特殊风险，详见本基金招募说明书。</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七、</w:t>
      </w:r>
      <w:r>
        <w:rPr>
          <w:rFonts w:hint="eastAsia" w:ascii="Times New Roman" w:hAnsi="Times New Roman" w:cs="Times New Roman"/>
          <w:bCs/>
          <w:sz w:val="24"/>
          <w:lang w:eastAsia="zh-CN"/>
        </w:rPr>
        <w:t>本基金可以投资于其他公开募集的基金，因此本基金所持有的基金的业绩表现、持有基金的基金管理人水平等因素将影响到本基金的基金业绩表现。</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八、</w:t>
      </w:r>
      <w:r>
        <w:rPr>
          <w:rFonts w:ascii="Times New Roman" w:hAnsi="Times New Roman" w:cs="Times New Roman"/>
          <w:bCs/>
          <w:sz w:val="24"/>
          <w:lang w:eastAsia="zh-CN"/>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九</w:t>
      </w:r>
      <w:r>
        <w:rPr>
          <w:rFonts w:ascii="Times New Roman" w:hAnsi="Times New Roman" w:cs="Times New Roman"/>
          <w:bCs/>
          <w:sz w:val="24"/>
          <w:lang w:eastAsia="zh-CN"/>
        </w:rPr>
        <w:t>、基金管理人、基金托管人在本基金合同之外披露涉及本基金的信息，其内容涉及界定基金合同当事人之间权利义务关系的，如与基金合同有冲突，以基金合同为准。</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十</w:t>
      </w:r>
      <w:r>
        <w:rPr>
          <w:rFonts w:ascii="Times New Roman" w:hAnsi="Times New Roman" w:cs="Times New Roman"/>
          <w:bCs/>
          <w:sz w:val="24"/>
          <w:lang w:eastAsia="zh-CN"/>
        </w:rPr>
        <w:t>、本基金按照中国法律法规成立并运作，若基金合同的内容与届时有效的法律法规的强制性规定不一致，应当以届时有效的法律法规的规定为准。</w:t>
      </w: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sz w:val="21"/>
          <w:lang w:eastAsia="zh-CN"/>
        </w:rPr>
        <w:br w:type="page"/>
      </w:r>
      <w:bookmarkStart w:id="39" w:name="_Toc24860"/>
      <w:bookmarkStart w:id="40" w:name="_Toc3224"/>
      <w:bookmarkStart w:id="41" w:name="_Toc15067"/>
      <w:bookmarkStart w:id="42" w:name="_Toc19592"/>
      <w:bookmarkStart w:id="43" w:name="_Toc481653673"/>
      <w:bookmarkStart w:id="44" w:name="_Toc2465"/>
      <w:bookmarkStart w:id="45" w:name="_Toc22864"/>
      <w:bookmarkStart w:id="46" w:name="_Toc819"/>
      <w:bookmarkStart w:id="47" w:name="_Toc7083"/>
      <w:bookmarkStart w:id="48" w:name="_Toc97040602"/>
      <w:bookmarkStart w:id="49" w:name="_Toc6617"/>
      <w:bookmarkStart w:id="50" w:name="_Toc21301"/>
      <w:bookmarkStart w:id="51" w:name="_Toc13020"/>
      <w:r>
        <w:rPr>
          <w:rFonts w:ascii="Times New Roman" w:hAnsi="Times New Roman" w:cs="Times New Roman"/>
          <w:color w:val="auto"/>
          <w:sz w:val="30"/>
          <w:lang w:eastAsia="zh-CN"/>
        </w:rPr>
        <w:t>第二部分 释义</w:t>
      </w:r>
      <w:bookmarkEnd w:id="33"/>
      <w:bookmarkEnd w:id="38"/>
      <w:bookmarkEnd w:id="39"/>
      <w:bookmarkEnd w:id="40"/>
      <w:bookmarkEnd w:id="41"/>
      <w:bookmarkEnd w:id="42"/>
      <w:bookmarkEnd w:id="43"/>
      <w:bookmarkEnd w:id="44"/>
      <w:bookmarkEnd w:id="45"/>
      <w:bookmarkEnd w:id="46"/>
      <w:bookmarkEnd w:id="47"/>
      <w:bookmarkEnd w:id="48"/>
      <w:bookmarkEnd w:id="49"/>
      <w:bookmarkEnd w:id="50"/>
      <w:bookmarkEnd w:id="51"/>
    </w:p>
    <w:p>
      <w:pPr>
        <w:snapToGrid w:val="0"/>
        <w:spacing w:after="0" w:line="360" w:lineRule="auto"/>
        <w:ind w:firstLine="420"/>
        <w:rPr>
          <w:rFonts w:ascii="Times New Roman" w:hAnsi="Times New Roman" w:cs="Times New Roman"/>
          <w:bCs/>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在本基金合同中，除非文意另有所指，下列词语或简称具有如下含义：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1、基金或本基金：指</w:t>
      </w:r>
      <w:r>
        <w:rPr>
          <w:rFonts w:hint="eastAsia" w:ascii="Times New Roman" w:hAnsi="Times New Roman" w:cs="Times New Roman"/>
          <w:bCs/>
          <w:sz w:val="24"/>
          <w:lang w:eastAsia="zh-CN"/>
        </w:rPr>
        <w:t>华安沣利债券型</w:t>
      </w:r>
      <w:r>
        <w:rPr>
          <w:rFonts w:ascii="Times New Roman" w:hAnsi="Times New Roman" w:cs="Times New Roman"/>
          <w:bCs/>
          <w:sz w:val="24"/>
          <w:lang w:eastAsia="zh-CN"/>
        </w:rPr>
        <w:t>证券投资基金</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2、基金管理人：指华安基金管理有限公司</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3、基金托管人：指</w:t>
      </w:r>
      <w:r>
        <w:rPr>
          <w:rFonts w:hint="eastAsia" w:ascii="Times New Roman" w:hAnsi="Times New Roman" w:cs="Times New Roman"/>
          <w:bCs/>
          <w:sz w:val="24"/>
          <w:lang w:eastAsia="zh-CN"/>
        </w:rPr>
        <w:t>中国建设银行</w:t>
      </w:r>
      <w:r>
        <w:rPr>
          <w:rFonts w:ascii="Times New Roman" w:hAnsi="Times New Roman" w:cs="Times New Roman"/>
          <w:bCs/>
          <w:sz w:val="24"/>
          <w:lang w:eastAsia="zh-CN"/>
        </w:rPr>
        <w:t>股份有限公司</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4、基金合同或本基金合同：指《</w:t>
      </w:r>
      <w:r>
        <w:rPr>
          <w:rFonts w:hint="eastAsia" w:ascii="Times New Roman" w:hAnsi="Times New Roman" w:cs="Times New Roman"/>
          <w:bCs/>
          <w:sz w:val="24"/>
          <w:lang w:eastAsia="zh-CN"/>
        </w:rPr>
        <w:t>华安沣利债券型</w:t>
      </w:r>
      <w:r>
        <w:rPr>
          <w:rFonts w:ascii="Times New Roman" w:hAnsi="Times New Roman" w:cs="Times New Roman"/>
          <w:bCs/>
          <w:sz w:val="24"/>
          <w:lang w:eastAsia="zh-CN"/>
        </w:rPr>
        <w:t>证券投资基金基金合同》及对本基金合同的任何有效修订和补充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5、托管协议：指基金管理人与基金托管人就本基金签订之《</w:t>
      </w:r>
      <w:r>
        <w:rPr>
          <w:rFonts w:hint="eastAsia" w:ascii="Times New Roman" w:hAnsi="Times New Roman" w:cs="Times New Roman"/>
          <w:bCs/>
          <w:sz w:val="24"/>
          <w:lang w:eastAsia="zh-CN"/>
        </w:rPr>
        <w:t>华安沣利债券型</w:t>
      </w:r>
      <w:r>
        <w:rPr>
          <w:rFonts w:ascii="Times New Roman" w:hAnsi="Times New Roman" w:cs="Times New Roman"/>
          <w:bCs/>
          <w:sz w:val="24"/>
          <w:lang w:eastAsia="zh-CN"/>
        </w:rPr>
        <w:t>证券投资基金托管协议》及对该托管协议的任何有效修订和补充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6、招募说明书：指《</w:t>
      </w:r>
      <w:r>
        <w:rPr>
          <w:rFonts w:hint="eastAsia" w:ascii="Times New Roman" w:hAnsi="Times New Roman" w:cs="Times New Roman"/>
          <w:bCs/>
          <w:sz w:val="24"/>
          <w:lang w:eastAsia="zh-CN"/>
        </w:rPr>
        <w:t>华安沣利债券型</w:t>
      </w:r>
      <w:r>
        <w:rPr>
          <w:rFonts w:ascii="Times New Roman" w:hAnsi="Times New Roman" w:cs="Times New Roman"/>
          <w:bCs/>
          <w:sz w:val="24"/>
          <w:lang w:eastAsia="zh-CN"/>
        </w:rPr>
        <w:t>证券投资基金招募说明书》及其更新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7、基金产品资料概要：指《</w:t>
      </w:r>
      <w:r>
        <w:rPr>
          <w:rFonts w:hint="eastAsia" w:ascii="Times New Roman" w:hAnsi="Times New Roman" w:cs="Times New Roman"/>
          <w:bCs/>
          <w:sz w:val="24"/>
          <w:lang w:eastAsia="zh-CN"/>
        </w:rPr>
        <w:t>华安沣利债券型</w:t>
      </w:r>
      <w:r>
        <w:rPr>
          <w:rFonts w:ascii="Times New Roman" w:hAnsi="Times New Roman" w:cs="Times New Roman"/>
          <w:bCs/>
          <w:sz w:val="24"/>
          <w:lang w:eastAsia="zh-CN"/>
        </w:rPr>
        <w:t>证券投资基金基金产品资料概要》及其更新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8、基金份额发售公告：指《</w:t>
      </w:r>
      <w:r>
        <w:rPr>
          <w:rFonts w:hint="eastAsia" w:ascii="Times New Roman" w:hAnsi="Times New Roman" w:cs="Times New Roman"/>
          <w:bCs/>
          <w:sz w:val="24"/>
          <w:lang w:eastAsia="zh-CN"/>
        </w:rPr>
        <w:t>华安沣利债券型</w:t>
      </w:r>
      <w:r>
        <w:rPr>
          <w:rFonts w:ascii="Times New Roman" w:hAnsi="Times New Roman" w:cs="Times New Roman"/>
          <w:bCs/>
          <w:sz w:val="24"/>
          <w:lang w:eastAsia="zh-CN"/>
        </w:rPr>
        <w:t>证券投资基金基金份额发售公告》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9、法律法规：指中国现行有效并公布实施的法律、行政法规、规范性文件、司法解释、行政规章以及其他对基金合同当事人有约束力的决定、决议、通知等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11、《销售办法》：指中国证监会2020年8月28日颁布、同年10月1日实施的《公开募集证券投资基金销售机构监督管理办法》及颁布机关对其不时做出的修订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13、《运作办法》：指中国证监会2014年7月7日颁布、同年8月8日实施的《公开募集证券投资基金运作管理办法》及颁布机关对其不时做出的修订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14、《流动性风险管理规定》：指中国证监会2017年8月31日颁布、同年10月1日实施的《公开募集开放式证券投资基金流动性风险管理规定》及颁布机关对其不时做出的修订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15、中国证监会：指中国证券监督管理委员会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16、银行业监督管理机构：指中国人民银行和/或</w:t>
      </w:r>
      <w:r>
        <w:rPr>
          <w:rFonts w:hint="eastAsia" w:ascii="Times New Roman" w:hAnsi="Times New Roman" w:cs="Times New Roman"/>
          <w:bCs/>
          <w:sz w:val="24"/>
          <w:lang w:eastAsia="zh-CN"/>
        </w:rPr>
        <w:t>国家金融监督管理总局</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17、基金合同当事人：指受基金合同约束，根据基金合同享有权利并承担义务的法律主体，包括基金管理人、基金托管人和基金份额持有人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18、个人投资者：指依据有关法律法规规定可投资于证券投资基金的自然人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19、机构投资者：指依法可以投资证券投资基金的、在中华人民共和国境内合法登记并存续或经有关政府部门批准设立并存续的企业法人、事业法人、社会团体或其他组织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20、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21、投资人、投资者：指个人投资者、机构投资者、合格境外投资者以及法律法规或中国证监会允许购买证券投资基金的其他投资人的合称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22、基金份额持有人：指依基金合同和招募说明书合法取得基金份额的投资人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23、基金销售业务：指基金管理人或销售机构宣传推介基金，发售基金份额，办理基金份额的申购、赎回、转换、转托管及定期定额投资等业务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24、</w:t>
      </w:r>
      <w:r>
        <w:rPr>
          <w:rFonts w:hint="eastAsia" w:ascii="Times New Roman" w:hAnsi="Times New Roman" w:cs="Times New Roman"/>
          <w:bCs/>
          <w:sz w:val="24"/>
          <w:lang w:eastAsia="zh-CN"/>
        </w:rPr>
        <w:t>销售机构：指基金管理人以及符合《销售办法》和中国证监会规定的其他条件，取得基金销售业务资格并与基金管理人签订了基金销售服务协议，办理基金销售业务的机构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26、登记机构：指办理登记业务的机构。基金的登记机构为</w:t>
      </w:r>
      <w:r>
        <w:rPr>
          <w:rFonts w:ascii="Times New Roman" w:hAnsi="Times New Roman" w:cs="Times New Roman"/>
          <w:sz w:val="24"/>
          <w:szCs w:val="24"/>
          <w:lang w:eastAsia="zh-CN"/>
        </w:rPr>
        <w:t>华安基金管理有限公司</w:t>
      </w:r>
      <w:r>
        <w:rPr>
          <w:rFonts w:ascii="Times New Roman" w:hAnsi="Times New Roman" w:cs="Times New Roman"/>
          <w:bCs/>
          <w:sz w:val="24"/>
          <w:szCs w:val="24"/>
          <w:lang w:eastAsia="zh-CN"/>
        </w:rPr>
        <w:t>或接受华安基金管理有限公司委托代为办理登记业务的机构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27、基金账户：指登记机构为投资人开立的、记录其持有的、基金管理人所管理的基金份额余额及其变动情况的账户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28、基金交易账户：指销售机构为投资人开立的、记录投资人通过该销售机构办理认购、申购、赎回、转换、转托管及定期定额投资等业务而引起基金的基金份额变动及结余情况的账户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29、基金合同生效日：指基金募集达到法律法规规定及基金合同规定的条件，基金管理人向中国证监会办理基金备案手续完毕，并获得中国证监会书面确认的日期</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30、基金合同终止日：指基金合同规定的基金合同终止事由出现后，基金财产清算完毕，清算结果报中国证监会备案并予以公告的日期</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31、基金募集期：指自基金份额发售之日起至发售结束之日止的期间，最长不得超过3个月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32、存续期：指基金合同生效至终止之间的不定期期限</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33、工作日：指上海证券交易所、深圳证券交易所的正常交易日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34、T日：指销售机构在规定时间受理投资人申购、赎回或其他业务申请的开放日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35、T+n日：指自T日起第n个工作日(不包含T日)，n为自然数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36、开放日：指为投资人办理基金份额申购、赎回或其他业务的工作日（若本基金参与港股通交易且该交易日为非港股通交易日，则本基金有权不开放申购、赎回，并按规定进行公告）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37、开放时间：指开放日基金接受申购、赎回或其他交易的时间段</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38、《业务规则》：指《华安基金管理有限公司开放式基金业务规则》，是规范基金管理人所管理的开放式证券投资基金登记方面的业务规则，由基金管理人和投资人共同遵守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39、认购：指在基金募集期内，投资人根据基金合同和招募说明书的规定申请购买基金份额的行为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40、申购：指基金合同生效后，投资人根据基金合同和招募说明书的规定申请购买基金份额的行为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41、赎回：指基金合同生效后，基金份额持有人按基金合同和招募说明书规定的条件要求将基金份额兑换为现金的行为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42、基金转换：指基金份额持有人按照本基金合同和基金管理人届时有效公告规定的条件，申请将其持有基金管理人管理的、某一基金的基金份额转换为基金管理人管理的其他基金份额的行为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43、转托管：指基金份额持有人在本基金的不同销售机构之间实施的变更所持基金份额销售机构的操作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46、元：指人民币元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47、基金收益：指基金投资所得红利、股息、债券利息、买卖证券价差、银行存款利息、已实现的其他合法收入及因运用基金财产带来的成本和费用的节约</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48、基金资产总值：指基金拥有的各类有价证券、银行存款本息、基金应收款项</w:t>
      </w:r>
      <w:r>
        <w:rPr>
          <w:rFonts w:hint="eastAsia" w:ascii="Times New Roman" w:hAnsi="Times New Roman" w:cs="Times New Roman"/>
          <w:bCs/>
          <w:sz w:val="24"/>
          <w:lang w:eastAsia="zh-CN"/>
        </w:rPr>
        <w:t>、基金份额</w:t>
      </w:r>
      <w:r>
        <w:rPr>
          <w:rFonts w:ascii="Times New Roman" w:hAnsi="Times New Roman" w:cs="Times New Roman"/>
          <w:bCs/>
          <w:sz w:val="24"/>
          <w:lang w:eastAsia="zh-CN"/>
        </w:rPr>
        <w:t>及其他资产的价值总和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49、基金资产净值：指基金资产总值减去基金负债后的价值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50、</w:t>
      </w:r>
      <w:bookmarkStart w:id="52" w:name="_Hlk86319392"/>
      <w:r>
        <w:rPr>
          <w:rFonts w:ascii="Times New Roman" w:hAnsi="Times New Roman" w:cs="Times New Roman"/>
          <w:bCs/>
          <w:sz w:val="24"/>
          <w:lang w:eastAsia="zh-CN"/>
        </w:rPr>
        <w:t>基金份额净值：指计算日基金资产净值除以计算日基金份额总数</w:t>
      </w:r>
      <w:bookmarkEnd w:id="52"/>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51、基金资产估值：指计算评估基金资产和负债的价值，以确定基金资产净值和基金份额净值的过程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52、规定媒介：指符合中国证监会规定条件的用以进行信息披露的全国性报刊及《信息披露办法》规定的互联网网站（包括基金管理人网站、基金托管人网站、中国证监会基金电子披露网站）等媒介</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bCs/>
          <w:sz w:val="24"/>
          <w:lang w:eastAsia="zh-CN"/>
        </w:rPr>
        <w:t>53、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54、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55、港股通：指内地投资者委托内地证券公司，经由内地证券交易所设立的证券交易服务公司，向香港联合交易所有限公司（以下简称“香港联合交易所”）进行申报，买卖规定范围内的香港联合交易所上市的股票</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56</w:t>
      </w:r>
      <w:r>
        <w:rPr>
          <w:rFonts w:ascii="Times New Roman" w:hAnsi="Times New Roman" w:cs="Times New Roman"/>
          <w:bCs/>
          <w:sz w:val="24"/>
          <w:lang w:eastAsia="zh-CN"/>
        </w:rPr>
        <w:t>、不可抗力：指本基金合同当事人不能预见、不能避免且不能克服的客观事件</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57</w:t>
      </w:r>
      <w:r>
        <w:rPr>
          <w:rFonts w:ascii="Times New Roman" w:hAnsi="Times New Roman" w:cs="Times New Roman"/>
          <w:bCs/>
          <w:sz w:val="24"/>
          <w:lang w:eastAsia="zh-CN"/>
        </w:rPr>
        <w:t>、中国：指中华人民共和国。就本基金合同而言，不包括香港特别行政区、澳门特别行政区和台湾地区</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58</w:t>
      </w:r>
      <w:r>
        <w:rPr>
          <w:rFonts w:ascii="Times New Roman" w:hAnsi="Times New Roman" w:cs="Times New Roman"/>
          <w:bCs/>
          <w:sz w:val="24"/>
          <w:lang w:eastAsia="zh-CN"/>
        </w:rPr>
        <w:t>、销售服务费：指从基金财产中计提的，用于本基金市场推广、销售以及基金份额持有人服务的费用</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59</w:t>
      </w:r>
      <w:r>
        <w:rPr>
          <w:rFonts w:ascii="Times New Roman" w:hAnsi="Times New Roman" w:cs="Times New Roman"/>
          <w:bCs/>
          <w:sz w:val="24"/>
          <w:lang w:eastAsia="zh-CN"/>
        </w:rPr>
        <w:t>、基金份额分类：本基金根据认购费、申购费、销售服务费收取方式的不同，将基金份额分为不同的类别：A类基金份额和C类基金份额。</w:t>
      </w:r>
      <w:r>
        <w:rPr>
          <w:rFonts w:hint="eastAsia" w:ascii="Times New Roman" w:hAnsi="Times New Roman" w:cs="Times New Roman"/>
          <w:bCs/>
          <w:sz w:val="24"/>
          <w:lang w:eastAsia="zh-CN"/>
        </w:rPr>
        <w:t>各</w:t>
      </w:r>
      <w:r>
        <w:rPr>
          <w:rFonts w:ascii="Times New Roman" w:hAnsi="Times New Roman" w:cs="Times New Roman"/>
          <w:bCs/>
          <w:sz w:val="24"/>
          <w:lang w:eastAsia="zh-CN"/>
        </w:rPr>
        <w:t>类基金份额分设不同的基金代码，并分别公布基金份额净值</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60、A类基金份额：在投资者通过直销机构以外的其他销售机构认购或申购时收取认购费或申购费，但不从本类别基金资产中计提销售服务费的，称为A类基金份额；投资者通过直销机构认购或申购时不收取认购费或申购费</w:t>
      </w:r>
    </w:p>
    <w:p>
      <w:pPr>
        <w:spacing w:line="360" w:lineRule="auto"/>
        <w:ind w:firstLine="480" w:firstLineChars="200"/>
        <w:rPr>
          <w:bCs/>
          <w:sz w:val="24"/>
          <w:lang w:eastAsia="zh-CN"/>
        </w:rPr>
      </w:pPr>
      <w:r>
        <w:rPr>
          <w:rFonts w:hint="eastAsia" w:ascii="Times New Roman" w:hAnsi="Times New Roman" w:cs="Times New Roman"/>
          <w:bCs/>
          <w:sz w:val="24"/>
          <w:lang w:eastAsia="zh-CN"/>
        </w:rPr>
        <w:t>61、C类基金份额：在投资者认购或申购时不收取认购费或申购费，而从直销机构以外的其他销售机构保有的本类别基金资产中计提销售服务费的，称为C类基金份额；其中，对于投资者通过直销机构认购或申购的C类基金份额，计提的销售服务费将在投资者赎回相应基金份额或基金合同终止时随赎回款或清算款一并返还给投资者，对于投资者通过其他销售机构认购或申购且持续持有期限超过一年的C类基金份额，超过一年继续计提的销售服务费将在投资者赎回相应基金份额或基金合同终止时随赎回款或清算款一并返还给投资者</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62</w:t>
      </w:r>
      <w:r>
        <w:rPr>
          <w:rFonts w:ascii="Times New Roman" w:hAnsi="Times New Roman" w:cs="Times New Roman"/>
          <w:bCs/>
          <w:sz w:val="24"/>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63</w:t>
      </w:r>
      <w:r>
        <w:rPr>
          <w:rFonts w:ascii="Times New Roman" w:hAnsi="Times New Roman" w:cs="Times New Roman"/>
          <w:bCs/>
          <w:sz w:val="24"/>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after="0" w:line="240" w:lineRule="auto"/>
        <w:rPr>
          <w:rFonts w:ascii="Times New Roman" w:hAnsi="Times New Roman" w:cs="Times New Roman"/>
          <w:bCs/>
          <w:sz w:val="24"/>
          <w:lang w:eastAsia="zh-CN"/>
        </w:rPr>
      </w:pPr>
      <w:r>
        <w:rPr>
          <w:rFonts w:ascii="Times New Roman" w:hAnsi="Times New Roman" w:cs="Times New Roman"/>
          <w:bCs/>
          <w:sz w:val="24"/>
          <w:lang w:eastAsia="zh-CN"/>
        </w:rPr>
        <w:br w:type="page"/>
      </w:r>
    </w:p>
    <w:p>
      <w:pPr>
        <w:pStyle w:val="2"/>
        <w:snapToGrid w:val="0"/>
        <w:spacing w:before="0" w:after="0"/>
        <w:jc w:val="center"/>
        <w:rPr>
          <w:rFonts w:ascii="Times New Roman" w:hAnsi="Times New Roman" w:cs="Times New Roman"/>
          <w:color w:val="auto"/>
          <w:sz w:val="30"/>
          <w:lang w:eastAsia="zh-CN"/>
        </w:rPr>
      </w:pPr>
      <w:bookmarkStart w:id="53" w:name="_Toc6683"/>
      <w:bookmarkStart w:id="54" w:name="_Toc6149"/>
      <w:bookmarkStart w:id="55" w:name="_Toc13288"/>
      <w:bookmarkStart w:id="56" w:name="_Toc27816"/>
      <w:bookmarkStart w:id="57" w:name="_Toc481653674"/>
      <w:bookmarkStart w:id="58" w:name="_Toc20318"/>
      <w:bookmarkStart w:id="59" w:name="_Toc22708"/>
      <w:bookmarkStart w:id="60" w:name="_Toc545"/>
      <w:bookmarkStart w:id="61" w:name="_Toc18631"/>
      <w:bookmarkStart w:id="62" w:name="_Toc97040603"/>
      <w:bookmarkStart w:id="63" w:name="_Toc20627"/>
      <w:bookmarkStart w:id="64" w:name="_Toc24571"/>
      <w:bookmarkStart w:id="65" w:name="_Toc733"/>
      <w:bookmarkStart w:id="66" w:name="_Toc258829400"/>
      <w:bookmarkStart w:id="67" w:name="_Toc233456272"/>
      <w:r>
        <w:rPr>
          <w:rFonts w:ascii="Times New Roman" w:hAnsi="Times New Roman" w:cs="Times New Roman"/>
          <w:color w:val="auto"/>
          <w:sz w:val="30"/>
          <w:lang w:eastAsia="zh-CN"/>
        </w:rPr>
        <w:t>第三部分 基金的基本情况</w:t>
      </w:r>
      <w:bookmarkEnd w:id="53"/>
      <w:bookmarkEnd w:id="54"/>
      <w:bookmarkEnd w:id="55"/>
      <w:bookmarkEnd w:id="56"/>
      <w:bookmarkEnd w:id="57"/>
      <w:bookmarkEnd w:id="58"/>
      <w:bookmarkEnd w:id="59"/>
      <w:bookmarkEnd w:id="60"/>
      <w:bookmarkEnd w:id="61"/>
      <w:bookmarkEnd w:id="62"/>
      <w:bookmarkEnd w:id="63"/>
      <w:bookmarkEnd w:id="64"/>
      <w:bookmarkEnd w:id="65"/>
      <w:bookmarkStart w:id="68" w:name="_Toc79392573"/>
    </w:p>
    <w:p>
      <w:pPr>
        <w:snapToGrid w:val="0"/>
        <w:spacing w:after="0" w:line="360" w:lineRule="auto"/>
        <w:ind w:firstLine="540"/>
        <w:rPr>
          <w:rFonts w:ascii="Times New Roman" w:hAnsi="Times New Roman" w:cs="Times New Roman"/>
          <w:bCs/>
          <w:sz w:val="24"/>
          <w:lang w:eastAsia="zh-CN"/>
        </w:rPr>
      </w:pPr>
      <w:bookmarkStart w:id="69" w:name="_Hlt88031774"/>
      <w:bookmarkEnd w:id="69"/>
      <w:bookmarkStart w:id="70" w:name="_Hlt88031741"/>
      <w:bookmarkEnd w:id="70"/>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一、基金名称</w:t>
      </w:r>
      <w:bookmarkEnd w:id="68"/>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华安沣利债券型</w:t>
      </w:r>
      <w:r>
        <w:rPr>
          <w:rFonts w:ascii="Times New Roman" w:hAnsi="Times New Roman" w:cs="Times New Roman"/>
          <w:bCs/>
          <w:sz w:val="24"/>
          <w:lang w:eastAsia="zh-CN"/>
        </w:rPr>
        <w:t>证券投资基金</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bookmarkStart w:id="71" w:name="_Toc79392574"/>
      <w:r>
        <w:rPr>
          <w:rFonts w:ascii="Times New Roman" w:hAnsi="Times New Roman" w:cs="Times New Roman"/>
          <w:bCs/>
          <w:sz w:val="24"/>
          <w:lang w:eastAsia="zh-CN"/>
        </w:rPr>
        <w:t>二、基金的类别</w:t>
      </w:r>
      <w:bookmarkEnd w:id="71"/>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债券型证券投资基金</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bookmarkStart w:id="72" w:name="_Toc79392575"/>
      <w:r>
        <w:rPr>
          <w:rFonts w:ascii="Times New Roman" w:hAnsi="Times New Roman" w:cs="Times New Roman"/>
          <w:bCs/>
          <w:sz w:val="24"/>
          <w:lang w:eastAsia="zh-CN"/>
        </w:rPr>
        <w:t>三、基金的运作方式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契约型开放式</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四、基金的投资目标</w:t>
      </w:r>
      <w:bookmarkEnd w:id="72"/>
    </w:p>
    <w:p>
      <w:pPr>
        <w:snapToGrid w:val="0"/>
        <w:spacing w:after="0" w:line="360" w:lineRule="auto"/>
        <w:ind w:firstLine="480"/>
        <w:rPr>
          <w:rFonts w:ascii="Times New Roman" w:hAnsi="Times New Roman" w:cs="Times New Roman"/>
          <w:bCs/>
          <w:sz w:val="24"/>
          <w:lang w:eastAsia="zh-CN"/>
        </w:rPr>
      </w:pPr>
      <w:bookmarkStart w:id="73" w:name="OLE_LINK2"/>
      <w:bookmarkStart w:id="74" w:name="OLE_LINK3"/>
      <w:bookmarkStart w:id="75" w:name="_Toc79392576"/>
      <w:r>
        <w:rPr>
          <w:rFonts w:ascii="Times New Roman" w:hAnsi="Times New Roman" w:cs="Times New Roman"/>
          <w:bCs/>
          <w:sz w:val="24"/>
          <w:lang w:eastAsia="zh-CN"/>
        </w:rPr>
        <w:t>本基金在严格控制风险的前提下，力争实现基金资产的长期稳健增值。</w:t>
      </w:r>
      <w:bookmarkEnd w:id="73"/>
      <w:bookmarkEnd w:id="74"/>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五、基金的最低募集份额总额</w:t>
      </w:r>
      <w:bookmarkEnd w:id="75"/>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本基金的最低募集份额总额为2亿份。</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bookmarkStart w:id="76" w:name="_Toc79392577"/>
      <w:r>
        <w:rPr>
          <w:rFonts w:hint="eastAsia" w:ascii="Times New Roman" w:hAnsi="Times New Roman" w:cs="Times New Roman"/>
          <w:bCs/>
          <w:sz w:val="24"/>
          <w:lang w:eastAsia="zh-CN"/>
        </w:rPr>
        <w:t>六</w:t>
      </w:r>
      <w:r>
        <w:rPr>
          <w:rFonts w:ascii="Times New Roman" w:hAnsi="Times New Roman" w:cs="Times New Roman"/>
          <w:bCs/>
          <w:sz w:val="24"/>
          <w:lang w:eastAsia="zh-CN"/>
        </w:rPr>
        <w:t>、基金份额发售面值</w:t>
      </w:r>
      <w:bookmarkEnd w:id="76"/>
      <w:r>
        <w:rPr>
          <w:rFonts w:ascii="Times New Roman" w:hAnsi="Times New Roman" w:cs="Times New Roman"/>
          <w:bCs/>
          <w:sz w:val="24"/>
          <w:lang w:eastAsia="zh-CN"/>
        </w:rPr>
        <w:t>和认购费用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本基金基金份额发售面值为人民币1.00元。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本基金C类基金份额不收取认购费，A类基金份额的认购费率按招募说明书及基金产品资料概要的规定执行。</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bookmarkStart w:id="77" w:name="_Toc79392578"/>
      <w:r>
        <w:rPr>
          <w:rFonts w:hint="eastAsia" w:ascii="Times New Roman" w:hAnsi="Times New Roman" w:cs="Times New Roman"/>
          <w:bCs/>
          <w:sz w:val="24"/>
          <w:lang w:eastAsia="zh-CN"/>
        </w:rPr>
        <w:t>七</w:t>
      </w:r>
      <w:r>
        <w:rPr>
          <w:rFonts w:ascii="Times New Roman" w:hAnsi="Times New Roman" w:cs="Times New Roman"/>
          <w:bCs/>
          <w:sz w:val="24"/>
          <w:lang w:eastAsia="zh-CN"/>
        </w:rPr>
        <w:t>、基金存续期限</w:t>
      </w:r>
      <w:bookmarkEnd w:id="77"/>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不定期</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八</w:t>
      </w:r>
      <w:r>
        <w:rPr>
          <w:rFonts w:ascii="Times New Roman" w:hAnsi="Times New Roman" w:cs="Times New Roman"/>
          <w:bCs/>
          <w:sz w:val="24"/>
          <w:lang w:eastAsia="zh-CN"/>
        </w:rPr>
        <w:t>、基金份额的类别</w:t>
      </w:r>
    </w:p>
    <w:p>
      <w:pPr>
        <w:snapToGrid w:val="0"/>
        <w:spacing w:after="0" w:line="360" w:lineRule="auto"/>
        <w:ind w:firstLine="480"/>
        <w:rPr>
          <w:bCs/>
          <w:sz w:val="24"/>
          <w:lang w:eastAsia="zh-CN"/>
        </w:rPr>
      </w:pPr>
      <w:r>
        <w:rPr>
          <w:rFonts w:hint="eastAsia"/>
          <w:bCs/>
          <w:sz w:val="24"/>
          <w:lang w:eastAsia="zh-CN"/>
        </w:rPr>
        <w:t>本基金根据是否收取认购/申购费和销售服务费，将基金份额分为不同的类别。在投资者通过直销机构以外的其他销售机构认购或申购时收取认购费或申购费，但不从本类别基金资产中计提销售服务费的，称为A类基金份额，投资者通过直销机构认购或申购A类基金份额时不收取认购费或申购费；在投资者认购或申购时不收取认购费或申购费，而从直销机构以外的其他销售机构保有的本类别基金资产中计提销售服务费的，称为C类基金份额；其中，对于投资者通过直销机构认购或申购的C类基金份额，计提的销售服务费将在投资者赎回相应基金份额或基金合同终止时随赎回款或清算款一并返还给投资者，对于投资者通过其他销售机构认购或申购且持续持有期限超过一年的C类基金份额，超过一年继续计提的销售服务费将在投资者赎回相应基金份额或基金合同终止时随赎回款或清算款一并返还给投资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本基金A类基金份额和C类基金份额分别设置代码。由于基金费用的不同，本基金A类基金份额和C类基金份额将分别计算并公告基金份额净值。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投资者可自行选择认购、申购的基金份额类别。</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前基金管理人需及时公告。</w:t>
      </w: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sz w:val="21"/>
          <w:lang w:eastAsia="zh-CN"/>
        </w:rPr>
        <w:br w:type="page"/>
      </w:r>
      <w:bookmarkStart w:id="78" w:name="_Toc27226"/>
      <w:bookmarkStart w:id="79" w:name="_Toc16265"/>
      <w:bookmarkStart w:id="80" w:name="_Toc29784"/>
      <w:bookmarkStart w:id="81" w:name="_Toc15203"/>
      <w:bookmarkStart w:id="82" w:name="_Toc6714"/>
      <w:bookmarkStart w:id="83" w:name="_Toc29948"/>
      <w:bookmarkStart w:id="84" w:name="_Toc30824"/>
      <w:bookmarkStart w:id="85" w:name="_Toc22074"/>
      <w:bookmarkStart w:id="86" w:name="_Toc27189"/>
      <w:bookmarkStart w:id="87" w:name="_Toc3266"/>
      <w:bookmarkStart w:id="88" w:name="_Toc90742321"/>
      <w:bookmarkStart w:id="89" w:name="_Toc481653675"/>
      <w:bookmarkStart w:id="90" w:name="_Toc90742390"/>
      <w:bookmarkStart w:id="91" w:name="_Toc90742688"/>
      <w:bookmarkStart w:id="92" w:name="_Toc97040604"/>
      <w:bookmarkStart w:id="93" w:name="_Toc7151"/>
      <w:r>
        <w:rPr>
          <w:rFonts w:ascii="Times New Roman" w:hAnsi="Times New Roman" w:cs="Times New Roman"/>
          <w:color w:val="auto"/>
          <w:sz w:val="30"/>
          <w:lang w:eastAsia="zh-CN"/>
        </w:rPr>
        <w:t>第四部分 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napToGrid w:val="0"/>
        <w:spacing w:after="0" w:line="360" w:lineRule="auto"/>
        <w:ind w:firstLine="420"/>
        <w:rPr>
          <w:rFonts w:ascii="Times New Roman" w:hAnsi="Times New Roman" w:cs="Times New Roman"/>
          <w:bCs/>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一、基金份额的发售时间、发售方式、发售对象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1、发售时间</w:t>
      </w:r>
    </w:p>
    <w:p>
      <w:pPr>
        <w:snapToGrid w:val="0"/>
        <w:spacing w:after="0" w:line="360" w:lineRule="auto"/>
        <w:ind w:firstLine="480"/>
        <w:rPr>
          <w:rFonts w:ascii="Times New Roman" w:hAnsi="Times New Roman" w:cs="Times New Roman"/>
          <w:bCs/>
          <w:lang w:eastAsia="zh-CN"/>
        </w:rPr>
      </w:pPr>
      <w:r>
        <w:rPr>
          <w:rFonts w:ascii="Times New Roman" w:hAnsi="Times New Roman" w:cs="Times New Roman"/>
          <w:bCs/>
          <w:sz w:val="24"/>
          <w:lang w:eastAsia="zh-CN"/>
        </w:rPr>
        <w:t>自基金份额发售之日起最长不得超过3个月，具体发售时间见基金份额发售公告。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2、发售方式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通过各销售机构的基金销售网点公开发售，各销售机构的具体名单见基金管理人披露的基金销售机构名录。</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3、发售对象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符合法律法规规定的可投资于证券投资基金的个人投资者、机构投资者、合格境外投资者以及法律法规或中国证监会允许购买证券投资基金的其他投资人。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二、基金份额的认购</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1、认购费用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本基金A类基金份额的认购费率由基金管理人决定，并在招募说明书及基金产品资料概要中列示。基金认购费用不列入基金财产。C类基金份额不收取认购费用。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2、募集期利息的处理方式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有效认购款项在募集期间产生的利息将折算为基金份额归基金份额持有人所有，其中利息转份额的具体数额以登记机构的记录为准。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3、基金认购份额的计算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基金认购份额具体的计算方法在招募说明书中列示。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4、认购份额余额的处理方式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认购份额</w:t>
      </w:r>
      <w:bookmarkStart w:id="94" w:name="OLE_LINK1"/>
      <w:r>
        <w:rPr>
          <w:rFonts w:ascii="Times New Roman" w:hAnsi="Times New Roman" w:cs="Times New Roman"/>
          <w:bCs/>
          <w:sz w:val="24"/>
          <w:lang w:eastAsia="zh-CN"/>
        </w:rPr>
        <w:t>的计算</w:t>
      </w:r>
      <w:bookmarkEnd w:id="94"/>
      <w:r>
        <w:rPr>
          <w:rFonts w:ascii="Times New Roman" w:hAnsi="Times New Roman" w:cs="Times New Roman"/>
          <w:bCs/>
          <w:sz w:val="24"/>
          <w:lang w:eastAsia="zh-CN"/>
        </w:rPr>
        <w:t>保留到小数点后2位，小数点2位以后的部分四舍五入，由此误差产生的收益或损失由基金财产承担。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5、认购申请的确认</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sz w:val="24"/>
          <w:lang w:eastAsia="zh-CN"/>
        </w:rPr>
        <w:t>销售机构对认购申请的受理并不代表该申请一定成功，而仅代表销售机构确实接收到认购申请。认购的确认以登记机构的确认结果为准。</w:t>
      </w:r>
      <w:r>
        <w:rPr>
          <w:rFonts w:ascii="Times New Roman" w:hAnsi="Times New Roman" w:cs="Times New Roman"/>
          <w:bCs/>
          <w:sz w:val="24"/>
          <w:lang w:eastAsia="zh-CN"/>
        </w:rPr>
        <w:t>对于认购申请及认购份额的确认情况，投资人应及时查询并妥善行使合法权利。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三、基金份额认购金额的限制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1、投资人认购时，需按销售机构规定的方式全额缴款。基金投资者在募集期内可多次认购，认购一经受理不得撤销。</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2、基金管理人可以对每个基金交易账户的单笔最低认购金额进行限制，具体限制请参看招募说明书或相关公告。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3、基金管理人可以对募集期间的单个投资人的累计认购金额进行限制，具体限制和处理方法请参看招募说明书或相关公告。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sz w:val="21"/>
          <w:lang w:eastAsia="zh-CN"/>
        </w:rPr>
        <w:br w:type="page"/>
      </w:r>
      <w:bookmarkStart w:id="95" w:name="_Toc1823"/>
      <w:bookmarkStart w:id="96" w:name="_Toc18526"/>
      <w:bookmarkStart w:id="97" w:name="_Toc18797"/>
      <w:bookmarkStart w:id="98" w:name="_Toc141703885"/>
      <w:bookmarkStart w:id="99" w:name="_Toc14893"/>
      <w:bookmarkStart w:id="100" w:name="_Toc139991735"/>
      <w:bookmarkStart w:id="101" w:name="_Toc2544"/>
      <w:bookmarkStart w:id="102" w:name="_Toc481653676"/>
      <w:bookmarkStart w:id="103" w:name="_Toc4741"/>
      <w:bookmarkStart w:id="104" w:name="_Toc18329"/>
      <w:bookmarkStart w:id="105" w:name="_Toc21988"/>
      <w:bookmarkStart w:id="106" w:name="_Toc26986"/>
      <w:bookmarkStart w:id="107" w:name="_Toc97040605"/>
      <w:bookmarkStart w:id="108" w:name="_Toc7848"/>
      <w:bookmarkStart w:id="109" w:name="_Toc17912"/>
      <w:r>
        <w:rPr>
          <w:rFonts w:ascii="Times New Roman" w:hAnsi="Times New Roman" w:cs="Times New Roman"/>
          <w:color w:val="auto"/>
          <w:sz w:val="30"/>
          <w:lang w:eastAsia="zh-CN"/>
        </w:rPr>
        <w:t>第五部分 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snapToGrid w:val="0"/>
        <w:spacing w:after="0" w:line="360" w:lineRule="auto"/>
        <w:ind w:firstLine="54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一、基金备案的条件</w:t>
      </w:r>
    </w:p>
    <w:p>
      <w:pPr>
        <w:spacing w:line="360" w:lineRule="auto"/>
        <w:ind w:firstLine="480" w:firstLineChars="200"/>
        <w:rPr>
          <w:bCs/>
          <w:sz w:val="24"/>
          <w:lang w:eastAsia="zh-CN"/>
        </w:rPr>
      </w:pPr>
      <w:r>
        <w:rPr>
          <w:bCs/>
          <w:sz w:val="24"/>
          <w:lang w:eastAsia="zh-CN"/>
        </w:rPr>
        <w:t>本基金自基金份额发售之日起</w:t>
      </w:r>
      <w:r>
        <w:rPr>
          <w:rFonts w:hint="eastAsia"/>
          <w:bCs/>
          <w:sz w:val="24"/>
          <w:lang w:eastAsia="zh-CN"/>
        </w:rPr>
        <w:t>3</w:t>
      </w:r>
      <w:r>
        <w:rPr>
          <w:bCs/>
          <w:sz w:val="24"/>
          <w:lang w:eastAsia="zh-CN"/>
        </w:rPr>
        <w:t>个月内，在基金募集份额总额不少于</w:t>
      </w:r>
      <w:r>
        <w:rPr>
          <w:rFonts w:hint="eastAsia"/>
          <w:bCs/>
          <w:sz w:val="24"/>
          <w:lang w:eastAsia="zh-CN"/>
        </w:rPr>
        <w:t>2</w:t>
      </w:r>
      <w:r>
        <w:rPr>
          <w:bCs/>
          <w:sz w:val="24"/>
          <w:lang w:eastAsia="zh-CN"/>
        </w:rPr>
        <w:t>亿份，基金募集金额不少于</w:t>
      </w:r>
      <w:r>
        <w:rPr>
          <w:rFonts w:hint="eastAsia"/>
          <w:bCs/>
          <w:sz w:val="24"/>
          <w:lang w:eastAsia="zh-CN"/>
        </w:rPr>
        <w:t>2</w:t>
      </w:r>
      <w:r>
        <w:rPr>
          <w:bCs/>
          <w:sz w:val="24"/>
          <w:lang w:eastAsia="zh-CN"/>
        </w:rPr>
        <w:t>亿元人民币且基金认购人数不少于</w:t>
      </w:r>
      <w:r>
        <w:rPr>
          <w:rFonts w:hint="eastAsia"/>
          <w:bCs/>
          <w:sz w:val="24"/>
          <w:lang w:eastAsia="zh-CN"/>
        </w:rPr>
        <w:t>200</w:t>
      </w:r>
      <w:r>
        <w:rPr>
          <w:bCs/>
          <w:sz w:val="24"/>
          <w:lang w:eastAsia="zh-CN"/>
        </w:rPr>
        <w:t>人的条件下，</w:t>
      </w:r>
      <w:r>
        <w:rPr>
          <w:rFonts w:hint="eastAsia"/>
          <w:bCs/>
          <w:sz w:val="24"/>
          <w:lang w:eastAsia="zh-CN"/>
        </w:rPr>
        <w:t>基金募集期届满或</w:t>
      </w:r>
      <w:r>
        <w:rPr>
          <w:bCs/>
          <w:sz w:val="24"/>
          <w:lang w:eastAsia="zh-CN"/>
        </w:rPr>
        <w:t>基金管理人依据法律法规及招募说明书可以决定停止基金发售，并在</w:t>
      </w:r>
      <w:r>
        <w:rPr>
          <w:rFonts w:hint="eastAsia"/>
          <w:bCs/>
          <w:sz w:val="24"/>
          <w:lang w:eastAsia="zh-CN"/>
        </w:rPr>
        <w:t>10</w:t>
      </w:r>
      <w:r>
        <w:rPr>
          <w:bCs/>
          <w:sz w:val="24"/>
          <w:lang w:eastAsia="zh-CN"/>
        </w:rPr>
        <w:t>日内聘请法定验资机构验资，自收到验资报告之日起</w:t>
      </w:r>
      <w:r>
        <w:rPr>
          <w:rFonts w:hint="eastAsia"/>
          <w:bCs/>
          <w:sz w:val="24"/>
          <w:lang w:eastAsia="zh-CN"/>
        </w:rPr>
        <w:t>10</w:t>
      </w:r>
      <w:r>
        <w:rPr>
          <w:bCs/>
          <w:sz w:val="24"/>
          <w:lang w:eastAsia="zh-CN"/>
        </w:rPr>
        <w:t>日内，向中国证监会办理基金备案手续。</w:t>
      </w:r>
    </w:p>
    <w:p>
      <w:pPr>
        <w:snapToGrid w:val="0"/>
        <w:spacing w:after="0" w:line="360" w:lineRule="auto"/>
        <w:ind w:firstLine="480"/>
        <w:jc w:val="left"/>
        <w:rPr>
          <w:rFonts w:ascii="Times New Roman" w:hAnsi="Times New Roman" w:cs="Times New Roman"/>
          <w:bCs/>
          <w:sz w:val="24"/>
          <w:lang w:eastAsia="zh-CN"/>
        </w:rPr>
      </w:pPr>
      <w:r>
        <w:rPr>
          <w:rFonts w:ascii="Times New Roman" w:hAnsi="Times New Roman" w:cs="Times New Roman"/>
          <w:bCs/>
          <w:sz w:val="24"/>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二、基金合同不能生效时募集资金的处理方式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如果募集期限届满，未满足基金备案条件，基金管理人应当承担下列责任：</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1、以其固有财产承担因募集行为而产生的债务和费用；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2、在基金募集期限届满后30日内返还投资者已</w:t>
      </w:r>
      <w:r>
        <w:rPr>
          <w:rFonts w:hint="eastAsia" w:ascii="Times New Roman" w:hAnsi="Times New Roman" w:cs="Times New Roman"/>
          <w:bCs/>
          <w:sz w:val="24"/>
          <w:lang w:eastAsia="zh-CN"/>
        </w:rPr>
        <w:t>交</w:t>
      </w:r>
      <w:r>
        <w:rPr>
          <w:rFonts w:ascii="Times New Roman" w:hAnsi="Times New Roman" w:cs="Times New Roman"/>
          <w:bCs/>
          <w:sz w:val="24"/>
          <w:lang w:eastAsia="zh-CN"/>
        </w:rPr>
        <w:t>纳的款项，并加计银行同期活期存款利息（税后）；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3、如基金募集失败，基金管理人、基金托管人及销售机构不得请求报酬。基金管理人、基金托管人和销售机构为基金募集支付之一切费用应由各方各自承担。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三、基金存续期内的基金份额持有人数量和资产规模</w:t>
      </w:r>
    </w:p>
    <w:p>
      <w:pPr>
        <w:snapToGrid w:val="0"/>
        <w:spacing w:after="0" w:line="360" w:lineRule="auto"/>
        <w:ind w:firstLine="480"/>
        <w:rPr>
          <w:rFonts w:ascii="Times New Roman" w:hAnsi="Times New Roman" w:cs="Times New Roman"/>
          <w:bCs/>
          <w:sz w:val="24"/>
          <w:lang w:eastAsia="zh-CN"/>
        </w:rPr>
      </w:pPr>
      <w:r>
        <w:rPr>
          <w:rFonts w:hint="eastAsia"/>
          <w:bCs/>
          <w:sz w:val="24"/>
          <w:lang w:eastAsia="zh-CN"/>
        </w:rPr>
        <w:t>《基金合同》生效后，</w:t>
      </w:r>
      <w:r>
        <w:rPr>
          <w:rFonts w:ascii="Times New Roman" w:hAnsi="Times New Roman" w:cs="Times New Roman"/>
          <w:bCs/>
          <w:sz w:val="24"/>
          <w:lang w:eastAsia="zh-CN"/>
        </w:rPr>
        <w:t>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法律法规或中国证监会另有规定时，从其规定。</w:t>
      </w:r>
    </w:p>
    <w:p>
      <w:pPr>
        <w:widowControl/>
        <w:spacing w:after="0" w:line="240" w:lineRule="auto"/>
        <w:jc w:val="left"/>
        <w:rPr>
          <w:rFonts w:ascii="Times New Roman" w:hAnsi="Times New Roman" w:cs="Times New Roman"/>
          <w:bCs/>
          <w:sz w:val="24"/>
          <w:lang w:eastAsia="zh-CN"/>
        </w:rPr>
      </w:pPr>
      <w:r>
        <w:rPr>
          <w:rFonts w:ascii="Times New Roman" w:hAnsi="Times New Roman" w:cs="Times New Roman"/>
          <w:bCs/>
          <w:sz w:val="24"/>
          <w:lang w:eastAsia="zh-CN"/>
        </w:rPr>
        <w:br w:type="page"/>
      </w:r>
    </w:p>
    <w:p>
      <w:pPr>
        <w:snapToGrid w:val="0"/>
        <w:spacing w:after="0" w:line="360" w:lineRule="auto"/>
        <w:ind w:firstLine="480"/>
        <w:rPr>
          <w:rFonts w:ascii="Times New Roman" w:hAnsi="Times New Roman" w:cs="Times New Roman"/>
          <w:bCs/>
          <w:sz w:val="24"/>
          <w:lang w:eastAsia="zh-CN"/>
        </w:rPr>
      </w:pPr>
    </w:p>
    <w:p>
      <w:pPr>
        <w:pStyle w:val="2"/>
        <w:snapToGrid w:val="0"/>
        <w:spacing w:before="0" w:after="0"/>
        <w:jc w:val="center"/>
        <w:rPr>
          <w:rFonts w:ascii="Times New Roman" w:hAnsi="Times New Roman" w:cs="Times New Roman"/>
          <w:color w:val="auto"/>
          <w:sz w:val="30"/>
          <w:lang w:eastAsia="zh-CN"/>
        </w:rPr>
      </w:pPr>
      <w:bookmarkStart w:id="110" w:name="_Toc139991736"/>
      <w:bookmarkStart w:id="111" w:name="_Toc98560352"/>
      <w:bookmarkStart w:id="112" w:name="_Toc1270"/>
      <w:bookmarkStart w:id="113" w:name="_Toc23822"/>
      <w:bookmarkStart w:id="114" w:name="_Toc25645"/>
      <w:bookmarkStart w:id="115" w:name="_Toc123051452"/>
      <w:bookmarkStart w:id="116" w:name="_Toc123112234"/>
      <w:bookmarkStart w:id="117" w:name="_Toc23261"/>
      <w:bookmarkStart w:id="118" w:name="_Toc141703886"/>
      <w:bookmarkStart w:id="119" w:name="_Toc481653677"/>
      <w:bookmarkStart w:id="120" w:name="_Toc123102453"/>
      <w:bookmarkStart w:id="121" w:name="_Toc610"/>
      <w:bookmarkStart w:id="122" w:name="_Toc10463"/>
      <w:bookmarkStart w:id="123" w:name="_Toc20733"/>
      <w:bookmarkStart w:id="124" w:name="_Toc1427"/>
      <w:bookmarkStart w:id="125" w:name="_Toc17244"/>
      <w:bookmarkStart w:id="126" w:name="_Toc48649707"/>
      <w:bookmarkStart w:id="127" w:name="_Toc97040606"/>
      <w:bookmarkStart w:id="128" w:name="_Toc79392606"/>
      <w:bookmarkStart w:id="129" w:name="_Toc7920"/>
      <w:bookmarkStart w:id="130" w:name="_Toc4003"/>
      <w:r>
        <w:rPr>
          <w:rFonts w:ascii="Times New Roman" w:hAnsi="Times New Roman" w:cs="Times New Roman"/>
          <w:color w:val="auto"/>
          <w:sz w:val="30"/>
          <w:lang w:eastAsia="zh-CN"/>
        </w:rPr>
        <w:t>第六部分 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一、申购和赎回场所</w:t>
      </w:r>
    </w:p>
    <w:p>
      <w:pPr>
        <w:snapToGrid w:val="0"/>
        <w:spacing w:after="0" w:line="360" w:lineRule="auto"/>
        <w:ind w:firstLine="480"/>
        <w:rPr>
          <w:rFonts w:ascii="Times New Roman" w:hAnsi="Times New Roman" w:cs="Times New Roman"/>
          <w:bCs/>
          <w:lang w:eastAsia="zh-CN"/>
        </w:rPr>
      </w:pPr>
      <w:r>
        <w:rPr>
          <w:rFonts w:ascii="Times New Roman" w:hAnsi="Times New Roman" w:cs="Times New Roman"/>
          <w:bCs/>
          <w:sz w:val="24"/>
          <w:lang w:eastAsia="zh-CN"/>
        </w:rPr>
        <w:t>本基金的申购与赎回将通过销售机构进行。销售机构的具体信息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二、申购和赎回的开放日及时间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1、开放日及开放时间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投资人在开放日办理基金份额的申购</w:t>
      </w:r>
      <w:r>
        <w:rPr>
          <w:rFonts w:hint="eastAsia" w:ascii="Times New Roman" w:hAnsi="Times New Roman" w:cs="Times New Roman"/>
          <w:bCs/>
          <w:sz w:val="24"/>
          <w:lang w:eastAsia="zh-CN"/>
        </w:rPr>
        <w:t>和赎回</w:t>
      </w:r>
      <w:r>
        <w:rPr>
          <w:rFonts w:ascii="Times New Roman" w:hAnsi="Times New Roman" w:cs="Times New Roman"/>
          <w:bCs/>
          <w:sz w:val="24"/>
          <w:lang w:eastAsia="zh-CN"/>
        </w:rPr>
        <w:t>，具体办理时间为上海证券交易所、深圳证券交易所的正常交易日的交易时间（若本基金参与港股通交易且该交易日为非港股通交易日，则本基金有权不开放申购、赎回，并按规定进行公告），但基金管理人根据法律法规、中国证监会的要求或本基金合同的规定公告暂停申购、赎回时除外。</w:t>
      </w:r>
      <w:r>
        <w:rPr>
          <w:rFonts w:hint="eastAsia" w:ascii="Times New Roman" w:hAnsi="Times New Roman" w:cs="Times New Roman"/>
          <w:bCs/>
          <w:sz w:val="24"/>
          <w:lang w:eastAsia="zh-CN"/>
        </w:rPr>
        <w:t>开放日的具体业务办理时间以销售机构规定的时间为准。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基金合同生效后，若出现新的证券/期货交易市场、证券/期货交易所交易时间变更或其他特殊情况</w:t>
      </w:r>
      <w:r>
        <w:rPr>
          <w:rFonts w:hint="eastAsia" w:ascii="Times New Roman" w:hAnsi="Times New Roman" w:cs="Times New Roman"/>
          <w:bCs/>
          <w:sz w:val="24"/>
          <w:lang w:eastAsia="zh-CN"/>
        </w:rPr>
        <w:t>或根据业务需要</w:t>
      </w:r>
      <w:r>
        <w:rPr>
          <w:rFonts w:ascii="Times New Roman" w:hAnsi="Times New Roman" w:cs="Times New Roman"/>
          <w:bCs/>
          <w:sz w:val="24"/>
          <w:lang w:eastAsia="zh-CN"/>
        </w:rPr>
        <w:t>，基金管理人将视情况对前述开放日及开放时间进行相应的调整，但应在实施日前依照《信息披露办法》的有关规定在规定媒介上公告。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2、申购、赎回开始日及业务办理时间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基金管理人可根据实际情况依法决定本基金开始办理申购的具体日期，具体业务办理时间在申购开始公告中规定。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基金管理人自基金合同生效之日起不超过3个月开始办理赎回，具体业务办理时间在赎回开始公告中规定。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在确定申购开始与赎回开始时间后，基金管理人应在申购、赎回开放日前依照《信息披露办法》的有关规定在规定媒介上公告申购与赎回的开始时间。</w:t>
      </w:r>
    </w:p>
    <w:p>
      <w:pPr>
        <w:snapToGrid w:val="0"/>
        <w:spacing w:after="0" w:line="360" w:lineRule="auto"/>
        <w:ind w:firstLine="480"/>
        <w:rPr>
          <w:rFonts w:ascii="Times New Roman" w:hAnsi="Times New Roman" w:cs="Times New Roman"/>
          <w:bCs/>
          <w:lang w:eastAsia="zh-CN"/>
        </w:rPr>
      </w:pPr>
      <w:r>
        <w:rPr>
          <w:rFonts w:ascii="Times New Roman" w:hAnsi="Times New Roman" w:cs="Times New Roman"/>
          <w:bCs/>
          <w:sz w:val="24"/>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别基金份额申购、赎回的价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三、申购与赎回的原则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1、“未知价”原则，即申购、赎回价格以申请当日收市后计算的该类基金份额净值为基准进行计算；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2、“金额申购、份额赎回”原则，即申购以金额申请，赎回以份额申请；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3、当日的申购与赎回申请可以在基金管理人规定的时间以内撤销；</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4、赎回遵循“先进先出”原则，即按照投资人认购、申购的先后次序进行顺序赎回；</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bCs/>
          <w:sz w:val="24"/>
          <w:lang w:eastAsia="zh-CN"/>
        </w:rPr>
        <w:t>5、办理申购、赎回业务时，应当遵循基金份额持有人利益优先原则</w:t>
      </w:r>
      <w:r>
        <w:rPr>
          <w:rFonts w:ascii="Times New Roman" w:hAnsi="Times New Roman" w:cs="Times New Roman"/>
          <w:sz w:val="24"/>
          <w:lang w:eastAsia="zh-CN"/>
        </w:rPr>
        <w:t>，确保投资者的合法权益不受损害并得到公平对待</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6、投资者办理申购、赎回等业务时应提交的文件和办理手续、办理时间、处理规则等在遵守基金合同和招募说明书规定的前提下，以各销售机构的具体规定为准。</w:t>
      </w:r>
    </w:p>
    <w:p>
      <w:pPr>
        <w:snapToGrid w:val="0"/>
        <w:spacing w:after="0" w:line="360" w:lineRule="auto"/>
        <w:ind w:firstLine="480"/>
        <w:rPr>
          <w:rFonts w:ascii="Times New Roman" w:hAnsi="Times New Roman" w:cs="Times New Roman"/>
          <w:bCs/>
          <w:lang w:eastAsia="zh-CN"/>
        </w:rPr>
      </w:pPr>
      <w:r>
        <w:rPr>
          <w:rFonts w:ascii="Times New Roman" w:hAnsi="Times New Roman" w:cs="Times New Roman"/>
          <w:bCs/>
          <w:sz w:val="24"/>
          <w:lang w:eastAsia="zh-CN"/>
        </w:rPr>
        <w:t>基金管理人可在不违反法律法规</w:t>
      </w:r>
      <w:r>
        <w:rPr>
          <w:rFonts w:hint="eastAsia" w:ascii="Times New Roman" w:hAnsi="Times New Roman" w:cs="Times New Roman"/>
          <w:bCs/>
          <w:sz w:val="24"/>
          <w:lang w:eastAsia="zh-CN"/>
        </w:rPr>
        <w:t>规定</w:t>
      </w:r>
      <w:r>
        <w:rPr>
          <w:rFonts w:ascii="Times New Roman" w:hAnsi="Times New Roman" w:cs="Times New Roman"/>
          <w:bCs/>
          <w:sz w:val="24"/>
          <w:lang w:eastAsia="zh-CN"/>
        </w:rPr>
        <w:t>，且对基金份额持有人利益无实质性不利影响的情况下，对上述原则进行调整。基金管理人必须在新规则开始实施前依照《信息披露办法》的有关规定在规定媒介上公告。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四、申购与赎回的程序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1、申购和赎回的申请方式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投资人必须根据销售机构规定的程序，在开放日的具体业务办理时间内提出申购或赎回的申请。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2、申购和赎回的款项支付</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val="zh-CN" w:eastAsia="zh-CN"/>
        </w:rPr>
        <w:t>投资人申购基金份额时，必须全额交付申购款项，投资人交付申购款项，申购成立</w:t>
      </w:r>
      <w:r>
        <w:rPr>
          <w:rFonts w:ascii="Times New Roman" w:hAnsi="Times New Roman" w:cs="Times New Roman"/>
          <w:sz w:val="24"/>
          <w:lang w:eastAsia="zh-CN"/>
        </w:rPr>
        <w:t>；基金份额登记机构确认基金份额时，申购生效</w:t>
      </w:r>
      <w:r>
        <w:rPr>
          <w:rFonts w:ascii="Times New Roman" w:hAnsi="Times New Roman" w:cs="Times New Roman"/>
          <w:bCs/>
          <w:sz w:val="24"/>
          <w:lang w:val="zh-CN"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递交赎回申请，赎回成立；基金份额登记机构确认赎回时，赎回生效。投资者赎回申请生效后，基金管理人将在T＋7日(包括该日)内支付赎回款项。如遇交易所或交易市场数据传输延迟、通讯系统故障、银行数据交换系统故障、港股通交易系统故障或港股通资金交收规则限制或其它非基金管理人及基金托管人所能控制的因素影响业务处理流程，则赎回款项的支付时间可相应顺延至影响因素消除的下一工作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在发生巨额赎回或本基金合同载明的其他暂停赎回或延缓支付赎回款项的情形时，款项的支付办法参照本基金合同有关条款处理。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3、申购和赎回申请的确认</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机构柜台或以销售机构规定的其他方式查询申请的确认情况。若申购不成</w:t>
      </w:r>
      <w:r>
        <w:rPr>
          <w:rFonts w:hint="eastAsia" w:ascii="Times New Roman" w:hAnsi="Times New Roman" w:cs="Times New Roman"/>
          <w:bCs/>
          <w:sz w:val="24"/>
          <w:lang w:eastAsia="zh-CN"/>
        </w:rPr>
        <w:t>立</w:t>
      </w:r>
      <w:r>
        <w:rPr>
          <w:rFonts w:ascii="Times New Roman" w:hAnsi="Times New Roman" w:cs="Times New Roman"/>
          <w:bCs/>
          <w:sz w:val="24"/>
          <w:lang w:eastAsia="zh-CN"/>
        </w:rPr>
        <w:t>或无效，则申购款项退还给投资人。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4、</w:t>
      </w:r>
      <w:r>
        <w:rPr>
          <w:rFonts w:ascii="Times New Roman" w:hAnsi="Times New Roman" w:cs="Times New Roman"/>
          <w:bCs/>
          <w:sz w:val="24"/>
          <w:lang w:val="zh-CN" w:eastAsia="zh-CN"/>
        </w:rPr>
        <w:t>基金管理人可以在不违反法律法规和基金合同</w:t>
      </w:r>
      <w:r>
        <w:rPr>
          <w:rFonts w:hint="eastAsia" w:ascii="Times New Roman" w:hAnsi="Times New Roman" w:cs="Times New Roman"/>
          <w:bCs/>
          <w:sz w:val="24"/>
          <w:lang w:val="zh-CN" w:eastAsia="zh-CN"/>
        </w:rPr>
        <w:t>规定</w:t>
      </w:r>
      <w:r>
        <w:rPr>
          <w:rFonts w:ascii="Times New Roman" w:hAnsi="Times New Roman" w:cs="Times New Roman"/>
          <w:bCs/>
          <w:sz w:val="24"/>
          <w:lang w:val="zh-CN" w:eastAsia="zh-CN"/>
        </w:rPr>
        <w:t>的范围内，对上述业务办理时间进行调整，并在调整实施前依照《信息披露办法》的有关规定在规定媒介上公告。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五、申购和赎回的数量限制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1、基金管理人可以规定投资人首次申购和每次申购的最低金额以及每次赎回的最低份额，具体规定请参见招募说明书或相关公告。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2、基金管理人可以规定投资人每个基金交易账户的最低基金份额余额，具体规定请参见招募说明书或相关公告。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3、基金管理人可以规定单个投资人累计持有的基金份额上限，具体规定请参见招募说明书或相关公告。</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bCs/>
          <w:sz w:val="24"/>
          <w:lang w:eastAsia="zh-CN"/>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5、基金管理人可在不违反法律法规</w:t>
      </w:r>
      <w:r>
        <w:rPr>
          <w:rFonts w:hint="eastAsia" w:ascii="Times New Roman" w:hAnsi="Times New Roman" w:cs="Times New Roman"/>
          <w:bCs/>
          <w:sz w:val="24"/>
          <w:lang w:eastAsia="zh-CN"/>
        </w:rPr>
        <w:t>规定</w:t>
      </w:r>
      <w:r>
        <w:rPr>
          <w:rFonts w:ascii="Times New Roman" w:hAnsi="Times New Roman" w:cs="Times New Roman"/>
          <w:bCs/>
          <w:sz w:val="24"/>
          <w:lang w:eastAsia="zh-CN"/>
        </w:rPr>
        <w:t>的情况下，调整上述规定申购金额和赎回份额的数量限制，或新增基金规模控制措施。基金管理人必须在调整实施前依照《信息披露办法》的有关规定在规定媒介上公告。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六、申购和赎回的价格、费用及其用途</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1、本基金A类基金份额和C类基金份额分别设置基金代码，并分别</w:t>
      </w:r>
      <w:r>
        <w:rPr>
          <w:rFonts w:hint="eastAsia" w:ascii="Times New Roman" w:hAnsi="Times New Roman" w:cs="Times New Roman"/>
          <w:bCs/>
          <w:sz w:val="24"/>
          <w:lang w:eastAsia="zh-CN"/>
        </w:rPr>
        <w:t>计算和</w:t>
      </w:r>
      <w:r>
        <w:rPr>
          <w:rFonts w:ascii="Times New Roman" w:hAnsi="Times New Roman" w:cs="Times New Roman"/>
          <w:bCs/>
          <w:sz w:val="24"/>
          <w:lang w:eastAsia="zh-CN"/>
        </w:rPr>
        <w:t>公布基金份额净值。本基金各类基金份额净值的计算，均保留到小数点后4位，小数点后第5位四舍五入，由此产生的收益或损失由基金财产承担。T日的各类基金份额净值在当天收市后计算，并按基金合同的约定公告。遇特殊情况，经履行适当程序，可以适当延迟计算或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申购份额的计算及余额的处理方式：本基金申购份额的计算详见《招募说明书》。本基金A类基金份额的申购费率由基金管理人决定，并在招募说明书及基金产品资料概要中列示。本基金C类基金份额不收取申购费。申购的有效份额为净申购金额除以当日该类别基金份额净值，有效份额单位为份，上述计算结果均按四舍五入方法，保留到小数点后2位，由此产生的收益或损失由基金财产承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赎回金额的计算及处理方式：本基金赎回金额的计算详见《招募说明书》。本基金的赎回费率由基金管理人决定，并在招募说明书及基金产品资料概要中列示。赎回金额为按实际确认的有效赎回份额乘以当日该类别基金份额净值并扣除相应的费用，赎回金额单位为元。上述计算结果均按四舍五入方法，保留到小数点后2位，由此产生的收益或损失由基金财产承担。</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其中，对于投资者通过直销机构认购或申购的C类基金份额，计提的销售服务费（如有）将在投资者赎回相应基金份额时随赎回款一并返还给投资者；对于投资者通过其他销售机构认购或申购且持续持有期限超过一年的C类基金份额，超过一年继续计提的销售服务费（如有）将在投资者赎回相应基金份额时随赎回款一并返还给投资者。</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4、通过直销机构申购本基金A类基金份额不收取申购费，通过其他销售机构申购本基金A类基金份额的，申购费用由申购本基金A类基金份额的投资人承担，不列入基金财产。C类基金份额不收取申购费用。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5、赎回费用由赎回基金份额的基金份额持有人承担，在基金份额持有人赎回基金份额时收取</w:t>
      </w:r>
      <w:r>
        <w:rPr>
          <w:rFonts w:hint="eastAsia" w:ascii="Times New Roman" w:hAnsi="Times New Roman" w:cs="Times New Roman"/>
          <w:bCs/>
          <w:sz w:val="24"/>
          <w:lang w:eastAsia="zh-CN"/>
        </w:rPr>
        <w:t>，并全额计入基金财产。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基金管理人可以在不违反法律法规规定及基金合同约定且对基金份额持有人利益无实质性不利影响的情形下根据市场情况制定基金促销计划，针对基金投资者定期或不定期地开展基金促销活动。在基金促销活动期间，按相关监管部门要求履行必要手续后，基金管理人可以适当调低基金的</w:t>
      </w:r>
      <w:r>
        <w:rPr>
          <w:rFonts w:hint="eastAsia" w:ascii="Times New Roman" w:hAnsi="Times New Roman" w:cs="Times New Roman"/>
          <w:bCs/>
          <w:sz w:val="24"/>
          <w:lang w:eastAsia="zh-CN"/>
        </w:rPr>
        <w:t>申购费率、销售服务费率</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8、当本基金发生大额申购或赎回情形时，基金管理人可以采用摆动定价机制，以确保基金估值的公平性。具体处理原则与操作规范遵循相关法律法规以及监管部门、自律规则的规定。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七、拒绝或暂停申购的情形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发生下列情况时，基金管理人可拒绝或暂停接受投资人的申购申请：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1、因不可抗力导致基金无法正常运作。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2、发生基金合同规定的暂停基金资产估值情况时。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3、证券、期货交易所或外汇市场交易时间非正常停市，导致基金管理人无法计算当日基金资产净值。</w:t>
      </w:r>
    </w:p>
    <w:p>
      <w:pPr>
        <w:snapToGrid w:val="0"/>
        <w:spacing w:after="0" w:line="360" w:lineRule="auto"/>
        <w:ind w:firstLine="480"/>
        <w:rPr>
          <w:rFonts w:ascii="Times New Roman" w:hAnsi="Times New Roman" w:cs="Times New Roman"/>
          <w:bCs/>
          <w:sz w:val="24"/>
          <w:lang w:eastAsia="zh-CN"/>
        </w:rPr>
      </w:pPr>
      <w:bookmarkStart w:id="131" w:name="_Hlt70481650"/>
      <w:bookmarkEnd w:id="131"/>
      <w:r>
        <w:rPr>
          <w:rFonts w:ascii="Times New Roman" w:hAnsi="Times New Roman" w:cs="Times New Roman"/>
          <w:bCs/>
          <w:sz w:val="24"/>
          <w:lang w:eastAsia="zh-CN"/>
        </w:rPr>
        <w:t>4、接受某笔或某些申购申请可能会影响或损害现有基金份额持有人利益时。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5、基金资产规模过大，使基金管理人无法找到合适的投资品种，或其他可能对基金业绩产生负面影响，或发生其他损害现有基金份额持有人利益的情形。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6、当前一估值日基金资产净值50%以上的资产出现无可参考的活跃市场价格且采用估值技术仍导致公允价值存在重大不确定性时，经与基金托管人协商确认后，基金管理人应当暂停接受基金申购申请。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7、基金管理人接受某笔或者某些申购申请有可能导致单一投资者持有基金份额的比例达到或者超过50%，或者变相规避50%集中度的情形。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8、申请超过基金管理人设定的基金总规模、单日净申购比例上限、单个投资者单日或单笔申购金额上限的。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9、基金管理人、基金托管人、销售机构或登记机构的异常情况导致基金销售系统、</w:t>
      </w:r>
      <w:r>
        <w:rPr>
          <w:rFonts w:hint="eastAsia" w:ascii="Times New Roman" w:hAnsi="Times New Roman" w:cs="Times New Roman"/>
          <w:bCs/>
          <w:sz w:val="24"/>
          <w:lang w:eastAsia="zh-CN"/>
        </w:rPr>
        <w:t>登记结算系统、证券</w:t>
      </w:r>
      <w:r>
        <w:rPr>
          <w:rFonts w:ascii="Times New Roman" w:hAnsi="Times New Roman" w:cs="Times New Roman"/>
          <w:bCs/>
          <w:sz w:val="24"/>
          <w:lang w:eastAsia="zh-CN"/>
        </w:rPr>
        <w:t>登记系统或基金会计系统无法正常运行。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10、基金参与港股通交易且港股通交易每日额度不足。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11、法律法规规定、基金合同约定或中国证监会认定的其他情形。</w:t>
      </w:r>
    </w:p>
    <w:p>
      <w:pPr>
        <w:snapToGrid w:val="0"/>
        <w:spacing w:after="0" w:line="360" w:lineRule="auto"/>
        <w:ind w:firstLine="480"/>
        <w:rPr>
          <w:rFonts w:ascii="Times New Roman" w:hAnsi="Times New Roman" w:cs="Times New Roman"/>
          <w:bCs/>
          <w:lang w:eastAsia="zh-CN"/>
        </w:rPr>
      </w:pPr>
      <w:r>
        <w:rPr>
          <w:rFonts w:ascii="Times New Roman" w:hAnsi="Times New Roman" w:cs="Times New Roman"/>
          <w:bCs/>
          <w:sz w:val="24"/>
          <w:lang w:eastAsia="zh-CN"/>
        </w:rPr>
        <w:t>发生上述第1、2、3、5、6、9、10、11项暂停申购情形之一且基金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八、暂停赎回或延缓支付赎回款项的情形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发生下列情形时，基金管理人可暂停接受投资人的赎回申请或延缓支付赎回款项：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1、因不可抗力导致基金管理人不能支付赎回款项。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2、发生基金合同规定的暂停基金资产估值情况时。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3、证券、期货交易所或外汇市场交易时间非正常停市，导致基金管理人无法计算当日基金资产</w:t>
      </w:r>
      <w:bookmarkStart w:id="132" w:name="_Hlt152500890"/>
      <w:r>
        <w:rPr>
          <w:rFonts w:ascii="Times New Roman" w:hAnsi="Times New Roman" w:cs="Times New Roman"/>
          <w:bCs/>
          <w:sz w:val="24"/>
          <w:lang w:eastAsia="zh-CN"/>
        </w:rPr>
        <w:t>净值。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4、连续两个或两个以上开放日发生巨额赎回。</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5、发生继续接受赎回申请将损害现有基金份额持有人利益的情形时，基金管理人可暂停接受基金份额持有人的赎回申请。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bookmarkEnd w:id="132"/>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sz w:val="24"/>
          <w:lang w:eastAsia="zh-CN"/>
        </w:rPr>
        <w:t>7</w:t>
      </w:r>
      <w:r>
        <w:rPr>
          <w:rFonts w:ascii="Times New Roman" w:hAnsi="Times New Roman" w:cs="Times New Roman"/>
          <w:bCs/>
          <w:sz w:val="24"/>
          <w:lang w:eastAsia="zh-CN"/>
        </w:rPr>
        <w:t>、法律法规规定</w:t>
      </w:r>
      <w:r>
        <w:rPr>
          <w:rFonts w:hint="eastAsia" w:ascii="Times New Roman" w:hAnsi="Times New Roman" w:cs="Times New Roman"/>
          <w:bCs/>
          <w:sz w:val="24"/>
          <w:lang w:eastAsia="zh-CN"/>
        </w:rPr>
        <w:t>、基金合同约定</w:t>
      </w:r>
      <w:r>
        <w:rPr>
          <w:rFonts w:ascii="Times New Roman" w:hAnsi="Times New Roman" w:cs="Times New Roman"/>
          <w:bCs/>
          <w:sz w:val="24"/>
          <w:lang w:eastAsia="zh-CN"/>
        </w:rPr>
        <w:t>或中国证监会认定的其他情形。</w:t>
      </w:r>
    </w:p>
    <w:p>
      <w:pPr>
        <w:snapToGrid w:val="0"/>
        <w:spacing w:after="0" w:line="360" w:lineRule="auto"/>
        <w:ind w:firstLine="480"/>
        <w:rPr>
          <w:rFonts w:ascii="Times New Roman" w:hAnsi="Times New Roman" w:cs="Times New Roman"/>
          <w:bCs/>
          <w:lang w:eastAsia="zh-CN"/>
        </w:rPr>
      </w:pPr>
      <w:r>
        <w:rPr>
          <w:rFonts w:ascii="Times New Roman" w:hAnsi="Times New Roman" w:cs="Times New Roman"/>
          <w:bCs/>
          <w:sz w:val="24"/>
          <w:lang w:eastAsia="zh-CN"/>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九、巨额赎回的情形及处理方式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1、巨额赎回的认定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2、巨额赎回的处理方式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当基金出现巨额赎回时，基金管理人可以根据基金当时的资产组合状况决定全额赎回、部分延期赎回或暂停赎回。</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（1）全额赎回：当基金管理人认为有能力支付投资人的全部赎回申请时，按正常赎回程序执行。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别基金份额净值为基础计算赎回金额，以此类推，直到全部赎回为止。如投资人在提交赎回申请时未作明确选择，投资人未能赎回部分作自动延期赎回处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若本基金发生巨额赎回且单个基金份额持有人的赎回申请超过上一开放日基金总份额的10%，基金管理人有权先行对该单个基金份额持有人超出10%的赎回申请实施延期办理，即自动转入下一个开放日继续赎回，直到全部赎回为止；而对该单个基金份额持有人10%以内（含10%）的赎回申请与其他投资者的赎回申请按前述条款处理，即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具体见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3、巨额赎回的公告</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bCs/>
          <w:sz w:val="24"/>
          <w:lang w:eastAsia="zh-CN"/>
        </w:rPr>
        <w:t>当发生上述巨额赎回并延期办理时，基金管理人应当通过邮寄、传真或者招募说明书规定的其他方式在3个交易日内通知基金份额持有人，说明有关处理方法，并在2日内在规定媒介上公告。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十、暂停申购或赎回的公告和重新开放申购或赎回的公告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1、发生上述暂停申购或赎回情况的，基金管理人应在规定期限内在规定媒介上刊登暂停公告。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2、上述暂停情况消除的，基金管理人应于重新开放日公布最近1个估值日的各类基金份额净值。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十一、基金转换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十二、基金的非交易过户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按法律法规或有权机关规定的方式处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sz w:val="24"/>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十三、基金的转托管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基金份额持有人可办理已持有基金份额在不同销售机构之间的转托管，基金销售机构可以按照规定的标准收取转托管费。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十四、定期定额投资计划</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十五、基金的冻结、解冻和质押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或监管部门另有规定的除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如相关法律法规允许基金管理人办理基金份额的质押业务或其他基金业务，基金管理人将制定和实施相应的业务规则。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十六、基金份额的交易和转让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规定媒介上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十七、实施侧袋机制期间本基金的申购与赎回</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本基金实施侧袋机制的，本基金的申购和赎回安排详见招募说明书或相关公告。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八、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lang w:eastAsia="zh-CN"/>
        </w:rPr>
        <w:br w:type="page"/>
      </w:r>
      <w:bookmarkStart w:id="133" w:name="_Toc14835"/>
      <w:bookmarkStart w:id="134" w:name="_Toc29251"/>
      <w:bookmarkStart w:id="135" w:name="_Toc123102454"/>
      <w:bookmarkStart w:id="136" w:name="_Toc139991737"/>
      <w:bookmarkStart w:id="137" w:name="_Toc141703887"/>
      <w:bookmarkStart w:id="138" w:name="_Toc31644"/>
      <w:bookmarkStart w:id="139" w:name="_Toc24940"/>
      <w:bookmarkStart w:id="140" w:name="_Toc97040607"/>
      <w:bookmarkStart w:id="141" w:name="_Toc31235"/>
      <w:bookmarkStart w:id="142" w:name="_Toc3601"/>
      <w:bookmarkStart w:id="143" w:name="_Toc481653678"/>
      <w:bookmarkStart w:id="144" w:name="_Toc123051453"/>
      <w:bookmarkStart w:id="145" w:name="_Toc98560353"/>
      <w:bookmarkStart w:id="146" w:name="_Toc31653"/>
      <w:bookmarkStart w:id="147" w:name="_Toc123112235"/>
      <w:bookmarkStart w:id="148" w:name="_Toc15143"/>
      <w:bookmarkStart w:id="149" w:name="_Toc26207"/>
      <w:bookmarkStart w:id="150" w:name="_Toc6405"/>
      <w:bookmarkStart w:id="151" w:name="_Toc12245"/>
      <w:r>
        <w:rPr>
          <w:rFonts w:ascii="Times New Roman" w:hAnsi="Times New Roman" w:cs="Times New Roman"/>
          <w:color w:val="auto"/>
          <w:sz w:val="30"/>
          <w:lang w:eastAsia="zh-CN"/>
        </w:rPr>
        <w:t>第七部分 基金合同当事人及权利义务</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Start w:id="152" w:name="_Hlt55355235"/>
      <w:bookmarkEnd w:id="152"/>
      <w:bookmarkStart w:id="153" w:name="_Toc523711668"/>
      <w:bookmarkStart w:id="154" w:name="_Toc79392580"/>
      <w:bookmarkStart w:id="155" w:name="_Toc15118234"/>
      <w:bookmarkStart w:id="156" w:name="_Toc57530239"/>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w:t>
      </w:r>
      <w:bookmarkEnd w:id="153"/>
      <w:r>
        <w:rPr>
          <w:rFonts w:ascii="Times New Roman" w:hAnsi="Times New Roman" w:cs="Times New Roman"/>
          <w:bCs/>
          <w:sz w:val="24"/>
          <w:lang w:eastAsia="zh-CN"/>
        </w:rPr>
        <w:t>管理人</w:t>
      </w:r>
      <w:bookmarkEnd w:id="154"/>
      <w:bookmarkEnd w:id="155"/>
      <w:bookmarkEnd w:id="156"/>
    </w:p>
    <w:p>
      <w:pPr>
        <w:snapToGrid w:val="0"/>
        <w:spacing w:after="0" w:line="360" w:lineRule="auto"/>
        <w:ind w:firstLine="480"/>
        <w:rPr>
          <w:rFonts w:ascii="Times New Roman" w:hAnsi="Times New Roman" w:cs="Times New Roman"/>
          <w:bCs/>
          <w:sz w:val="24"/>
          <w:lang w:eastAsia="zh-CN"/>
        </w:rPr>
      </w:pPr>
      <w:bookmarkStart w:id="157" w:name="_Toc15118235"/>
      <w:r>
        <w:rPr>
          <w:rFonts w:ascii="Times New Roman" w:hAnsi="Times New Roman" w:cs="Times New Roman"/>
          <w:bCs/>
          <w:sz w:val="24"/>
          <w:lang w:eastAsia="zh-CN"/>
        </w:rPr>
        <w:t>（一）</w:t>
      </w:r>
      <w:r>
        <w:rPr>
          <w:rFonts w:ascii="Times New Roman" w:hAnsi="Times New Roman" w:cs="Times New Roman"/>
          <w:bCs/>
          <w:sz w:val="24"/>
          <w:lang w:eastAsia="zh-CN"/>
        </w:rPr>
        <w:tab/>
      </w:r>
      <w:r>
        <w:rPr>
          <w:rFonts w:ascii="Times New Roman" w:hAnsi="Times New Roman" w:cs="Times New Roman"/>
          <w:bCs/>
          <w:sz w:val="24"/>
          <w:lang w:eastAsia="zh-CN"/>
        </w:rPr>
        <w:t>基金管理人简况</w:t>
      </w:r>
      <w:bookmarkEnd w:id="157"/>
    </w:p>
    <w:p>
      <w:pPr>
        <w:snapToGrid w:val="0"/>
        <w:spacing w:after="0" w:line="360" w:lineRule="auto"/>
        <w:ind w:firstLine="480"/>
        <w:rPr>
          <w:rFonts w:ascii="Times New Roman" w:hAnsi="Times New Roman" w:cs="Times New Roman"/>
          <w:bCs/>
          <w:sz w:val="24"/>
          <w:lang w:eastAsia="zh-CN"/>
        </w:rPr>
      </w:pPr>
      <w:bookmarkStart w:id="158" w:name="_Toc15118236"/>
      <w:bookmarkStart w:id="159" w:name="_Toc15118237"/>
      <w:bookmarkStart w:id="160" w:name="_Hlk86319201"/>
      <w:r>
        <w:rPr>
          <w:rFonts w:ascii="Times New Roman" w:hAnsi="Times New Roman" w:cs="Times New Roman"/>
          <w:bCs/>
          <w:sz w:val="24"/>
          <w:lang w:eastAsia="zh-CN"/>
        </w:rPr>
        <w:t>名称：</w:t>
      </w:r>
      <w:bookmarkEnd w:id="158"/>
      <w:r>
        <w:rPr>
          <w:rFonts w:hint="eastAsia" w:ascii="Times New Roman" w:hAnsi="Times New Roman" w:cs="Times New Roman"/>
          <w:bCs/>
          <w:sz w:val="24"/>
          <w:lang w:eastAsia="zh-CN"/>
        </w:rPr>
        <w:t>华安基金管理有限公司</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住所：</w:t>
      </w:r>
      <w:r>
        <w:rPr>
          <w:rFonts w:hint="eastAsia" w:ascii="Times New Roman" w:hAnsi="Times New Roman" w:cs="Times New Roman"/>
          <w:bCs/>
          <w:sz w:val="24"/>
          <w:lang w:eastAsia="zh-CN"/>
        </w:rPr>
        <w:t>中国（上海）自由贸易试验区临港新片区环湖西二路888号B楼2118室</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法定代表人：</w:t>
      </w:r>
      <w:r>
        <w:rPr>
          <w:rFonts w:hint="eastAsia" w:ascii="Times New Roman" w:hAnsi="Times New Roman" w:cs="Times New Roman"/>
          <w:bCs/>
          <w:sz w:val="24"/>
          <w:lang w:eastAsia="zh-CN"/>
        </w:rPr>
        <w:t>徐勇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设立日期：1998</w:t>
      </w:r>
      <w:r>
        <w:rPr>
          <w:rFonts w:hint="eastAsia" w:ascii="Times New Roman" w:hAnsi="Times New Roman" w:cs="Times New Roman"/>
          <w:bCs/>
          <w:sz w:val="24"/>
          <w:lang w:eastAsia="zh-CN"/>
        </w:rPr>
        <w:t>年</w:t>
      </w:r>
      <w:r>
        <w:rPr>
          <w:rFonts w:ascii="Times New Roman" w:hAnsi="Times New Roman" w:cs="Times New Roman"/>
          <w:bCs/>
          <w:sz w:val="24"/>
          <w:lang w:eastAsia="zh-CN"/>
        </w:rPr>
        <w:t>6</w:t>
      </w:r>
      <w:r>
        <w:rPr>
          <w:rFonts w:hint="eastAsia" w:ascii="Times New Roman" w:hAnsi="Times New Roman" w:cs="Times New Roman"/>
          <w:bCs/>
          <w:sz w:val="24"/>
          <w:lang w:eastAsia="zh-CN"/>
        </w:rPr>
        <w:t>月</w:t>
      </w:r>
      <w:r>
        <w:rPr>
          <w:rFonts w:ascii="Times New Roman" w:hAnsi="Times New Roman" w:cs="Times New Roman"/>
          <w:bCs/>
          <w:sz w:val="24"/>
          <w:lang w:eastAsia="zh-CN"/>
        </w:rPr>
        <w:t>4</w:t>
      </w:r>
      <w:r>
        <w:rPr>
          <w:rFonts w:hint="eastAsia" w:ascii="Times New Roman" w:hAnsi="Times New Roman" w:cs="Times New Roman"/>
          <w:bCs/>
          <w:sz w:val="24"/>
          <w:lang w:eastAsia="zh-CN"/>
        </w:rPr>
        <w:t>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批准设立机关及批准设立文号：</w:t>
      </w:r>
      <w:r>
        <w:rPr>
          <w:rFonts w:hint="eastAsia" w:ascii="Times New Roman" w:hAnsi="Times New Roman" w:cs="Times New Roman"/>
          <w:bCs/>
          <w:sz w:val="24"/>
          <w:lang w:eastAsia="zh-CN"/>
        </w:rPr>
        <w:t>中国证监会证监基字</w:t>
      </w:r>
      <w:r>
        <w:rPr>
          <w:rFonts w:ascii="Times New Roman" w:hAnsi="Times New Roman" w:cs="Times New Roman"/>
          <w:bCs/>
          <w:sz w:val="24"/>
          <w:lang w:eastAsia="zh-CN"/>
        </w:rPr>
        <w:t>[1998]20</w:t>
      </w:r>
      <w:r>
        <w:rPr>
          <w:rFonts w:hint="eastAsia" w:ascii="Times New Roman" w:hAnsi="Times New Roman" w:cs="Times New Roman"/>
          <w:bCs/>
          <w:sz w:val="24"/>
          <w:lang w:eastAsia="zh-CN"/>
        </w:rPr>
        <w:t>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组织形式：</w:t>
      </w:r>
      <w:r>
        <w:rPr>
          <w:rFonts w:hint="eastAsia" w:ascii="Times New Roman" w:hAnsi="Times New Roman" w:cs="Times New Roman"/>
          <w:bCs/>
          <w:sz w:val="24"/>
          <w:lang w:eastAsia="zh-CN"/>
        </w:rPr>
        <w:t>有限责任公司</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注册资本：1.5</w:t>
      </w:r>
      <w:r>
        <w:rPr>
          <w:rFonts w:hint="eastAsia" w:ascii="Times New Roman" w:hAnsi="Times New Roman" w:cs="Times New Roman"/>
          <w:bCs/>
          <w:sz w:val="24"/>
          <w:lang w:eastAsia="zh-CN"/>
        </w:rPr>
        <w:t>亿元人民币</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存续期限：</w:t>
      </w:r>
      <w:r>
        <w:rPr>
          <w:rFonts w:hint="eastAsia" w:ascii="Times New Roman" w:hAnsi="Times New Roman" w:cs="Times New Roman"/>
          <w:bCs/>
          <w:sz w:val="24"/>
          <w:lang w:eastAsia="zh-CN"/>
        </w:rPr>
        <w:t>持续经营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联系电话：（021）38969999</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w:t>
      </w:r>
      <w:r>
        <w:rPr>
          <w:rFonts w:ascii="Times New Roman" w:hAnsi="Times New Roman" w:cs="Times New Roman"/>
          <w:bCs/>
          <w:sz w:val="24"/>
          <w:lang w:eastAsia="zh-CN"/>
        </w:rPr>
        <w:tab/>
      </w:r>
      <w:r>
        <w:rPr>
          <w:rFonts w:ascii="Times New Roman" w:hAnsi="Times New Roman" w:cs="Times New Roman"/>
          <w:bCs/>
          <w:sz w:val="24"/>
          <w:lang w:eastAsia="zh-CN"/>
        </w:rPr>
        <w:t>基金管理人的权利与义务</w:t>
      </w:r>
      <w:bookmarkEnd w:id="159"/>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1、根据《基金法》、《运作办法》及其他有关规定，基金管理人的权利包括但不限于：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（1）依法募集资金；</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（2）自《</w:t>
      </w:r>
      <w:r>
        <w:rPr>
          <w:rFonts w:ascii="Times New Roman" w:hAnsi="Times New Roman" w:cs="Times New Roman"/>
          <w:sz w:val="24"/>
          <w:lang w:eastAsia="zh-CN"/>
        </w:rPr>
        <w:t>基金合同</w:t>
      </w:r>
      <w:r>
        <w:rPr>
          <w:rFonts w:ascii="Times New Roman" w:hAnsi="Times New Roman" w:cs="Times New Roman"/>
          <w:bCs/>
          <w:sz w:val="24"/>
          <w:lang w:eastAsia="zh-CN"/>
        </w:rPr>
        <w:t>》生效之日起，根据法律法规和《基金合同》独立运用并管理基金财产；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（3）依照《基金合同》收取基金管理费以及法律法规规定或中国证监会批准的其他费用；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（4）销售基金份额；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w:t>
      </w:r>
      <w:bookmarkStart w:id="161" w:name="_Hlt88896155"/>
      <w:r>
        <w:rPr>
          <w:rFonts w:ascii="Times New Roman" w:hAnsi="Times New Roman" w:cs="Times New Roman"/>
          <w:bCs/>
          <w:sz w:val="24"/>
          <w:lang w:eastAsia="zh-CN"/>
        </w:rPr>
        <w:t>按照规定召集</w:t>
      </w:r>
      <w:bookmarkEnd w:id="161"/>
      <w:r>
        <w:rPr>
          <w:rFonts w:ascii="Times New Roman" w:hAnsi="Times New Roman" w:cs="Times New Roman"/>
          <w:bCs/>
          <w:sz w:val="24"/>
          <w:lang w:eastAsia="zh-CN"/>
        </w:rPr>
        <w:t>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（6）依据《基金合同》及有关法律规定监督基金托管人，如认为基金托管人违反了《基金合同》及国家有关法律规定，应呈报中国证监会和其他监管部门，并采取必要措施保护基金投资者的利益；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（7）在基金托管人更换时，提名新的基金托管人；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（8）选择、更换基金销售机构，对基金销售机构的相关行为进行监督和处理；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（9）担任或委托其他符合条件的机构担任基金登记机构办理基金登记业务并获得《基金合同》规定的费用；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（10）依据《基金合同》及有关法律规定决定基金收益的分配方案；</w:t>
      </w:r>
      <w:r>
        <w:rPr>
          <w:rFonts w:ascii="Times New Roman" w:hAnsi="Times New Roman" w:cs="Times New Roman"/>
          <w:bCs/>
          <w:sz w:val="24"/>
          <w:lang w:eastAsia="zh-CN"/>
        </w:rPr>
        <w:tab/>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（11）在《基金合同》约定的范围内，拒绝或暂停受理申购、赎回和转换申请；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（12）依照法律法规为基金的利益对被投资公司行使股东权利，为基金的利益行使因基金财产投资于证券</w:t>
      </w:r>
      <w:r>
        <w:rPr>
          <w:rFonts w:hint="eastAsia"/>
          <w:bCs/>
          <w:sz w:val="24"/>
          <w:lang w:eastAsia="zh-CN"/>
        </w:rPr>
        <w:t>、基金</w:t>
      </w:r>
      <w:r>
        <w:rPr>
          <w:rFonts w:ascii="Times New Roman" w:hAnsi="Times New Roman" w:cs="Times New Roman"/>
          <w:bCs/>
          <w:sz w:val="24"/>
          <w:lang w:eastAsia="zh-CN"/>
        </w:rPr>
        <w:t>所产生的权利；</w:t>
      </w:r>
      <w:r>
        <w:rPr>
          <w:rFonts w:hint="eastAsia" w:ascii="Times New Roman" w:hAnsi="Times New Roman" w:cs="Times New Roman"/>
          <w:bCs/>
          <w:sz w:val="24"/>
          <w:lang w:eastAsia="zh-CN"/>
        </w:rPr>
        <w:t>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规定的除外；</w:t>
      </w:r>
      <w:r>
        <w:rPr>
          <w:rFonts w:ascii="Times New Roman" w:hAnsi="Times New Roman" w:cs="Times New Roman"/>
          <w:bCs/>
          <w:sz w:val="24"/>
          <w:lang w:eastAsia="zh-CN"/>
        </w:rPr>
        <w:tab/>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3</w:t>
      </w:r>
      <w:r>
        <w:rPr>
          <w:rFonts w:ascii="Times New Roman" w:hAnsi="Times New Roman" w:cs="Times New Roman"/>
          <w:bCs/>
          <w:sz w:val="24"/>
          <w:lang w:eastAsia="zh-CN"/>
        </w:rPr>
        <w:t>）在法律法规允许的前提下，为基金的利益依法为基金进行融资；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4</w:t>
      </w:r>
      <w:r>
        <w:rPr>
          <w:rFonts w:ascii="Times New Roman" w:hAnsi="Times New Roman" w:cs="Times New Roman"/>
          <w:bCs/>
          <w:sz w:val="24"/>
          <w:lang w:eastAsia="zh-CN"/>
        </w:rPr>
        <w:t>）以基金管理人的名义，代表基金份额持有人的利益行使诉讼权利或者实施其他法律行为；</w:t>
      </w:r>
      <w:r>
        <w:rPr>
          <w:rFonts w:ascii="Times New Roman" w:hAnsi="Times New Roman" w:cs="Times New Roman"/>
          <w:bCs/>
          <w:sz w:val="24"/>
          <w:lang w:eastAsia="zh-CN"/>
        </w:rPr>
        <w:tab/>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5</w:t>
      </w:r>
      <w:r>
        <w:rPr>
          <w:rFonts w:ascii="Times New Roman" w:hAnsi="Times New Roman" w:cs="Times New Roman"/>
          <w:bCs/>
          <w:sz w:val="24"/>
          <w:lang w:eastAsia="zh-CN"/>
        </w:rPr>
        <w:t>）选择、更换律师事务所、会计师事务所、证券、期货经纪商或其他为基金提供服务的外部机构；</w:t>
      </w:r>
      <w:r>
        <w:rPr>
          <w:rFonts w:ascii="Times New Roman" w:hAnsi="Times New Roman" w:cs="Times New Roman"/>
          <w:bCs/>
          <w:sz w:val="24"/>
          <w:lang w:eastAsia="zh-CN"/>
        </w:rPr>
        <w:tab/>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6</w:t>
      </w:r>
      <w:r>
        <w:rPr>
          <w:rFonts w:ascii="Times New Roman" w:hAnsi="Times New Roman" w:cs="Times New Roman"/>
          <w:bCs/>
          <w:sz w:val="24"/>
          <w:lang w:eastAsia="zh-CN"/>
        </w:rPr>
        <w:t>）在符合有关法律、法规的前提下，制订和调整有关基金认购、申购、赎回、转换</w:t>
      </w:r>
      <w:r>
        <w:rPr>
          <w:rFonts w:hint="eastAsia" w:ascii="Times New Roman" w:hAnsi="Times New Roman" w:cs="Times New Roman"/>
          <w:bCs/>
          <w:sz w:val="24"/>
          <w:lang w:eastAsia="zh-CN"/>
        </w:rPr>
        <w:t>、转托管、</w:t>
      </w:r>
      <w:r>
        <w:rPr>
          <w:rFonts w:ascii="Times New Roman" w:hAnsi="Times New Roman" w:cs="Times New Roman"/>
          <w:bCs/>
          <w:sz w:val="24"/>
          <w:lang w:eastAsia="zh-CN"/>
        </w:rPr>
        <w:t>非交易过户</w:t>
      </w:r>
      <w:r>
        <w:rPr>
          <w:rFonts w:hint="eastAsia" w:ascii="Times New Roman" w:hAnsi="Times New Roman" w:cs="Times New Roman"/>
          <w:bCs/>
          <w:sz w:val="24"/>
          <w:lang w:eastAsia="zh-CN"/>
        </w:rPr>
        <w:t>、定期定额投资、收益分配</w:t>
      </w:r>
      <w:r>
        <w:rPr>
          <w:rFonts w:ascii="Times New Roman" w:hAnsi="Times New Roman" w:cs="Times New Roman"/>
          <w:bCs/>
          <w:sz w:val="24"/>
          <w:lang w:eastAsia="zh-CN"/>
        </w:rPr>
        <w:t>等</w:t>
      </w:r>
      <w:r>
        <w:rPr>
          <w:rFonts w:hint="eastAsia" w:ascii="Times New Roman" w:hAnsi="Times New Roman" w:cs="Times New Roman"/>
          <w:bCs/>
          <w:sz w:val="24"/>
          <w:lang w:eastAsia="zh-CN"/>
        </w:rPr>
        <w:t>方面</w:t>
      </w:r>
      <w:r>
        <w:rPr>
          <w:rFonts w:ascii="Times New Roman" w:hAnsi="Times New Roman" w:cs="Times New Roman"/>
          <w:bCs/>
          <w:sz w:val="24"/>
          <w:lang w:eastAsia="zh-CN"/>
        </w:rPr>
        <w:t>的业务规则</w:t>
      </w:r>
      <w:r>
        <w:rPr>
          <w:rFonts w:hint="eastAsia" w:ascii="Times New Roman" w:hAnsi="Times New Roman" w:cs="Times New Roman"/>
          <w:bCs/>
          <w:sz w:val="24"/>
          <w:lang w:eastAsia="zh-CN"/>
        </w:rPr>
        <w:t>，在法律法规和本基金合同规定的范围内决定和调整基金的相关费率结构和收费方式</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7</w:t>
      </w:r>
      <w:r>
        <w:rPr>
          <w:rFonts w:ascii="Times New Roman" w:hAnsi="Times New Roman" w:cs="Times New Roman"/>
          <w:bCs/>
          <w:sz w:val="24"/>
          <w:lang w:eastAsia="zh-CN"/>
        </w:rPr>
        <w:t>）法律法规及中国证监会规定的和《基金合同》约定的其他权利。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2、根据《基金法》、《运作办法》及其他有关规定，基金管理人的义务包括但不限于：</w:t>
      </w:r>
    </w:p>
    <w:p>
      <w:pPr>
        <w:snapToGrid w:val="0"/>
        <w:spacing w:after="0" w:line="360" w:lineRule="auto"/>
        <w:ind w:firstLine="480"/>
        <w:rPr>
          <w:rFonts w:ascii="Times New Roman" w:hAnsi="Times New Roman" w:cs="Times New Roman"/>
          <w:bCs/>
          <w:sz w:val="24"/>
          <w:lang w:eastAsia="zh-CN"/>
        </w:rPr>
      </w:pPr>
      <w:bookmarkStart w:id="162" w:name="_Toc523711669"/>
      <w:r>
        <w:rPr>
          <w:rFonts w:ascii="Times New Roman" w:hAnsi="Times New Roman" w:cs="Times New Roman"/>
          <w:bCs/>
          <w:sz w:val="24"/>
          <w:lang w:eastAsia="zh-CN"/>
        </w:rPr>
        <w:t>（1）依法募集资金，办理或者委托经中国证监会认定的其他机构代为办理基金份额的发售、申购、赎回和登记事宜；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（2）办理基金备案手续；</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（3）自《基金合同》生效之日起，以诚实信用、谨慎勤勉的原则管理和运用基金财产；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（4）配备足够的具有专业资格的人员进行基金投资分析、决策，以专业化的经营方式管理和运作基金财产；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（5）建立健全内部风险控制、监察与稽核、财务管理及人事管理等制度，保证所管理的基金财产和基金管理人的财产相互独立，对所管理的不同基金分别管理，分别记账，进行证券</w:t>
      </w:r>
      <w:r>
        <w:rPr>
          <w:rFonts w:hint="eastAsia" w:ascii="Times New Roman" w:hAnsi="Times New Roman" w:cs="Times New Roman"/>
          <w:bCs/>
          <w:sz w:val="24"/>
          <w:lang w:eastAsia="zh-CN"/>
        </w:rPr>
        <w:t>、基金</w:t>
      </w:r>
      <w:r>
        <w:rPr>
          <w:rFonts w:ascii="Times New Roman" w:hAnsi="Times New Roman" w:cs="Times New Roman"/>
          <w:bCs/>
          <w:sz w:val="24"/>
          <w:lang w:eastAsia="zh-CN"/>
        </w:rPr>
        <w:t>投资；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（6）除依据《基金法》、《基金合同》及其他有关规定外，不得利用基金财产为自己及任何第三人谋取利益，不得委托第三人运作基金财产；</w:t>
      </w:r>
      <w:bookmarkStart w:id="163" w:name="_Hlt88897298"/>
      <w:bookmarkEnd w:id="163"/>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（7）依法接受基金托管人的监督；</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（8）采取适当合理的措施使计算基金份额认购、申购、赎回和注销价格的方法符合《基金合同》等法律文件的规定，按有关规定计算并公告基金净值信息，确定</w:t>
      </w:r>
      <w:r>
        <w:rPr>
          <w:rFonts w:hint="eastAsia" w:ascii="Times New Roman" w:hAnsi="Times New Roman" w:cs="Times New Roman"/>
          <w:bCs/>
          <w:sz w:val="24"/>
          <w:lang w:eastAsia="zh-CN"/>
        </w:rPr>
        <w:t>各类</w:t>
      </w:r>
      <w:r>
        <w:rPr>
          <w:rFonts w:ascii="Times New Roman" w:hAnsi="Times New Roman" w:cs="Times New Roman"/>
          <w:bCs/>
          <w:sz w:val="24"/>
          <w:lang w:eastAsia="zh-CN"/>
        </w:rPr>
        <w:t>基金份额申购、赎回的价格；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（9）进行基金会计核算并编制基金财务会计报告；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（10）编制季度报告、中期报告和年度报告；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（11）严格按照《基金法》、《基金合同》及其他有关规定，履行信息披露及报告义务；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（12）保守基金商业秘密，不泄露基金投资计划、投资意向等。除《基金法》、《基金合同》及其他有关规定另有规定外，在基金信息公开披露前应予保密，不向他人泄露</w:t>
      </w:r>
      <w:r>
        <w:rPr>
          <w:rFonts w:ascii="Times New Roman" w:hAnsi="Times New Roman" w:cs="Times New Roman"/>
          <w:sz w:val="24"/>
          <w:lang w:eastAsia="zh-CN"/>
        </w:rPr>
        <w:t>，但向监管机构、司法机构提供或因审计、法律等外部专业顾问提供服务而向其提供的情况除外</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（13）按《基金合同》的约定确定基金收益分配方案，及时向基金份额持有人分配基金收益；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（14）按规定受理申购与赎回申请，及时、足额支付赎回款项；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（15）依据《基金法》、《基金合同》及其他有关规定召集基金份额持有人大会或配合基金托管人、基金份额持有人依法召集基金份额持有人大会；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（16）按规定保存基金财产管理业务活动的会计账册、报表、记录和其他相关资料不低于法律法规规定的最低期限；</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（18）组织并参加基金财产清算小组，参与基金财产的保管、清理、估价、变现和分配；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（19）面临解散、依法被撤销或者被依法宣告破产时，及时报告中国证监会并通知基金托管人；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（20）因违反《基金合同》导致基金财产的损失或损害基金份额持有人合法权益时，应当承担赔偿责任，其赔偿责任不因其退任而免除；</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（21）监督基金托管人按法律法规和《基金合同》规定履行自己的义务，基金托管人违反《基金合同》造成基金财产损失时，基金管理人应为基金份额持有人利益向基金托管人追偿；</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（22）当基金管理人将其义务委托第三方处理时，应当对第三方处理有关基金事务的行为承担责任；</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（23）以基金管理人名义，代表基金份额持有人利益行使诉讼权利或实施其他法律行为；</w:t>
      </w:r>
      <w:r>
        <w:rPr>
          <w:rFonts w:ascii="Times New Roman" w:hAnsi="Times New Roman" w:cs="Times New Roman"/>
          <w:bCs/>
          <w:sz w:val="24"/>
          <w:lang w:eastAsia="zh-CN"/>
        </w:rPr>
        <w:tab/>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（24）基金管理人在募集期间未能达到基金</w:t>
      </w:r>
      <w:bookmarkStart w:id="164" w:name="_Hlt88823209"/>
      <w:bookmarkEnd w:id="164"/>
      <w:r>
        <w:rPr>
          <w:rFonts w:ascii="Times New Roman" w:hAnsi="Times New Roman" w:cs="Times New Roman"/>
          <w:bCs/>
          <w:sz w:val="24"/>
          <w:lang w:eastAsia="zh-CN"/>
        </w:rPr>
        <w:t>的备案条件，《基金合同》不能生效，基金管理人承担全部募集费用，将已募集资金并加计银行同期活期存款利息（税后）在基金募集期结束后30日内退还基金认购人；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（25）执行生效的基金份额持有人大会的决议；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（26）建立并保存基金份额持有人名册；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（27）法律法规及中国证监会规定的和《基金合同》约定的其他义务。</w:t>
      </w:r>
    </w:p>
    <w:bookmarkEnd w:id="160"/>
    <w:p>
      <w:pPr>
        <w:snapToGrid w:val="0"/>
        <w:spacing w:after="0" w:line="360" w:lineRule="auto"/>
        <w:ind w:firstLine="480"/>
        <w:rPr>
          <w:rFonts w:ascii="Times New Roman" w:hAnsi="Times New Roman" w:cs="Times New Roman"/>
          <w:bCs/>
          <w:sz w:val="24"/>
          <w:lang w:eastAsia="zh-CN"/>
        </w:rPr>
      </w:pPr>
      <w:bookmarkStart w:id="165" w:name="_Toc15118238"/>
      <w:bookmarkStart w:id="166" w:name="_Toc79392581"/>
      <w:bookmarkStart w:id="167" w:name="_Toc57530240"/>
      <w:r>
        <w:rPr>
          <w:rFonts w:ascii="Times New Roman" w:hAnsi="Times New Roman" w:cs="Times New Roman"/>
          <w:bCs/>
          <w:sz w:val="24"/>
          <w:lang w:eastAsia="zh-CN"/>
        </w:rPr>
        <w:t>二、基金托管人</w:t>
      </w:r>
      <w:bookmarkEnd w:id="162"/>
      <w:bookmarkEnd w:id="165"/>
      <w:bookmarkEnd w:id="166"/>
      <w:bookmarkEnd w:id="167"/>
    </w:p>
    <w:p>
      <w:pPr>
        <w:snapToGrid w:val="0"/>
        <w:spacing w:after="0" w:line="360" w:lineRule="auto"/>
        <w:ind w:firstLine="480"/>
        <w:rPr>
          <w:rFonts w:ascii="Times New Roman" w:hAnsi="Times New Roman" w:cs="Times New Roman"/>
          <w:bCs/>
          <w:sz w:val="24"/>
          <w:lang w:eastAsia="zh-CN"/>
        </w:rPr>
      </w:pPr>
      <w:bookmarkStart w:id="168" w:name="_Toc15118239"/>
      <w:r>
        <w:rPr>
          <w:rFonts w:ascii="Times New Roman" w:hAnsi="Times New Roman" w:cs="Times New Roman"/>
          <w:bCs/>
          <w:sz w:val="24"/>
          <w:lang w:eastAsia="zh-CN"/>
        </w:rPr>
        <w:t>（一）</w:t>
      </w:r>
      <w:r>
        <w:rPr>
          <w:rFonts w:ascii="Times New Roman" w:hAnsi="Times New Roman" w:cs="Times New Roman"/>
          <w:bCs/>
          <w:sz w:val="24"/>
          <w:lang w:eastAsia="zh-CN"/>
        </w:rPr>
        <w:tab/>
      </w:r>
      <w:r>
        <w:rPr>
          <w:rFonts w:ascii="Times New Roman" w:hAnsi="Times New Roman" w:cs="Times New Roman"/>
          <w:bCs/>
          <w:sz w:val="24"/>
          <w:lang w:eastAsia="zh-CN"/>
        </w:rPr>
        <w:t>基金托管人简况</w:t>
      </w:r>
      <w:bookmarkEnd w:id="168"/>
    </w:p>
    <w:p>
      <w:pPr>
        <w:snapToGrid w:val="0"/>
        <w:spacing w:after="0" w:line="360" w:lineRule="auto"/>
        <w:ind w:firstLine="480"/>
        <w:rPr>
          <w:rFonts w:ascii="Times New Roman" w:hAnsi="Times New Roman" w:cs="Times New Roman"/>
          <w:bCs/>
          <w:sz w:val="24"/>
          <w:lang w:eastAsia="zh-CN"/>
        </w:rPr>
      </w:pPr>
      <w:bookmarkStart w:id="169" w:name="_Toc15118240"/>
      <w:bookmarkStart w:id="170" w:name="_Hlk86319212"/>
      <w:r>
        <w:rPr>
          <w:rFonts w:hint="eastAsia" w:ascii="Times New Roman" w:hAnsi="Times New Roman" w:cs="Times New Roman"/>
          <w:bCs/>
          <w:sz w:val="24"/>
          <w:lang w:eastAsia="zh-CN"/>
        </w:rPr>
        <w:t>名称：中国建设银行股份有限公司</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住所：北京市西城区金融大街25号</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法定代表人：张金良</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成立时间：2004年9月17日</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 xml:space="preserve">批准设立机关和批准设立文号：中国银行业监督管理委员会银监复[2004]143号  </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组织形式：股份有限公司</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注册资本：</w:t>
      </w:r>
      <w:bookmarkStart w:id="171" w:name="_Hlk217043385"/>
      <w:r>
        <w:rPr>
          <w:rFonts w:hint="eastAsia" w:ascii="Times New Roman" w:hAnsi="Times New Roman" w:cs="Times New Roman"/>
          <w:bCs/>
          <w:sz w:val="24"/>
          <w:lang w:eastAsia="zh-CN"/>
        </w:rPr>
        <w:t>26160038.145900万人民币</w:t>
      </w:r>
      <w:bookmarkEnd w:id="171"/>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存续期间：持续经营</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基金托管资格批准文号：中国证监会证监基字[1998]12号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w:t>
      </w:r>
      <w:r>
        <w:rPr>
          <w:rFonts w:ascii="Times New Roman" w:hAnsi="Times New Roman" w:cs="Times New Roman"/>
          <w:bCs/>
          <w:sz w:val="24"/>
          <w:lang w:eastAsia="zh-CN"/>
        </w:rPr>
        <w:tab/>
      </w:r>
      <w:r>
        <w:rPr>
          <w:rFonts w:ascii="Times New Roman" w:hAnsi="Times New Roman" w:cs="Times New Roman"/>
          <w:bCs/>
          <w:sz w:val="24"/>
          <w:lang w:eastAsia="zh-CN"/>
        </w:rPr>
        <w:t>基金托管人的权利与义务</w:t>
      </w:r>
      <w:bookmarkEnd w:id="169"/>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1、根据《基金法》、《运作办法》及其他有关规定，基金托管人的权利包括但不限于：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（1）自《基金合同》生效之日起，依法律法规和《基金合同》的规定安全保管基金财产；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（2）依《基金合同》约定获得基金托管费以及法律法规规定或监管部门批准的其他费用；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（4）根据相关市场规则，为基金开设资金账户、证券账户等投资所需账户，为基金办理证券、期货交易资金清算；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（5）提议召开或召集基金份额持有人大会；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（6）在基金管理人更换时，提名新的基金管理人；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（7）法律法规及中国证监会规定的和《基金合同》约定的其他权利。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2、根据《基金法》、《运作办法》及其他有关规定，基金托管人的义务包括但不限于：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（1）以诚实信用、勤勉尽责的原则持有并安全保管基金财产；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（2）设立专门的基金托管部门，具有符合要求的营业场所，配备足够的、合格的熟悉基金托管业务的专职人员，负责基金财产托管事宜；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（4）除依据《基金法》、《基金合同》及其他有关规定外，不得利用基金财产为自己及任何第三人谋取利益，不得委托第三人托管基金财产；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（5）保管由基金管理人代表基金签订的与基金有关的重大合同及有关凭证；</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（6）按规定开设基金财产的资金账户、证券账户等投资所需账户,按照《基金合同》的约定，根据基金管理人的投资指令，及时办理清算、交割事宜；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（7）保守基金商业秘密，除《基金法》、《基金合同》及其他有关规定另有规定外，在基金信息公开披露前予以保密，不得向他人泄露</w:t>
      </w:r>
      <w:r>
        <w:rPr>
          <w:rFonts w:ascii="Times New Roman" w:hAnsi="Times New Roman" w:cs="Times New Roman"/>
          <w:sz w:val="24"/>
          <w:lang w:eastAsia="zh-CN"/>
        </w:rPr>
        <w:t>，但向监管机构、司法机关提供或因审计、法律等外部专业顾问提供服务而向其提供的情况除外</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（8）复核、审查基金管理人计算的基金资产净值、各类基金份额净值、基金份额申购、赎回价格；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（9）办理与基金托管业务活动有关的信息披露事项；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（11）保存基金托管业务活动的记录、账册、报表和其他相关资料不低于法律法规规定的最低期限</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（12）从基金管理人或其委托的登记机构处接收并保存基金份额持有人名册；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（13）按规定制作相关账册并与基金管理人核对；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（14）依据基金管理人的指令或有关规定向基金份额持有人支付基金收益和赎回款项；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（15）依据《基金法》、《基金合同》及其他有关规定，召集基金份额持有人大会或配合基金管理人、基金份额持有人依法召集基金份额持有人大会；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（16）按照法律法规和《基金合同》的规定监督基金管理人的投资运作；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（17）参加基金财产清算小组，参与基金财产的保管、清理、估价、变现和分配；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（18）面临解散、依法被撤销或者被依法宣告破产时，及时报告中国证监会和银行业监督管理机构，并通知基金管理人；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（19）因违反《基金合同》导致基金财产损失时，应承担赔偿责任，其赔偿责任不因其退任而免除；</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（20）按规定监督基金管理人按法律法规和《基金合同》规定履行自己的义务，基金管理人因违反《基金合同》造成基金财产损失时，应为基金份额持有人利益向基金管理人追偿</w:t>
      </w:r>
      <w:bookmarkStart w:id="172" w:name="_Hlt88825668"/>
      <w:bookmarkEnd w:id="172"/>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（21）执行生效的基金份额持有人大会的决议；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（22）</w:t>
      </w:r>
      <w:bookmarkStart w:id="173" w:name="_Toc523711670"/>
      <w:r>
        <w:rPr>
          <w:rFonts w:ascii="Times New Roman" w:hAnsi="Times New Roman" w:cs="Times New Roman"/>
          <w:bCs/>
          <w:sz w:val="24"/>
          <w:lang w:eastAsia="zh-CN"/>
        </w:rPr>
        <w:t>法律法规及中国证监会规定的和《基金合同》约定的其他义务。</w:t>
      </w:r>
    </w:p>
    <w:bookmarkEnd w:id="170"/>
    <w:bookmarkEnd w:id="173"/>
    <w:p>
      <w:pPr>
        <w:snapToGrid w:val="0"/>
        <w:spacing w:after="0" w:line="360" w:lineRule="auto"/>
        <w:ind w:firstLine="480"/>
        <w:rPr>
          <w:rFonts w:ascii="Times New Roman" w:hAnsi="Times New Roman" w:cs="Times New Roman"/>
          <w:bCs/>
          <w:sz w:val="24"/>
          <w:lang w:eastAsia="zh-CN"/>
        </w:rPr>
      </w:pPr>
      <w:bookmarkStart w:id="174" w:name="_Toc79392582"/>
      <w:r>
        <w:rPr>
          <w:rFonts w:ascii="Times New Roman" w:hAnsi="Times New Roman" w:cs="Times New Roman"/>
          <w:bCs/>
          <w:sz w:val="24"/>
          <w:lang w:eastAsia="zh-CN"/>
        </w:rPr>
        <w:t>三、基金份额持有人</w:t>
      </w:r>
      <w:bookmarkEnd w:id="174"/>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基金投资者持有本基金</w:t>
      </w:r>
      <w:bookmarkStart w:id="175" w:name="_Hlt88899909"/>
      <w:bookmarkEnd w:id="175"/>
      <w:r>
        <w:rPr>
          <w:rFonts w:ascii="Times New Roman" w:hAnsi="Times New Roman" w:cs="Times New Roman"/>
          <w:bCs/>
          <w:sz w:val="24"/>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除法律法规另有规定或基金合同另有约定外，同一类别每份基金份额具有同等的合法权益。</w:t>
      </w:r>
    </w:p>
    <w:p>
      <w:pPr>
        <w:snapToGrid w:val="0"/>
        <w:spacing w:after="0" w:line="360" w:lineRule="auto"/>
        <w:ind w:firstLine="480"/>
        <w:rPr>
          <w:rFonts w:ascii="Times New Roman" w:hAnsi="Times New Roman" w:cs="Times New Roman"/>
          <w:bCs/>
          <w:sz w:val="24"/>
          <w:lang w:eastAsia="zh-CN"/>
        </w:rPr>
      </w:pPr>
      <w:bookmarkStart w:id="176" w:name="_Hlk86319181"/>
      <w:r>
        <w:rPr>
          <w:rFonts w:ascii="Times New Roman" w:hAnsi="Times New Roman" w:cs="Times New Roman"/>
          <w:bCs/>
          <w:sz w:val="24"/>
          <w:lang w:eastAsia="zh-CN"/>
        </w:rPr>
        <w:t>1、根据《基金法》、《运作办法》及其他有关规定，基金份额持有人的权利包括但不限于：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（1）分享基金财产收益；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（2）参与分配清算后的剩余基金财产；</w:t>
      </w:r>
      <w:bookmarkStart w:id="177" w:name="_Hlt88825574"/>
      <w:bookmarkEnd w:id="177"/>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（3）依法转让或者申请赎回其持有的基金份额；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（4）按照规定要求召开基金份额持有人大会或者召集基金份额持有人大会；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（5）出席或者委派代表出席基金份额持有人大会，对基金份额持有人大会审议事项行使表决权；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（6）查阅或者复制公开披露的基金信息资料；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（7）监督基金管理人的投资运作；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（8）对基金管理人、基金托管人、基金服务机构损害其合法权益的行为依法提起诉讼或仲裁；</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（9）法律法规及中国证监会规定的和《基金合同》约定的其他权利。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2、根据《基金法》、《运作办法》及其他有关规定，基金份额持有人的义务包括但不限于：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（1）认真阅读并遵守《基金合同》、招募说明书等信息披露文件；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（2）了解所投资基金产品，了解自身风险承受能力，自主判断基金的投资价值，自主做出投资决策，自行承担投资风险；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（3）关注基金信息披露，及时行使权利和履行义务；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（4）交纳基金认购、申购款项及法律法规和《基金合同》所规定的费用；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（5）在其持有的基金份额范围内，承担基金亏损或者《基金合同》终止的有限责任；</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（6）不从事任何有损基金及其他《基金合同》当事人合法权益的活动；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（7）执行生效的基金份额持有人大会的决议；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（8）返还在基金交易过程中因任何原因获得的不当得利；</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（9）</w:t>
      </w:r>
      <w:r>
        <w:rPr>
          <w:rFonts w:ascii="Times New Roman" w:hAnsi="Times New Roman" w:cs="Times New Roman"/>
          <w:bCs/>
          <w:sz w:val="24"/>
          <w:lang w:eastAsia="zh-CN"/>
        </w:rPr>
        <w:t>法律法规及中国证监会规定的和《基金合同》约定的其他义务。</w:t>
      </w:r>
      <w:bookmarkEnd w:id="176"/>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lang w:eastAsia="zh-CN"/>
        </w:rPr>
        <w:br w:type="page"/>
      </w:r>
      <w:bookmarkStart w:id="178" w:name="_Toc10650"/>
      <w:bookmarkStart w:id="179" w:name="_Toc97040608"/>
      <w:bookmarkStart w:id="180" w:name="_Toc9706"/>
      <w:bookmarkStart w:id="181" w:name="_Toc7058"/>
      <w:bookmarkStart w:id="182" w:name="_Toc79392583"/>
      <w:bookmarkStart w:id="183" w:name="_Toc3321"/>
      <w:bookmarkStart w:id="184" w:name="_Toc139991738"/>
      <w:bookmarkStart w:id="185" w:name="_Toc23676"/>
      <w:bookmarkStart w:id="186" w:name="_Toc11030"/>
      <w:bookmarkStart w:id="187" w:name="_Toc6447"/>
      <w:bookmarkStart w:id="188" w:name="_Toc123102455"/>
      <w:bookmarkStart w:id="189" w:name="_Toc3771"/>
      <w:bookmarkStart w:id="190" w:name="_Toc123112236"/>
      <w:bookmarkStart w:id="191" w:name="_Toc481653679"/>
      <w:bookmarkStart w:id="192" w:name="_Toc123051454"/>
      <w:bookmarkStart w:id="193" w:name="_Toc4559"/>
      <w:bookmarkStart w:id="194" w:name="_Toc141703888"/>
      <w:bookmarkStart w:id="195" w:name="_Toc98560354"/>
      <w:bookmarkStart w:id="196" w:name="_Toc25783"/>
      <w:bookmarkStart w:id="197" w:name="_Toc18567"/>
      <w:bookmarkStart w:id="198" w:name="_Hlk86319233"/>
      <w:r>
        <w:rPr>
          <w:rFonts w:ascii="Times New Roman" w:hAnsi="Times New Roman" w:cs="Times New Roman"/>
          <w:color w:val="auto"/>
          <w:sz w:val="30"/>
          <w:lang w:eastAsia="zh-CN"/>
        </w:rPr>
        <w:t>第八部分 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tabs>
          <w:tab w:val="left" w:pos="1080"/>
        </w:tabs>
        <w:snapToGrid w:val="0"/>
        <w:spacing w:after="0" w:line="360" w:lineRule="auto"/>
        <w:ind w:left="1076" w:hanging="658"/>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本基金基金份额持有人大会不设立日常机构。</w:t>
      </w:r>
    </w:p>
    <w:p>
      <w:pPr>
        <w:snapToGrid w:val="0"/>
        <w:spacing w:after="0" w:line="360" w:lineRule="auto"/>
        <w:ind w:firstLine="480"/>
        <w:rPr>
          <w:rFonts w:ascii="Times New Roman" w:hAnsi="Times New Roman" w:cs="Times New Roman"/>
          <w:bCs/>
          <w:sz w:val="24"/>
          <w:lang w:eastAsia="zh-CN"/>
        </w:rPr>
      </w:pPr>
      <w:bookmarkStart w:id="199" w:name="_Toc57530243"/>
      <w:bookmarkStart w:id="200" w:name="_Toc79392584"/>
      <w:bookmarkStart w:id="201" w:name="_Toc15641220"/>
      <w:r>
        <w:rPr>
          <w:rFonts w:ascii="Times New Roman" w:hAnsi="Times New Roman" w:cs="Times New Roman"/>
          <w:bCs/>
          <w:sz w:val="24"/>
          <w:lang w:eastAsia="zh-CN"/>
        </w:rPr>
        <w:t>一、召开事由</w:t>
      </w:r>
      <w:bookmarkEnd w:id="199"/>
      <w:bookmarkEnd w:id="200"/>
      <w:bookmarkEnd w:id="201"/>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1、当出现或需要决定下列事由之一的，应当召开基金份额持有人大会，但法律法规、中国证监会或基金合同另有规定的除外：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（1）终止《基金合同》；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（2）更换基金管理人</w:t>
      </w:r>
      <w:r>
        <w:rPr>
          <w:rFonts w:hint="eastAsia" w:ascii="Times New Roman" w:hAnsi="Times New Roman" w:cs="Times New Roman"/>
          <w:bCs/>
          <w:sz w:val="24"/>
          <w:lang w:eastAsia="zh-CN"/>
        </w:rPr>
        <w:t>（基金管理人与其他公开募集证券投资基金管理人合并而发生基金管理人变更时除外，基金管理人职责由合并后的公司承继）</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（3）更换基金托管人；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（4）转换基金运作方式；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（5）调整基金管理人、基金托管人的报酬标准或提高销售服务费率；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（6）变更基金类别；</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（7）本基金与其他基金的合并；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（8）变更基金投资目标、范围或策略；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（9）变更基金份额持有人大会程序；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（10）基金管理人或基金托管人要求召开基金份额持有人大会；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（11）单独或合计持有本基金总份额10%以上（含10%）基金份额的基金份额持有人（以基金管理人收到提议当日的基金份额计算，下同）就同一事项书面要求召开基金份额持有人大会；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（12）对基金合同当事人权利和义务产生重大影响的其他事项；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（13）法律法规、《基金合同》或中国证监会规定的其他应当召开基金份额持有人大会的事项。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2、在法律法规规定和《基金合同》约定的范围内且对基金份额持有人利益无实质性不利影响的前提下，以下情况可由基金管理人和基金托管人协商后修改，不需召开基金份额持有人大会：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（1）法律法规要求增加的基金费用的收取；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（2）调整本基金的申购费率或变更收费方式</w:t>
      </w:r>
      <w:r>
        <w:rPr>
          <w:rFonts w:hint="eastAsia" w:ascii="Times New Roman" w:hAnsi="Times New Roman" w:cs="Times New Roman"/>
          <w:bCs/>
          <w:sz w:val="24"/>
          <w:lang w:eastAsia="zh-CN"/>
        </w:rPr>
        <w:t>、调低销售服务费率</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（3）因相应的法律法规发生变动而应当对《基金合同》进行修改；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（4）对《基金合同》的修改对基金份额持有人利益无实质性不利影响或修改不涉及《基金合同》当事人权利义务关系发生重大变化；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（5）增加、减少或调整基金份额分类办法及规则；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（6）基金管理人、登记机构、基金销售机构调整有关基金申购、赎回</w:t>
      </w:r>
      <w:r>
        <w:rPr>
          <w:rFonts w:hint="eastAsia" w:ascii="Times New Roman" w:hAnsi="Times New Roman" w:cs="Times New Roman"/>
          <w:bCs/>
          <w:sz w:val="24"/>
          <w:lang w:eastAsia="zh-CN"/>
        </w:rPr>
        <w:t>、定期定额投资、转换、</w:t>
      </w:r>
      <w:r>
        <w:rPr>
          <w:rFonts w:ascii="Times New Roman" w:hAnsi="Times New Roman" w:cs="Times New Roman"/>
          <w:bCs/>
          <w:sz w:val="24"/>
          <w:lang w:eastAsia="zh-CN"/>
        </w:rPr>
        <w:t>转托管、基金交易、非交易过户等业务规则；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w:t>
      </w:r>
      <w:r>
        <w:rPr>
          <w:rFonts w:hint="eastAsia" w:ascii="Times New Roman" w:hAnsi="Times New Roman" w:cs="Times New Roman"/>
          <w:bCs/>
          <w:sz w:val="24"/>
          <w:lang w:eastAsia="zh-CN"/>
        </w:rPr>
        <w:t>在履行适当程序后，</w:t>
      </w:r>
      <w:r>
        <w:rPr>
          <w:rFonts w:ascii="Times New Roman" w:hAnsi="Times New Roman" w:cs="Times New Roman"/>
          <w:bCs/>
          <w:sz w:val="24"/>
          <w:lang w:eastAsia="zh-CN"/>
        </w:rPr>
        <w:t>本基金推出新业务或新服务；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w:t>
      </w:r>
      <w:r>
        <w:rPr>
          <w:rFonts w:hint="eastAsia" w:ascii="Times New Roman" w:hAnsi="Times New Roman" w:cs="Times New Roman"/>
          <w:bCs/>
          <w:sz w:val="24"/>
          <w:lang w:eastAsia="zh-CN"/>
        </w:rPr>
        <w:t>在不违反法律法规的情况下，调整基金的申购赎回方式；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（9）按照法律法规和《基金合同》规定不需召开基金份额持有人大会的其他情形。</w:t>
      </w:r>
    </w:p>
    <w:p>
      <w:pPr>
        <w:snapToGrid w:val="0"/>
        <w:spacing w:after="0" w:line="360" w:lineRule="auto"/>
        <w:ind w:firstLine="480"/>
        <w:rPr>
          <w:rFonts w:ascii="Times New Roman" w:hAnsi="Times New Roman" w:cs="Times New Roman"/>
          <w:bCs/>
          <w:sz w:val="24"/>
          <w:lang w:eastAsia="zh-CN"/>
        </w:rPr>
      </w:pPr>
      <w:bookmarkStart w:id="202" w:name="_Toc15641221"/>
      <w:bookmarkStart w:id="203" w:name="_Toc57530244"/>
      <w:bookmarkStart w:id="204" w:name="_Toc79392585"/>
      <w:r>
        <w:rPr>
          <w:rFonts w:ascii="Times New Roman" w:hAnsi="Times New Roman" w:cs="Times New Roman"/>
          <w:bCs/>
          <w:sz w:val="24"/>
          <w:lang w:eastAsia="zh-CN"/>
        </w:rPr>
        <w:t>二、会议召集人及召集方式</w:t>
      </w:r>
      <w:bookmarkEnd w:id="202"/>
      <w:bookmarkEnd w:id="203"/>
      <w:bookmarkEnd w:id="204"/>
    </w:p>
    <w:p>
      <w:pPr>
        <w:snapToGrid w:val="0"/>
        <w:spacing w:after="0" w:line="360" w:lineRule="auto"/>
        <w:ind w:firstLine="480"/>
        <w:rPr>
          <w:rFonts w:ascii="Times New Roman" w:hAnsi="Times New Roman" w:cs="Times New Roman"/>
          <w:bCs/>
          <w:sz w:val="24"/>
          <w:lang w:eastAsia="zh-CN"/>
        </w:rPr>
      </w:pPr>
      <w:bookmarkStart w:id="205" w:name="_Toc15641222"/>
      <w:bookmarkStart w:id="206" w:name="_Toc57530245"/>
      <w:r>
        <w:rPr>
          <w:rFonts w:ascii="Times New Roman" w:hAnsi="Times New Roman" w:cs="Times New Roman"/>
          <w:bCs/>
          <w:sz w:val="24"/>
          <w:lang w:eastAsia="zh-CN"/>
        </w:rPr>
        <w:t>1、除法律法规规定或《基金合同》另有约定外，基金份额持有人大会由基金管理人召集。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2、基金管理人未按规定召集或不能召</w:t>
      </w:r>
      <w:r>
        <w:rPr>
          <w:rFonts w:hint="eastAsia" w:ascii="Times New Roman" w:hAnsi="Times New Roman" w:cs="Times New Roman"/>
          <w:bCs/>
          <w:sz w:val="24"/>
          <w:lang w:eastAsia="zh-CN"/>
        </w:rPr>
        <w:t>集</w:t>
      </w:r>
      <w:r>
        <w:rPr>
          <w:rFonts w:ascii="Times New Roman" w:hAnsi="Times New Roman" w:cs="Times New Roman"/>
          <w:bCs/>
          <w:sz w:val="24"/>
          <w:lang w:eastAsia="zh-CN"/>
        </w:rPr>
        <w:t>时，由基金托管人召集。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6、基金份额持有人会议的召集人负责选择确定开会时间、地点、方式和权益登记日。</w:t>
      </w:r>
    </w:p>
    <w:p>
      <w:pPr>
        <w:snapToGrid w:val="0"/>
        <w:spacing w:after="0" w:line="360" w:lineRule="auto"/>
        <w:ind w:firstLine="480"/>
        <w:rPr>
          <w:rFonts w:ascii="Times New Roman" w:hAnsi="Times New Roman" w:cs="Times New Roman"/>
          <w:bCs/>
          <w:sz w:val="24"/>
          <w:lang w:eastAsia="zh-CN"/>
        </w:rPr>
      </w:pPr>
      <w:bookmarkStart w:id="207" w:name="_Toc79392586"/>
      <w:r>
        <w:rPr>
          <w:rFonts w:ascii="Times New Roman" w:hAnsi="Times New Roman" w:cs="Times New Roman"/>
          <w:bCs/>
          <w:sz w:val="24"/>
          <w:lang w:eastAsia="zh-CN"/>
        </w:rPr>
        <w:t>三、召开基金份额持有人大会的通知时间、通知内容、通知方式</w:t>
      </w:r>
      <w:bookmarkEnd w:id="205"/>
      <w:bookmarkEnd w:id="206"/>
      <w:bookmarkEnd w:id="207"/>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1、召开基金份额持有人大会，召集人应于会议召开前30日，在规定媒介公告。基金份额持有人大会通知应至少载明以下内容：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（1）会议召开的时间、地点和会议形式；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（2）会议拟审议的事项、议事程序和表决方式；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（3）有权出席基金份额持有人大会的基金份额持有人的权益登记日；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（4）授权委托证明的内容要求（包括但不限于代理人身份，代理权限和代理有效期限等）、送达时间和地点；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（5）会务常设联系人姓名及联系电话；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（6）出席会议者必须准备的文件和必须履行的手续；</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（7）召集人需要通知的其他事项。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napToGrid w:val="0"/>
        <w:spacing w:after="0" w:line="360" w:lineRule="auto"/>
        <w:ind w:firstLine="480"/>
        <w:rPr>
          <w:rFonts w:ascii="Times New Roman" w:hAnsi="Times New Roman" w:cs="Times New Roman"/>
          <w:bCs/>
          <w:sz w:val="24"/>
          <w:lang w:eastAsia="zh-CN"/>
        </w:rPr>
      </w:pPr>
      <w:bookmarkStart w:id="208" w:name="_Toc79392587"/>
      <w:bookmarkStart w:id="209" w:name="_Toc57530246"/>
      <w:bookmarkStart w:id="210" w:name="_Toc15641223"/>
      <w:r>
        <w:rPr>
          <w:rFonts w:ascii="Times New Roman" w:hAnsi="Times New Roman" w:cs="Times New Roman"/>
          <w:bCs/>
          <w:sz w:val="24"/>
          <w:lang w:eastAsia="zh-CN"/>
        </w:rPr>
        <w:t>四、基金份额持有人出席会议的方式</w:t>
      </w:r>
      <w:bookmarkEnd w:id="208"/>
      <w:bookmarkEnd w:id="209"/>
      <w:bookmarkEnd w:id="210"/>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基金份额持有人大会可通过现场开会方式、通讯开会方式或法律法规、监管机构允许的其他方式召开，会议的召开方式由会议召集人确定。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在同时符合以下条件时，通讯开会的方式视为有效：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（1）会议召集人按《基金合同》约定公布会议通知后，在2个工作日内连续公布相关提示性公告；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bCs/>
          <w:sz w:val="24"/>
          <w:lang w:eastAsia="zh-CN"/>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ascii="Times New Roman" w:hAnsi="Times New Roman" w:cs="Times New Roman"/>
          <w:sz w:val="24"/>
          <w:lang w:eastAsia="zh-CN"/>
        </w:rPr>
        <w:t>。</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3、在不与法律法规冲突的前提下，基金份额持有人大会可通过网络、电话或其他方式召开，基金份额持有人可以采用</w:t>
      </w:r>
      <w:r>
        <w:rPr>
          <w:rFonts w:hint="eastAsia" w:ascii="Times New Roman" w:hAnsi="Times New Roman" w:cs="Times New Roman"/>
          <w:sz w:val="24"/>
          <w:lang w:eastAsia="zh-CN"/>
        </w:rPr>
        <w:t>纸质</w:t>
      </w:r>
      <w:r>
        <w:rPr>
          <w:rFonts w:ascii="Times New Roman" w:hAnsi="Times New Roman" w:cs="Times New Roman"/>
          <w:sz w:val="24"/>
          <w:lang w:eastAsia="zh-CN"/>
        </w:rPr>
        <w:t>、网络、电话、短信或其他方式进行表决，具体方式由会议召集人确定并在会议通知中列明。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sz w:val="24"/>
          <w:lang w:eastAsia="zh-CN"/>
        </w:rPr>
        <w:t>4、在不与法律法规冲突的前提下，基金份额持有人授权他人代为出席会议并表决的，授权方式可以采用</w:t>
      </w:r>
      <w:r>
        <w:rPr>
          <w:rFonts w:hint="eastAsia" w:ascii="Times New Roman" w:hAnsi="Times New Roman" w:cs="Times New Roman"/>
          <w:sz w:val="24"/>
          <w:lang w:eastAsia="zh-CN"/>
        </w:rPr>
        <w:t>纸质</w:t>
      </w:r>
      <w:r>
        <w:rPr>
          <w:rFonts w:ascii="Times New Roman" w:hAnsi="Times New Roman" w:cs="Times New Roman"/>
          <w:sz w:val="24"/>
          <w:lang w:eastAsia="zh-CN"/>
        </w:rPr>
        <w:t>、网络、电话、短信或其他方式，具体方式在会议通知中列明。</w:t>
      </w:r>
    </w:p>
    <w:p>
      <w:pPr>
        <w:snapToGrid w:val="0"/>
        <w:spacing w:after="0" w:line="360" w:lineRule="auto"/>
        <w:ind w:firstLine="480"/>
        <w:rPr>
          <w:rFonts w:ascii="Times New Roman" w:hAnsi="Times New Roman" w:cs="Times New Roman"/>
          <w:bCs/>
          <w:sz w:val="24"/>
          <w:lang w:eastAsia="zh-CN"/>
        </w:rPr>
      </w:pPr>
      <w:bookmarkStart w:id="211" w:name="_Toc57530247"/>
      <w:bookmarkStart w:id="212" w:name="_Toc15641224"/>
      <w:bookmarkStart w:id="213" w:name="_Toc79392588"/>
      <w:r>
        <w:rPr>
          <w:rFonts w:ascii="Times New Roman" w:hAnsi="Times New Roman" w:cs="Times New Roman"/>
          <w:bCs/>
          <w:sz w:val="24"/>
          <w:lang w:eastAsia="zh-CN"/>
        </w:rPr>
        <w:t>五、议事内容与程序</w:t>
      </w:r>
      <w:bookmarkEnd w:id="211"/>
      <w:bookmarkEnd w:id="212"/>
      <w:bookmarkEnd w:id="213"/>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1、议事内容及提案权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基金份额持有人大会的召集人发出召集会议的通知后，对原有提案的修改应当在基金份额持有人大会召开前及时公告。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基金份额持有人大会不得对未事先公告的议事内容进行表决。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2、议事程序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（1）现场开会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会议召集人应当制作出席会议人员的签名册。签名册载明参加会议人员姓名（或单位名称）、身份证明文件号码、持有或代表有表决权的基金份额、委托人姓名（或单位名称）和联系方式等事项。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（2）通讯开会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在通讯开会的情况下，首先由召集人提前30日公布提案，在所通知的表决截止日期后2个工作日内在公证机关监督下由召集人统计全部有效表决，在公证机关监督下形成决议。</w:t>
      </w:r>
    </w:p>
    <w:p>
      <w:pPr>
        <w:snapToGrid w:val="0"/>
        <w:spacing w:after="0" w:line="360" w:lineRule="auto"/>
        <w:ind w:firstLine="480"/>
        <w:rPr>
          <w:rFonts w:ascii="Times New Roman" w:hAnsi="Times New Roman" w:cs="Times New Roman"/>
          <w:bCs/>
          <w:sz w:val="24"/>
          <w:lang w:eastAsia="zh-CN"/>
        </w:rPr>
      </w:pPr>
      <w:bookmarkStart w:id="214" w:name="_Toc57530248"/>
      <w:bookmarkStart w:id="215" w:name="_Toc79392589"/>
      <w:bookmarkStart w:id="216" w:name="_Toc15641225"/>
      <w:r>
        <w:rPr>
          <w:rFonts w:ascii="Times New Roman" w:hAnsi="Times New Roman" w:cs="Times New Roman"/>
          <w:bCs/>
          <w:sz w:val="24"/>
          <w:lang w:eastAsia="zh-CN"/>
        </w:rPr>
        <w:t>六、表决</w:t>
      </w:r>
      <w:bookmarkEnd w:id="214"/>
      <w:bookmarkEnd w:id="215"/>
      <w:bookmarkEnd w:id="216"/>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基金份额持有人所持每份基金份额有一票表决权。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基金份额持有人大会决议分为一般决议和特别决议：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基金份额持有人大会采取记名方式进行投票表决。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基金份额持有人大会的各项提案或同一项提案内并列的各项议题应当分开审议、逐项表决。</w:t>
      </w:r>
    </w:p>
    <w:p>
      <w:pPr>
        <w:snapToGrid w:val="0"/>
        <w:spacing w:after="0" w:line="360" w:lineRule="auto"/>
        <w:ind w:firstLine="480"/>
        <w:rPr>
          <w:rFonts w:ascii="Times New Roman" w:hAnsi="Times New Roman" w:cs="Times New Roman"/>
          <w:bCs/>
          <w:sz w:val="24"/>
          <w:lang w:eastAsia="zh-CN"/>
        </w:rPr>
      </w:pPr>
      <w:bookmarkStart w:id="217" w:name="_Toc57530249"/>
      <w:bookmarkStart w:id="218" w:name="_Toc15641226"/>
      <w:bookmarkStart w:id="219" w:name="_Toc79392590"/>
      <w:r>
        <w:rPr>
          <w:rFonts w:ascii="Times New Roman" w:hAnsi="Times New Roman" w:cs="Times New Roman"/>
          <w:bCs/>
          <w:sz w:val="24"/>
          <w:lang w:eastAsia="zh-CN"/>
        </w:rPr>
        <w:t>七、计票</w:t>
      </w:r>
      <w:bookmarkEnd w:id="217"/>
      <w:bookmarkEnd w:id="218"/>
      <w:bookmarkEnd w:id="219"/>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1、现场开会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（2）监票人应当在基金份额持有人表决后立即进行清点并由大会主持人当场公布计票结果。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（4）计票过程应由公证机关予以公证，基金管理人或基金托管人拒不出席大会的，不影响计票的效力。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2、通讯开会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0" w:name="_Toc15641227"/>
      <w:bookmarkStart w:id="221" w:name="_Toc57530250"/>
      <w:bookmarkStart w:id="222" w:name="_Toc79392591"/>
      <w:r>
        <w:rPr>
          <w:rFonts w:ascii="Times New Roman" w:hAnsi="Times New Roman" w:cs="Times New Roman"/>
          <w:bCs/>
          <w:sz w:val="24"/>
          <w:lang w:eastAsia="zh-CN"/>
        </w:rPr>
        <w:t>。基金管理人或基金托管人拒派代表对表决意见的计票进行监督的，不影响计票和表决结果。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八、生效与公告</w:t>
      </w:r>
      <w:bookmarkEnd w:id="220"/>
      <w:bookmarkEnd w:id="221"/>
      <w:bookmarkEnd w:id="222"/>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基金份额持有人大会的决议，召集人应当自通过之日起5日内报中国证监会备案。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基金份额持有人大会的决议自表决通过之日起生效。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基金份额持有人大会决议自生效之日</w:t>
      </w:r>
      <w:r>
        <w:rPr>
          <w:rFonts w:ascii="Times New Roman" w:hAnsi="Times New Roman" w:cs="Times New Roman"/>
          <w:sz w:val="24"/>
          <w:lang w:eastAsia="zh-CN"/>
        </w:rPr>
        <w:t>后</w:t>
      </w:r>
      <w:r>
        <w:rPr>
          <w:rFonts w:ascii="Times New Roman" w:hAnsi="Times New Roman" w:cs="Times New Roman"/>
          <w:bCs/>
          <w:sz w:val="24"/>
          <w:lang w:eastAsia="zh-CN"/>
        </w:rPr>
        <w:t>依照《信息披露办法》的有关规定在规定媒介上公告。</w:t>
      </w:r>
      <w:bookmarkStart w:id="223" w:name="_Hlt88820702"/>
      <w:bookmarkEnd w:id="223"/>
      <w:r>
        <w:rPr>
          <w:rFonts w:ascii="Times New Roman" w:hAnsi="Times New Roman" w:cs="Times New Roman"/>
          <w:bCs/>
          <w:sz w:val="24"/>
          <w:lang w:eastAsia="zh-CN"/>
        </w:rPr>
        <w:t>如果采用通讯方式进行表决，在公告基金份额持有人大会决议时，必须将公证书全文、公证机构、公证员姓名等一同公告。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九、实施侧袋机制期间基金份额持有人大会的特殊约定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1、基金份额持有人行使提议权、召集权、提名权所需单独或合计代表相关基金份额10%以上（含10%）；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2、现场开会的到会者在权益登记日代表的基金份额不少于本基金在权益登记日相关基金份额的二分之一（含二分之一）；</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3、通讯开会的直接出具表决意见或授权他人代表出具表决意见的基金份额持有人所持有的基金份额不小于在权益登记日相关基金份额的二分之一（含二分之一）；</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5、现场开会由出席大会的基金份额持有人和代理人所持表决权的50%以上（含50%）选举产生一名基金份额持有人作为该次基金份额持有人大会的主持人；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6、一般决议须经参加大会的基金份额持有人或其代理人所持表决权的二分之一以上（含二分之一）通过；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7、特别决议应当经参加大会的基金份额持有人或其代理人所持表决权的三分之二以上（含三分之二）通过。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同一主侧袋账户内的同一类别每份基金份额具有平等的表决权。</w:t>
      </w:r>
    </w:p>
    <w:p>
      <w:pPr>
        <w:spacing w:line="360" w:lineRule="auto"/>
        <w:ind w:firstLine="480" w:firstLineChars="200"/>
        <w:rPr>
          <w:sz w:val="24"/>
          <w:lang w:eastAsia="zh-CN"/>
        </w:rPr>
      </w:pPr>
      <w:r>
        <w:rPr>
          <w:rFonts w:hint="eastAsia"/>
          <w:sz w:val="24"/>
          <w:lang w:eastAsia="zh-CN"/>
        </w:rPr>
        <w:t>十、本基金持有的基金召开基金份额持有人大会时，本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对于本基金参与所持有基金的基金份额持有人大会的程序或要求另有规定的，从其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sz w:val="24"/>
          <w:lang w:eastAsia="zh-CN"/>
        </w:rPr>
        <w:t>十</w:t>
      </w:r>
      <w:r>
        <w:rPr>
          <w:rFonts w:hint="eastAsia" w:ascii="Times New Roman" w:hAnsi="Times New Roman" w:cs="Times New Roman"/>
          <w:sz w:val="24"/>
          <w:lang w:eastAsia="zh-CN"/>
        </w:rPr>
        <w:t>一</w:t>
      </w:r>
      <w:r>
        <w:rPr>
          <w:rFonts w:ascii="Times New Roman" w:hAnsi="Times New Roman" w:cs="Times New Roman"/>
          <w:sz w:val="24"/>
          <w:lang w:eastAsia="zh-CN"/>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bookmarkEnd w:id="198"/>
    <w:p>
      <w:pPr>
        <w:pStyle w:val="2"/>
        <w:snapToGrid w:val="0"/>
        <w:spacing w:before="0" w:after="0"/>
        <w:jc w:val="center"/>
        <w:rPr>
          <w:rFonts w:ascii="Times New Roman" w:hAnsi="Times New Roman" w:cs="Times New Roman"/>
          <w:color w:val="auto"/>
          <w:lang w:eastAsia="zh-CN"/>
        </w:rPr>
      </w:pPr>
      <w:bookmarkStart w:id="224" w:name="_Toc1745"/>
      <w:bookmarkStart w:id="225" w:name="_Toc3963"/>
      <w:r>
        <w:rPr>
          <w:rFonts w:ascii="Times New Roman" w:hAnsi="Times New Roman" w:cs="Times New Roman"/>
          <w:b w:val="0"/>
          <w:bCs/>
          <w:color w:val="auto"/>
          <w:lang w:eastAsia="zh-CN"/>
        </w:rPr>
        <w:br w:type="page"/>
      </w:r>
      <w:bookmarkStart w:id="226" w:name="_Toc139991739"/>
      <w:bookmarkStart w:id="227" w:name="_Toc31821"/>
      <w:bookmarkStart w:id="228" w:name="_Toc16164"/>
      <w:bookmarkStart w:id="229" w:name="_Toc10398"/>
      <w:bookmarkStart w:id="230" w:name="_Toc21735"/>
      <w:bookmarkStart w:id="231" w:name="_Toc3572"/>
      <w:bookmarkStart w:id="232" w:name="_Toc481653680"/>
      <w:bookmarkStart w:id="233" w:name="_Toc18206"/>
      <w:bookmarkStart w:id="234" w:name="_Toc123051455"/>
      <w:bookmarkStart w:id="235" w:name="_Toc97040609"/>
      <w:bookmarkStart w:id="236" w:name="_Toc725"/>
      <w:bookmarkStart w:id="237" w:name="_Toc141703889"/>
      <w:bookmarkStart w:id="238" w:name="_Toc3794"/>
      <w:bookmarkStart w:id="239" w:name="_Toc123112237"/>
      <w:bookmarkStart w:id="240" w:name="_Toc98560355"/>
      <w:bookmarkStart w:id="241" w:name="_Toc123102456"/>
      <w:bookmarkStart w:id="242" w:name="_Toc3080"/>
      <w:r>
        <w:rPr>
          <w:rFonts w:ascii="Times New Roman" w:hAnsi="Times New Roman" w:cs="Times New Roman"/>
          <w:color w:val="auto"/>
          <w:sz w:val="30"/>
          <w:lang w:eastAsia="zh-CN"/>
        </w:rPr>
        <w:t>第九部分 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snapToGrid w:val="0"/>
        <w:spacing w:after="0" w:line="360" w:lineRule="auto"/>
        <w:rPr>
          <w:rFonts w:ascii="Times New Roman" w:hAnsi="Times New Roman" w:cs="Times New Roman"/>
          <w:bCs/>
          <w:sz w:val="24"/>
          <w:lang w:eastAsia="zh-CN"/>
        </w:rPr>
      </w:pPr>
      <w:bookmarkStart w:id="243" w:name="_Toc79392593"/>
      <w:bookmarkStart w:id="244" w:name="_Toc15118245"/>
      <w:bookmarkStart w:id="245" w:name="_Toc57530252"/>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一、基金管理人和基金托管人职责终止的情形</w:t>
      </w:r>
      <w:bookmarkEnd w:id="243"/>
      <w:bookmarkEnd w:id="244"/>
      <w:bookmarkEnd w:id="245"/>
    </w:p>
    <w:p>
      <w:pPr>
        <w:snapToGrid w:val="0"/>
        <w:spacing w:after="0" w:line="360" w:lineRule="auto"/>
        <w:ind w:firstLine="480"/>
        <w:rPr>
          <w:rFonts w:ascii="Times New Roman" w:hAnsi="Times New Roman" w:cs="Times New Roman"/>
          <w:bCs/>
          <w:sz w:val="24"/>
          <w:lang w:eastAsia="zh-CN"/>
        </w:rPr>
      </w:pPr>
      <w:bookmarkStart w:id="246" w:name="_Toc22005971"/>
      <w:r>
        <w:rPr>
          <w:rFonts w:ascii="Times New Roman" w:hAnsi="Times New Roman" w:cs="Times New Roman"/>
          <w:bCs/>
          <w:sz w:val="24"/>
          <w:lang w:eastAsia="zh-CN"/>
        </w:rPr>
        <w:t>（一）</w:t>
      </w:r>
      <w:r>
        <w:rPr>
          <w:rFonts w:ascii="Times New Roman" w:hAnsi="Times New Roman" w:cs="Times New Roman"/>
          <w:bCs/>
          <w:sz w:val="24"/>
          <w:lang w:eastAsia="zh-CN"/>
        </w:rPr>
        <w:tab/>
      </w:r>
      <w:r>
        <w:rPr>
          <w:rFonts w:ascii="Times New Roman" w:hAnsi="Times New Roman" w:cs="Times New Roman"/>
          <w:bCs/>
          <w:sz w:val="24"/>
          <w:lang w:eastAsia="zh-CN"/>
        </w:rPr>
        <w:t>基金管理人职责终止的情形</w:t>
      </w:r>
      <w:bookmarkEnd w:id="246"/>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有下列情形之一的，基金管理人职责终止：</w:t>
      </w:r>
    </w:p>
    <w:p>
      <w:pPr>
        <w:tabs>
          <w:tab w:val="left" w:pos="5274"/>
        </w:tabs>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1、被依法取消基金管理资格；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2、被基金份额持有人大会解任；</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3、依法解散、被依法撤销或被依法宣告破产；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4、法律法规及中国证监会规定的和《基金合同》约定的其他情形。</w:t>
      </w:r>
    </w:p>
    <w:p>
      <w:pPr>
        <w:snapToGrid w:val="0"/>
        <w:spacing w:after="0" w:line="360" w:lineRule="auto"/>
        <w:ind w:firstLine="480"/>
        <w:rPr>
          <w:rFonts w:ascii="Times New Roman" w:hAnsi="Times New Roman" w:cs="Times New Roman"/>
          <w:bCs/>
          <w:sz w:val="24"/>
          <w:lang w:eastAsia="zh-CN"/>
        </w:rPr>
      </w:pPr>
      <w:bookmarkStart w:id="247" w:name="_Toc22005972"/>
      <w:r>
        <w:rPr>
          <w:rFonts w:ascii="Times New Roman" w:hAnsi="Times New Roman" w:cs="Times New Roman"/>
          <w:bCs/>
          <w:sz w:val="24"/>
          <w:lang w:eastAsia="zh-CN"/>
        </w:rPr>
        <w:t>（二）</w:t>
      </w:r>
      <w:r>
        <w:rPr>
          <w:rFonts w:ascii="Times New Roman" w:hAnsi="Times New Roman" w:cs="Times New Roman"/>
          <w:bCs/>
          <w:sz w:val="24"/>
          <w:lang w:eastAsia="zh-CN"/>
        </w:rPr>
        <w:tab/>
      </w:r>
      <w:r>
        <w:rPr>
          <w:rFonts w:ascii="Times New Roman" w:hAnsi="Times New Roman" w:cs="Times New Roman"/>
          <w:bCs/>
          <w:sz w:val="24"/>
          <w:lang w:eastAsia="zh-CN"/>
        </w:rPr>
        <w:t>基金托管人职责终止的情形</w:t>
      </w:r>
      <w:bookmarkEnd w:id="247"/>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有下列情形之一的，基金托管人职责终止：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1、被依法取消基金托管资格；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2、被基金份额持有人大会解任；</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3、依法解散、被依法撤销或被依法宣告破产；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4、法律法规及中国证监会规定的和《基金合同》约定的其他情形。</w:t>
      </w:r>
    </w:p>
    <w:p>
      <w:pPr>
        <w:snapToGrid w:val="0"/>
        <w:spacing w:after="0" w:line="360" w:lineRule="auto"/>
        <w:ind w:firstLine="480"/>
        <w:rPr>
          <w:rFonts w:ascii="Times New Roman" w:hAnsi="Times New Roman" w:cs="Times New Roman"/>
          <w:bCs/>
          <w:sz w:val="24"/>
          <w:lang w:eastAsia="zh-CN"/>
        </w:rPr>
      </w:pPr>
      <w:bookmarkStart w:id="248" w:name="_Toc79392594"/>
      <w:bookmarkStart w:id="249" w:name="_Toc57530253"/>
      <w:bookmarkStart w:id="250" w:name="_Toc15118246"/>
      <w:r>
        <w:rPr>
          <w:rFonts w:ascii="Times New Roman" w:hAnsi="Times New Roman" w:cs="Times New Roman"/>
          <w:bCs/>
          <w:sz w:val="24"/>
          <w:lang w:eastAsia="zh-CN"/>
        </w:rPr>
        <w:t>二、基金管理人和基金托管人的更换程序</w:t>
      </w:r>
      <w:bookmarkEnd w:id="248"/>
      <w:bookmarkEnd w:id="249"/>
      <w:bookmarkEnd w:id="250"/>
    </w:p>
    <w:p>
      <w:pPr>
        <w:snapToGrid w:val="0"/>
        <w:spacing w:after="0" w:line="360" w:lineRule="auto"/>
        <w:ind w:firstLine="480"/>
        <w:rPr>
          <w:rFonts w:ascii="Times New Roman" w:hAnsi="Times New Roman" w:cs="Times New Roman"/>
          <w:bCs/>
          <w:sz w:val="24"/>
          <w:lang w:eastAsia="zh-CN"/>
        </w:rPr>
      </w:pPr>
      <w:bookmarkStart w:id="251" w:name="_Toc22005974"/>
      <w:r>
        <w:rPr>
          <w:rFonts w:ascii="Times New Roman" w:hAnsi="Times New Roman" w:cs="Times New Roman"/>
          <w:bCs/>
          <w:sz w:val="24"/>
          <w:lang w:eastAsia="zh-CN"/>
        </w:rPr>
        <w:t>（一）</w:t>
      </w:r>
      <w:r>
        <w:rPr>
          <w:rFonts w:ascii="Times New Roman" w:hAnsi="Times New Roman" w:cs="Times New Roman"/>
          <w:bCs/>
          <w:sz w:val="24"/>
          <w:lang w:eastAsia="zh-CN"/>
        </w:rPr>
        <w:tab/>
      </w:r>
      <w:r>
        <w:rPr>
          <w:rFonts w:ascii="Times New Roman" w:hAnsi="Times New Roman" w:cs="Times New Roman"/>
          <w:bCs/>
          <w:sz w:val="24"/>
          <w:lang w:eastAsia="zh-CN"/>
        </w:rPr>
        <w:t>基金管理人的更换程序</w:t>
      </w:r>
      <w:bookmarkEnd w:id="251"/>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1、提名：新任基金管理人由基金托管人或由单独或合计持有10%以上（含10%）基金份额的基金份额持有人提名；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3、临时基金管理人：新任基金管理人产生之前，由中国证监会指定临时基金管理人；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4、备案：基金份额持有人大会</w:t>
      </w:r>
      <w:r>
        <w:rPr>
          <w:rFonts w:ascii="Times New Roman" w:hAnsi="Times New Roman" w:cs="Times New Roman"/>
          <w:sz w:val="24"/>
          <w:lang w:eastAsia="zh-CN"/>
        </w:rPr>
        <w:t>更换</w:t>
      </w:r>
      <w:r>
        <w:rPr>
          <w:rFonts w:ascii="Times New Roman" w:hAnsi="Times New Roman" w:cs="Times New Roman"/>
          <w:bCs/>
          <w:sz w:val="24"/>
          <w:lang w:eastAsia="zh-CN"/>
        </w:rPr>
        <w:t>基金管理人的决议须报中国证监会备案；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5、公告：基金管理人更换后，由基金托管人在更换基金管理人的基金份额持有人大会决议生效后依照《信息披露办法》的有关规定在规定媒介公告；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Times New Roman" w:hAnsi="Times New Roman" w:cs="Times New Roman"/>
          <w:sz w:val="24"/>
          <w:lang w:eastAsia="zh-CN"/>
        </w:rPr>
        <w:t>临时基金管理人或新任基金管理人应与基金托管人核对基金资产总值和净值</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7、审计：基金管理人职责终止的，应当按照法律法规规定聘请会计师事务所对基金财产进行审计，并将审计结果予以公告，同时报中国证监会备案，审计费用在基金财产中列支；</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8、基金名称变更：基金管理人更换后，如果原任或新任基金管理人要求，应按其要求替换或删除基金名称中与原基金管理人有关的名称字样。</w:t>
      </w:r>
    </w:p>
    <w:p>
      <w:pPr>
        <w:spacing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基金管理人与其他公开募集证券投资基金管理人合并而发生基金管理人变更的，无需提名、基金份额持有人大会审议、指定临时基金管理人以及审计等程序，基金管理人职责由合并后的公司承继，但上述变更应当公告和进行必要的工作交接。</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bookmarkStart w:id="252" w:name="_Toc22005975"/>
      <w:r>
        <w:rPr>
          <w:rFonts w:ascii="Times New Roman" w:hAnsi="Times New Roman" w:cs="Times New Roman"/>
          <w:bCs/>
          <w:sz w:val="24"/>
          <w:lang w:eastAsia="zh-CN"/>
        </w:rPr>
        <w:t>（二）</w:t>
      </w:r>
      <w:r>
        <w:rPr>
          <w:rFonts w:ascii="Times New Roman" w:hAnsi="Times New Roman" w:cs="Times New Roman"/>
          <w:bCs/>
          <w:sz w:val="24"/>
          <w:lang w:eastAsia="zh-CN"/>
        </w:rPr>
        <w:tab/>
      </w:r>
      <w:r>
        <w:rPr>
          <w:rFonts w:ascii="Times New Roman" w:hAnsi="Times New Roman" w:cs="Times New Roman"/>
          <w:bCs/>
          <w:sz w:val="24"/>
          <w:lang w:eastAsia="zh-CN"/>
        </w:rPr>
        <w:t>基金托管人的更换程序</w:t>
      </w:r>
      <w:bookmarkEnd w:id="252"/>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1、提名：新任基金托管人由基金管理人或由单独或合计持有10%以上（含10%）基金份额的基金份额持有人提名；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3、临时基金托管人：新任基金托管人产生之前，由中国证监会指定临时基金托管人；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4、备案：基金份额持有人大会更换基金托管人的决议须报中国证监会备案；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5、公告：基金托管人更换后，由基金管理人在更换基金托管人的基金份额持有人大会决议生效后依照《信息披露办法》的有关规定在规定媒介公告；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6、交接：基金托管人职责终止的，应当妥善保管基金财产和基金托管业务资料，及时办理基金财产和基金托管业务的移交手续，新任基金托管人或者临时基金托管人应当及时接收。</w:t>
      </w:r>
      <w:r>
        <w:rPr>
          <w:rFonts w:ascii="Times New Roman" w:hAnsi="Times New Roman" w:cs="Times New Roman"/>
          <w:sz w:val="24"/>
          <w:lang w:eastAsia="zh-CN"/>
        </w:rPr>
        <w:t>临时基金托管人或</w:t>
      </w:r>
      <w:r>
        <w:rPr>
          <w:rFonts w:ascii="Times New Roman" w:hAnsi="Times New Roman" w:cs="Times New Roman"/>
          <w:bCs/>
          <w:sz w:val="24"/>
          <w:lang w:eastAsia="zh-CN"/>
        </w:rPr>
        <w:t xml:space="preserve">新任基金托管人与基金管理人核对基金资产总值和净值； </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7、审计：基金托管人职责终止的，应当按照法律法规规定聘请会计师事务所对基金财产进行审计，并将审计结果予以公告，同时报中国证监会备案，审计费用在基金财产中列支。</w:t>
      </w:r>
    </w:p>
    <w:p>
      <w:pPr>
        <w:snapToGrid w:val="0"/>
        <w:spacing w:after="0" w:line="360" w:lineRule="auto"/>
        <w:ind w:firstLine="480"/>
        <w:rPr>
          <w:rFonts w:ascii="Times New Roman" w:hAnsi="Times New Roman" w:cs="Times New Roman"/>
          <w:bCs/>
          <w:sz w:val="24"/>
          <w:lang w:eastAsia="zh-CN"/>
        </w:rPr>
      </w:pPr>
      <w:bookmarkStart w:id="253" w:name="_Toc1357"/>
      <w:r>
        <w:rPr>
          <w:rFonts w:ascii="Times New Roman" w:hAnsi="Times New Roman" w:cs="Times New Roman"/>
          <w:bCs/>
          <w:sz w:val="24"/>
          <w:lang w:eastAsia="zh-CN"/>
        </w:rPr>
        <w:t>（三）基金管理人与基金托管人同时更换的条件和程序</w:t>
      </w:r>
      <w:bookmarkEnd w:id="253"/>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1、提名：如果基金管理人和基金托管人同时更换，由单独或合计持有基金总份额10%以上（含10%）的基金份额持有人提名新的基金管理人和基金托管人；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2、基金管理人和基金托管人的更换分别按上述程序进行；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3、公告：新任基金管理人和新任基金托管人应在更换基金管理人和基金托管人的基金份额持有人大会决议生效后依照《信息披露办法》的有关规定在规定媒介上联合公告。</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并有义务协助新/临时基金管理人或新/临时基金托管人尽快恢复基金财产的投资运作或交接基金资产。原基金管理人或基金托管人在继续履行相关职责期间，仍有权按照本基金合同的规定收取基金管理费或基金托管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sz w:val="24"/>
          <w:lang w:eastAsia="zh-CN"/>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pPr>
        <w:snapToGrid w:val="0"/>
        <w:spacing w:after="0" w:line="360" w:lineRule="auto"/>
        <w:ind w:firstLine="480"/>
        <w:rPr>
          <w:rFonts w:ascii="Times New Roman" w:hAnsi="Times New Roman" w:cs="Times New Roman"/>
          <w:bCs/>
          <w:sz w:val="24"/>
          <w:lang w:eastAsia="zh-CN"/>
        </w:rPr>
      </w:pP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lang w:eastAsia="zh-CN"/>
        </w:rPr>
        <w:br w:type="page"/>
      </w:r>
      <w:bookmarkStart w:id="254" w:name="_Toc22895"/>
      <w:bookmarkStart w:id="255" w:name="_Toc123051456"/>
      <w:bookmarkStart w:id="256" w:name="_Toc97040610"/>
      <w:bookmarkStart w:id="257" w:name="_Toc123102457"/>
      <w:bookmarkStart w:id="258" w:name="_Toc32092"/>
      <w:bookmarkStart w:id="259" w:name="_Toc17198"/>
      <w:bookmarkStart w:id="260" w:name="_Toc21237"/>
      <w:bookmarkStart w:id="261" w:name="_Toc48649708"/>
      <w:bookmarkStart w:id="262" w:name="_Toc739"/>
      <w:bookmarkStart w:id="263" w:name="_Toc481653681"/>
      <w:bookmarkStart w:id="264" w:name="_Toc17920"/>
      <w:bookmarkStart w:id="265" w:name="_Toc123112238"/>
      <w:bookmarkStart w:id="266" w:name="_Toc8791"/>
      <w:bookmarkStart w:id="267" w:name="_Toc98560356"/>
      <w:bookmarkStart w:id="268" w:name="_Toc5170"/>
      <w:bookmarkStart w:id="269" w:name="_Toc3329"/>
      <w:bookmarkStart w:id="270" w:name="_Toc29408"/>
      <w:bookmarkStart w:id="271" w:name="_Toc141703890"/>
      <w:bookmarkStart w:id="272" w:name="_Toc139991740"/>
      <w:bookmarkStart w:id="273" w:name="_Toc32584"/>
      <w:bookmarkStart w:id="274" w:name="_Toc79392622"/>
      <w:r>
        <w:rPr>
          <w:rFonts w:ascii="Times New Roman" w:hAnsi="Times New Roman" w:cs="Times New Roman"/>
          <w:color w:val="auto"/>
          <w:sz w:val="30"/>
          <w:lang w:eastAsia="zh-CN"/>
        </w:rPr>
        <w:t>第十部分 基金的托管</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snapToGrid w:val="0"/>
        <w:spacing w:after="0" w:line="360" w:lineRule="auto"/>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基金托管人和基金管理人按照《基金法》、《基金合同》及其他有关规定订立托管协议。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lang w:eastAsia="zh-CN"/>
        </w:rPr>
        <w:br w:type="page"/>
      </w:r>
      <w:bookmarkStart w:id="275" w:name="_Toc123051457"/>
      <w:bookmarkStart w:id="276" w:name="_Toc123102458"/>
      <w:bookmarkStart w:id="277" w:name="_Toc12328"/>
      <w:bookmarkStart w:id="278" w:name="_Toc481653682"/>
      <w:bookmarkStart w:id="279" w:name="_Toc26383"/>
      <w:bookmarkStart w:id="280" w:name="_Toc14725"/>
      <w:bookmarkStart w:id="281" w:name="_Toc22674"/>
      <w:bookmarkStart w:id="282" w:name="_Toc139991741"/>
      <w:bookmarkStart w:id="283" w:name="_Toc16789"/>
      <w:bookmarkStart w:id="284" w:name="_Toc26084"/>
      <w:bookmarkStart w:id="285" w:name="_Toc2255"/>
      <w:bookmarkStart w:id="286" w:name="_Toc141703891"/>
      <w:bookmarkStart w:id="287" w:name="_Toc123112239"/>
      <w:bookmarkStart w:id="288" w:name="_Toc21886"/>
      <w:bookmarkStart w:id="289" w:name="_Toc19520"/>
      <w:bookmarkStart w:id="290" w:name="_Toc48649710"/>
      <w:bookmarkStart w:id="291" w:name="_Toc97040611"/>
      <w:bookmarkStart w:id="292" w:name="_Toc26152"/>
      <w:bookmarkStart w:id="293" w:name="_Toc98560357"/>
      <w:bookmarkStart w:id="294" w:name="_Toc3244"/>
      <w:bookmarkStart w:id="295" w:name="_Toc79392624"/>
      <w:r>
        <w:rPr>
          <w:rFonts w:ascii="Times New Roman" w:hAnsi="Times New Roman" w:cs="Times New Roman"/>
          <w:color w:val="auto"/>
          <w:sz w:val="30"/>
          <w:lang w:eastAsia="zh-CN"/>
        </w:rPr>
        <w:t>第十一部分 基金份额的登记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snapToGrid w:val="0"/>
        <w:spacing w:after="0" w:line="360" w:lineRule="auto"/>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一、基金份额的登记业务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二、基金登记业务办理机构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本基金的登记业务由基金管理人或基金管理人委托的其他符合条件的机构办理</w:t>
      </w:r>
      <w:r>
        <w:rPr>
          <w:rFonts w:ascii="Times New Roman" w:hAnsi="Times New Roman" w:cs="Times New Roman"/>
          <w:sz w:val="24"/>
          <w:lang w:eastAsia="zh-CN"/>
        </w:rPr>
        <w:t>，但基金管理人依法应当承担的责任不因委托而免除</w:t>
      </w:r>
      <w:r>
        <w:rPr>
          <w:rFonts w:ascii="Times New Roman" w:hAnsi="Times New Roman" w:cs="Times New Roman"/>
          <w:bCs/>
          <w:sz w:val="24"/>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三、基金登记机构的权利</w:t>
      </w:r>
      <w:bookmarkStart w:id="296" w:name="_Hlt88820748"/>
      <w:bookmarkEnd w:id="296"/>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基金登记机构享有以下权利：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1、取得登记费；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2、建立和管理投资者基金账户；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3、保管基金份额持有人开户资料、交易资料、基金份额持有人名册等；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4、在法律法规允许的范围内，</w:t>
      </w:r>
      <w:r>
        <w:rPr>
          <w:rFonts w:ascii="Times New Roman" w:hAnsi="Times New Roman" w:cs="Times New Roman"/>
          <w:sz w:val="24"/>
          <w:lang w:eastAsia="zh-CN"/>
        </w:rPr>
        <w:t>对登记业务的规则进行调整</w:t>
      </w:r>
      <w:r>
        <w:rPr>
          <w:rFonts w:ascii="Times New Roman" w:hAnsi="Times New Roman" w:cs="Times New Roman"/>
          <w:bCs/>
          <w:sz w:val="24"/>
          <w:lang w:eastAsia="zh-CN"/>
        </w:rPr>
        <w:t>，并依照有关规定于开始实施前在规定媒介上公告；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5、法律法规及中国证监会规定的和《基金合同》约定的其他权利。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四、基金登记机构的义务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基金登记机构承担以下义务：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1、配备足够的专业人员办理本基金份额的登记业务；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2、严格按照法律法规和《基金合同》规定的条件办理本基金份额的登记业务；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3、妥善保存登记数据，并将基金份额持有人名称、身份信息及基金份额明细等数据备份至中国证监会认定的机构。其保存期限自基金账户销户之日起不得少于20年；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5、按《基金合同》及招募说明书规定为投资者办理非交易过户业务、提供其他必要的服务；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6、接受基金管理人的监督；</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7、法律法规及中国证监会规定的和《基金合同》约定的其他义务。</w:t>
      </w: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lang w:eastAsia="zh-CN"/>
        </w:rPr>
        <w:br w:type="page"/>
      </w:r>
      <w:bookmarkStart w:id="297" w:name="_Toc22538"/>
      <w:bookmarkStart w:id="298" w:name="_Toc11351"/>
      <w:bookmarkStart w:id="299" w:name="_Toc2981"/>
      <w:bookmarkStart w:id="300" w:name="_Toc481653683"/>
      <w:bookmarkStart w:id="301" w:name="_Toc5477"/>
      <w:bookmarkStart w:id="302" w:name="_Toc3872"/>
      <w:bookmarkStart w:id="303" w:name="_Toc11395"/>
      <w:bookmarkStart w:id="304" w:name="_Toc16437"/>
      <w:bookmarkStart w:id="305" w:name="_Toc21917"/>
      <w:bookmarkStart w:id="306" w:name="_Toc97040612"/>
      <w:bookmarkStart w:id="307" w:name="_Toc578"/>
      <w:bookmarkStart w:id="308" w:name="_Toc801"/>
      <w:bookmarkStart w:id="309" w:name="_Toc13824"/>
      <w:r>
        <w:rPr>
          <w:rFonts w:ascii="Times New Roman" w:hAnsi="Times New Roman" w:cs="Times New Roman"/>
          <w:color w:val="auto"/>
          <w:sz w:val="30"/>
          <w:lang w:eastAsia="zh-CN"/>
        </w:rPr>
        <w:t>第十二部分 基金的投资</w:t>
      </w:r>
      <w:bookmarkEnd w:id="297"/>
      <w:bookmarkEnd w:id="298"/>
      <w:bookmarkEnd w:id="299"/>
      <w:bookmarkEnd w:id="300"/>
      <w:bookmarkEnd w:id="301"/>
      <w:bookmarkEnd w:id="302"/>
      <w:bookmarkEnd w:id="303"/>
      <w:bookmarkEnd w:id="304"/>
      <w:bookmarkEnd w:id="305"/>
      <w:bookmarkEnd w:id="306"/>
      <w:bookmarkEnd w:id="307"/>
      <w:bookmarkEnd w:id="308"/>
      <w:bookmarkEnd w:id="309"/>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一、投资目标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本基金在严格控制风险的前提下，力争实现基金资产的长期稳健增值。</w:t>
      </w:r>
    </w:p>
    <w:p>
      <w:pPr>
        <w:snapToGrid w:val="0"/>
        <w:spacing w:after="0" w:line="360" w:lineRule="auto"/>
        <w:ind w:firstLine="480"/>
        <w:rPr>
          <w:rFonts w:ascii="Times New Roman" w:hAnsi="Times New Roman" w:cs="Times New Roman"/>
          <w:bCs/>
          <w:sz w:val="24"/>
          <w:lang w:eastAsia="zh-CN"/>
        </w:rPr>
      </w:pPr>
      <w:bookmarkStart w:id="310" w:name="_Hlk86319326"/>
      <w:r>
        <w:rPr>
          <w:rFonts w:ascii="Times New Roman" w:hAnsi="Times New Roman" w:cs="Times New Roman"/>
          <w:bCs/>
          <w:sz w:val="24"/>
          <w:lang w:eastAsia="zh-CN"/>
        </w:rPr>
        <w:t>二、投资范围</w:t>
      </w:r>
    </w:p>
    <w:p>
      <w:pPr>
        <w:snapToGrid w:val="0"/>
        <w:spacing w:after="0" w:line="360" w:lineRule="auto"/>
        <w:ind w:firstLine="480"/>
        <w:rPr>
          <w:rFonts w:ascii="Times New Roman" w:hAnsi="Times New Roman" w:cs="Times New Roman"/>
          <w:bCs/>
          <w:sz w:val="24"/>
          <w:lang w:eastAsia="zh-CN"/>
        </w:rPr>
      </w:pPr>
      <w:bookmarkStart w:id="311" w:name="_Hlk56277513"/>
      <w:r>
        <w:rPr>
          <w:rFonts w:ascii="Times New Roman" w:hAnsi="Times New Roman" w:cs="Times New Roman"/>
          <w:bCs/>
          <w:sz w:val="24"/>
          <w:lang w:eastAsia="zh-CN"/>
        </w:rPr>
        <w:t>本基金的投资范围为具有良好流动性的金融工具，包括国内依法发行或上市的股票（包括创业板及其他经中国证监会核准或注册上市的股票、存托凭证）</w:t>
      </w:r>
      <w:r>
        <w:rPr>
          <w:rFonts w:cs="Times New Roman" w:asciiTheme="minorEastAsia" w:hAnsiTheme="minorEastAsia" w:eastAsiaTheme="minorEastAsia"/>
          <w:bCs/>
          <w:sz w:val="24"/>
          <w:lang w:eastAsia="zh-CN"/>
        </w:rPr>
        <w:t>、港股通机制下允许投资的规定范围内的香港联合交易所上市的股票（以下简称“港股通标的股票”）</w:t>
      </w:r>
      <w:r>
        <w:rPr>
          <w:rFonts w:ascii="Times New Roman" w:hAnsi="Times New Roman" w:cs="Times New Roman"/>
          <w:bCs/>
          <w:sz w:val="24"/>
          <w:lang w:eastAsia="zh-CN"/>
        </w:rPr>
        <w:t>、债券（包括国债、地方政府债、</w:t>
      </w:r>
      <w:r>
        <w:rPr>
          <w:rFonts w:hint="eastAsia" w:ascii="Times New Roman" w:hAnsi="Times New Roman" w:cs="Times New Roman"/>
          <w:bCs/>
          <w:sz w:val="24"/>
          <w:lang w:eastAsia="zh-CN"/>
        </w:rPr>
        <w:t>政府支持机构债、政府支持债券、</w:t>
      </w:r>
      <w:r>
        <w:rPr>
          <w:rFonts w:ascii="Times New Roman" w:hAnsi="Times New Roman" w:cs="Times New Roman"/>
          <w:bCs/>
          <w:sz w:val="24"/>
          <w:lang w:eastAsia="zh-CN"/>
        </w:rPr>
        <w:t>央行票据、金融债、企业债、公司债、次级债、可转换债券（含分离交易可转债）、可交换债券、短期融资券、超短期融资券、中期票据等）、资产支持证券、债券回购、银行存款（包括协议存款、定期存款及其他银行存款）、同业存单、货币市场工具、</w:t>
      </w:r>
      <w:r>
        <w:rPr>
          <w:rFonts w:hint="eastAsia" w:ascii="Times New Roman" w:hAnsi="Times New Roman" w:cs="Times New Roman"/>
          <w:bCs/>
          <w:sz w:val="24"/>
          <w:lang w:eastAsia="zh-CN"/>
        </w:rPr>
        <w:t>经中国证监会依法核准或注册的公开募集证券投资基金（以下简称“证券投资基金”，仅包括全市场股票型ETF、全市场公开募集不动产投资信托基金（以下简称“公募REITs”）、基金管理人旗下的股票型基金及计入权益类资产的混合型基金，不包含QDII基金、香港互认基金、货币市场基金、基金中基金、其他可投资基金的基金和本基金基金经理管理的其他基金）、国债期货</w:t>
      </w:r>
      <w:r>
        <w:rPr>
          <w:rFonts w:ascii="Times New Roman" w:hAnsi="Times New Roman" w:cs="Times New Roman"/>
          <w:bCs/>
          <w:sz w:val="24"/>
          <w:lang w:eastAsia="zh-CN"/>
        </w:rPr>
        <w:t>以及法律法规或中国证监会允许基金投资的其他金融工具（但须符合中国证监会相关规定）。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如法律法规或监管机构以后允许基金投资其他品种，基金管理人在履行适当程序后，可以将其纳入投资范围。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基金的投资组合比例为：本基金投资于债券资产的比例不低于基金资产的80%；投资于</w:t>
      </w:r>
      <w:bookmarkStart w:id="312" w:name="_Hlk99722532"/>
      <w:r>
        <w:rPr>
          <w:rFonts w:hint="eastAsia"/>
          <w:bCs/>
          <w:sz w:val="24"/>
          <w:lang w:eastAsia="zh-CN"/>
        </w:rPr>
        <w:t>股票（含存托凭证）、股票型基金、计入权益类资产的混合型基金</w:t>
      </w:r>
      <w:r>
        <w:rPr>
          <w:rFonts w:ascii="Times New Roman" w:hAnsi="Times New Roman" w:cs="Times New Roman"/>
          <w:bCs/>
          <w:sz w:val="24"/>
          <w:lang w:eastAsia="zh-CN"/>
        </w:rPr>
        <w:t>、可转换债券</w:t>
      </w:r>
      <w:r>
        <w:rPr>
          <w:rFonts w:hint="eastAsia" w:ascii="Times New Roman" w:hAnsi="Times New Roman" w:cs="Times New Roman"/>
          <w:bCs/>
          <w:sz w:val="24"/>
          <w:lang w:eastAsia="zh-CN"/>
        </w:rPr>
        <w:t>（不</w:t>
      </w:r>
      <w:r>
        <w:rPr>
          <w:rFonts w:ascii="Times New Roman" w:hAnsi="Times New Roman" w:cs="Times New Roman"/>
          <w:bCs/>
          <w:sz w:val="24"/>
          <w:lang w:eastAsia="zh-CN"/>
        </w:rPr>
        <w:t>含分离交易可转债</w:t>
      </w:r>
      <w:r>
        <w:rPr>
          <w:rFonts w:hint="eastAsia" w:ascii="Times New Roman" w:hAnsi="Times New Roman" w:cs="Times New Roman"/>
          <w:bCs/>
          <w:sz w:val="24"/>
          <w:lang w:eastAsia="zh-CN"/>
        </w:rPr>
        <w:t>的纯债部分）</w:t>
      </w:r>
      <w:r>
        <w:rPr>
          <w:rFonts w:ascii="Times New Roman" w:hAnsi="Times New Roman" w:cs="Times New Roman"/>
          <w:bCs/>
          <w:sz w:val="24"/>
          <w:lang w:eastAsia="zh-CN"/>
        </w:rPr>
        <w:t>、可交换债券</w:t>
      </w:r>
      <w:bookmarkEnd w:id="312"/>
      <w:r>
        <w:rPr>
          <w:rFonts w:ascii="Times New Roman" w:hAnsi="Times New Roman" w:cs="Times New Roman"/>
          <w:bCs/>
          <w:sz w:val="24"/>
          <w:lang w:eastAsia="zh-CN"/>
        </w:rPr>
        <w:t>的比例</w:t>
      </w:r>
      <w:r>
        <w:rPr>
          <w:rFonts w:hint="eastAsia" w:ascii="Times New Roman" w:hAnsi="Times New Roman" w:cs="Times New Roman"/>
          <w:bCs/>
          <w:sz w:val="24"/>
          <w:lang w:eastAsia="zh-CN"/>
        </w:rPr>
        <w:t>合计占</w:t>
      </w:r>
      <w:r>
        <w:rPr>
          <w:rFonts w:ascii="Times New Roman" w:hAnsi="Times New Roman" w:cs="Times New Roman"/>
          <w:bCs/>
          <w:sz w:val="24"/>
          <w:lang w:eastAsia="zh-CN"/>
        </w:rPr>
        <w:t>基金资产</w:t>
      </w:r>
      <w:r>
        <w:rPr>
          <w:rFonts w:hint="eastAsia" w:ascii="Times New Roman" w:hAnsi="Times New Roman" w:cs="Times New Roman"/>
          <w:bCs/>
          <w:sz w:val="24"/>
          <w:lang w:eastAsia="zh-CN"/>
        </w:rPr>
        <w:t>的5%-</w:t>
      </w:r>
      <w:r>
        <w:rPr>
          <w:rFonts w:ascii="Times New Roman" w:hAnsi="Times New Roman" w:cs="Times New Roman"/>
          <w:bCs/>
          <w:sz w:val="24"/>
          <w:lang w:eastAsia="zh-CN"/>
        </w:rPr>
        <w:t>20%</w:t>
      </w:r>
      <w:r>
        <w:rPr>
          <w:rFonts w:hint="eastAsia" w:ascii="Times New Roman" w:hAnsi="Times New Roman" w:cs="Times New Roman"/>
          <w:bCs/>
          <w:sz w:val="24"/>
          <w:lang w:eastAsia="zh-CN"/>
        </w:rPr>
        <w:t>；其中投资于境内股票(含A股股票型ETF)的比例不低于基金资产的5%，投资于港股通标的股票的比例不超过股票资产的50%</w:t>
      </w:r>
      <w:r>
        <w:rPr>
          <w:rFonts w:ascii="Times New Roman" w:hAnsi="Times New Roman" w:cs="Times New Roman"/>
          <w:bCs/>
          <w:sz w:val="24"/>
          <w:lang w:eastAsia="zh-CN"/>
        </w:rPr>
        <w:t>；</w:t>
      </w:r>
      <w:r>
        <w:rPr>
          <w:rFonts w:hint="eastAsia" w:ascii="Times New Roman" w:hAnsi="Times New Roman" w:cs="Times New Roman"/>
          <w:bCs/>
          <w:sz w:val="24"/>
          <w:lang w:eastAsia="zh-CN"/>
        </w:rPr>
        <w:t>本基金投资于证券投资基金的资产不超过基金资产净值的</w:t>
      </w:r>
      <w:r>
        <w:rPr>
          <w:rFonts w:ascii="Times New Roman" w:hAnsi="Times New Roman" w:cs="Times New Roman"/>
          <w:bCs/>
          <w:sz w:val="24"/>
          <w:lang w:eastAsia="zh-CN"/>
        </w:rPr>
        <w:t>10%</w:t>
      </w:r>
      <w:r>
        <w:rPr>
          <w:rFonts w:hint="eastAsia" w:ascii="Times New Roman" w:hAnsi="Times New Roman" w:cs="Times New Roman"/>
          <w:bCs/>
          <w:sz w:val="24"/>
          <w:lang w:eastAsia="zh-CN"/>
        </w:rPr>
        <w:t>；</w:t>
      </w:r>
      <w:r>
        <w:rPr>
          <w:rFonts w:ascii="Times New Roman" w:hAnsi="Times New Roman" w:cs="Times New Roman"/>
          <w:bCs/>
          <w:sz w:val="24"/>
          <w:lang w:eastAsia="zh-CN"/>
        </w:rPr>
        <w:t>每个交易日日终在扣除国债期货合约需缴纳的交易保证金后，应当保持现金或者到期日在一年以内的政府债券不低于基金资产净值的5%，其中现金不包含结算备付金、存出保证金和应收申购款等。</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其中，</w:t>
      </w:r>
      <w:r>
        <w:rPr>
          <w:rFonts w:hint="eastAsia"/>
          <w:bCs/>
          <w:sz w:val="24"/>
          <w:lang w:eastAsia="zh-CN"/>
        </w:rPr>
        <w:t>计入</w:t>
      </w:r>
      <w:bookmarkStart w:id="313" w:name="OLE_LINK5"/>
      <w:bookmarkStart w:id="314" w:name="OLE_LINK6"/>
      <w:r>
        <w:rPr>
          <w:rFonts w:hint="eastAsia"/>
          <w:bCs/>
          <w:sz w:val="24"/>
          <w:lang w:eastAsia="zh-CN"/>
        </w:rPr>
        <w:t>权益类资产</w:t>
      </w:r>
      <w:bookmarkEnd w:id="313"/>
      <w:bookmarkEnd w:id="314"/>
      <w:r>
        <w:rPr>
          <w:rFonts w:hint="eastAsia"/>
          <w:bCs/>
          <w:sz w:val="24"/>
          <w:lang w:eastAsia="zh-CN"/>
        </w:rPr>
        <w:t>的混合型基金需满足以下条件之一</w:t>
      </w:r>
      <w:r>
        <w:rPr>
          <w:rFonts w:hint="eastAsia" w:ascii="Times New Roman" w:hAnsi="Times New Roman" w:cs="Times New Roman"/>
          <w:bCs/>
          <w:sz w:val="24"/>
          <w:lang w:eastAsia="zh-CN"/>
        </w:rPr>
        <w:t>：（</w:t>
      </w:r>
      <w:r>
        <w:rPr>
          <w:rFonts w:ascii="Times New Roman" w:hAnsi="Times New Roman" w:cs="Times New Roman"/>
          <w:bCs/>
          <w:sz w:val="24"/>
          <w:lang w:eastAsia="zh-CN"/>
        </w:rPr>
        <w:t>1</w:t>
      </w:r>
      <w:r>
        <w:rPr>
          <w:rFonts w:hint="eastAsia" w:ascii="Times New Roman" w:hAnsi="Times New Roman" w:cs="Times New Roman"/>
          <w:bCs/>
          <w:sz w:val="24"/>
          <w:lang w:eastAsia="zh-CN"/>
        </w:rPr>
        <w:t>）基金合同约定投资股票及存托凭证资产占基金资产的比例不低于</w:t>
      </w:r>
      <w:r>
        <w:rPr>
          <w:rFonts w:ascii="Times New Roman" w:hAnsi="Times New Roman" w:cs="Times New Roman"/>
          <w:bCs/>
          <w:sz w:val="24"/>
          <w:lang w:eastAsia="zh-CN"/>
        </w:rPr>
        <w:t>60%</w:t>
      </w:r>
      <w:r>
        <w:rPr>
          <w:rFonts w:hint="eastAsia" w:ascii="Times New Roman" w:hAnsi="Times New Roman" w:cs="Times New Roman"/>
          <w:bCs/>
          <w:sz w:val="24"/>
          <w:lang w:eastAsia="zh-CN"/>
        </w:rPr>
        <w:t>；（</w:t>
      </w:r>
      <w:r>
        <w:rPr>
          <w:rFonts w:ascii="Times New Roman" w:hAnsi="Times New Roman" w:cs="Times New Roman"/>
          <w:bCs/>
          <w:sz w:val="24"/>
          <w:lang w:eastAsia="zh-CN"/>
        </w:rPr>
        <w:t>2</w:t>
      </w:r>
      <w:r>
        <w:rPr>
          <w:rFonts w:hint="eastAsia" w:ascii="Times New Roman" w:hAnsi="Times New Roman" w:cs="Times New Roman"/>
          <w:bCs/>
          <w:sz w:val="24"/>
          <w:lang w:eastAsia="zh-CN"/>
        </w:rPr>
        <w:t>）基金最近</w:t>
      </w:r>
      <w:r>
        <w:rPr>
          <w:rFonts w:ascii="Times New Roman" w:hAnsi="Times New Roman" w:cs="Times New Roman"/>
          <w:bCs/>
          <w:sz w:val="24"/>
          <w:lang w:eastAsia="zh-CN"/>
        </w:rPr>
        <w:t>4</w:t>
      </w:r>
      <w:r>
        <w:rPr>
          <w:rFonts w:hint="eastAsia" w:ascii="Times New Roman" w:hAnsi="Times New Roman" w:cs="Times New Roman"/>
          <w:bCs/>
          <w:sz w:val="24"/>
          <w:lang w:eastAsia="zh-CN"/>
        </w:rPr>
        <w:t>期季度报告中披露的股票及存托凭证资产占基金资产的比例均不低于</w:t>
      </w:r>
      <w:r>
        <w:rPr>
          <w:rFonts w:ascii="Times New Roman" w:hAnsi="Times New Roman" w:cs="Times New Roman"/>
          <w:bCs/>
          <w:sz w:val="24"/>
          <w:lang w:eastAsia="zh-CN"/>
        </w:rPr>
        <w:t>60%</w:t>
      </w:r>
      <w:r>
        <w:rPr>
          <w:rFonts w:hint="eastAsia"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如果法律法规对该比例要求有变更的，基金管理人在履行适当程序后，本基金的投资比例相应调整。</w:t>
      </w:r>
      <w:bookmarkEnd w:id="310"/>
      <w:bookmarkEnd w:id="311"/>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三、投资策略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1、大类资产配置策略</w:t>
      </w:r>
    </w:p>
    <w:p>
      <w:pPr>
        <w:tabs>
          <w:tab w:val="center" w:pos="4393"/>
        </w:tabs>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本基金采用多因素分析框架，从宏观经济环境、政策因素、市场利率水平、资金供求因素、市场投资价值等方面，采取定量与定性相结合的分析方法，给出股票、债券</w:t>
      </w:r>
      <w:r>
        <w:rPr>
          <w:rFonts w:hint="eastAsia" w:ascii="Times New Roman" w:hAnsi="Times New Roman" w:cs="Times New Roman"/>
          <w:bCs/>
          <w:sz w:val="24"/>
          <w:lang w:eastAsia="zh-CN"/>
        </w:rPr>
        <w:t>、基金</w:t>
      </w:r>
      <w:r>
        <w:rPr>
          <w:rFonts w:ascii="Times New Roman" w:hAnsi="Times New Roman" w:cs="Times New Roman"/>
          <w:bCs/>
          <w:sz w:val="24"/>
          <w:lang w:eastAsia="zh-CN"/>
        </w:rPr>
        <w:t>和货币市场工具等大类资产投资机会的整体评估，作为资产配置的重要依据。基金管理人将根据股市、债市等的相对风险收益预期，调整股票、债券、</w:t>
      </w:r>
      <w:r>
        <w:rPr>
          <w:rFonts w:hint="eastAsia" w:ascii="Times New Roman" w:hAnsi="Times New Roman" w:cs="Times New Roman"/>
          <w:bCs/>
          <w:sz w:val="24"/>
          <w:lang w:eastAsia="zh-CN"/>
        </w:rPr>
        <w:t>基金、</w:t>
      </w:r>
      <w:r>
        <w:rPr>
          <w:rFonts w:ascii="Times New Roman" w:hAnsi="Times New Roman" w:cs="Times New Roman"/>
          <w:bCs/>
          <w:sz w:val="24"/>
          <w:lang w:eastAsia="zh-CN"/>
        </w:rPr>
        <w:t>货币市场工具等资产的配置比例。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2、债券和资产支持证券投资策略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（1）利率类品种投资策略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对国债、央行票据等利率品种的投资，是在对国内、国外经济趋势进行分析和预测基础上，运用数量方法对利率期限结构变化趋势和债券市场供求关系变化进行分析和预测，深入分析利率品种的收益和风险，调整债券组合的平均久期。在确定组合平均久期后，本基金对债券的期限结构进行分析，运用统计和数量分析技术，选择合适的期限结构的配置策略，在合理控制风险的前提下，综合考虑组合的流动性，决定投资品种。具体的利率品种投资策略包括目标久期策略、收益率曲线策略、相对价值策略、骑乘策略、利差套利策略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w:t>
      </w:r>
      <w:r>
        <w:rPr>
          <w:rFonts w:hint="eastAsia" w:ascii="Times New Roman" w:hAnsi="Times New Roman" w:cs="Times New Roman"/>
          <w:bCs/>
          <w:sz w:val="24"/>
          <w:lang w:eastAsia="zh-CN"/>
        </w:rPr>
        <w:t>信用债（含资产支持证券，下同）投资策略</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本基金在基金管理人研发的信用债券评级体系的基础上，考察信用资质变化、供需关系等因素，制定信用债券投资策略。</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本基金投资于信用评级在AA+（含）以上的信用债，其中，投资于AA+评级的信用债不超过信用债资产合计的</w:t>
      </w:r>
      <w:r>
        <w:rPr>
          <w:rFonts w:ascii="Times New Roman" w:hAnsi="Times New Roman" w:cs="Times New Roman"/>
          <w:bCs/>
          <w:sz w:val="24"/>
          <w:lang w:eastAsia="zh-CN"/>
        </w:rPr>
        <w:t>50%</w:t>
      </w:r>
      <w:r>
        <w:rPr>
          <w:rFonts w:hint="eastAsia" w:ascii="Times New Roman" w:hAnsi="Times New Roman" w:cs="Times New Roman"/>
          <w:bCs/>
          <w:sz w:val="24"/>
          <w:lang w:eastAsia="zh-CN"/>
        </w:rPr>
        <w:t>；投资于AAA及以上评级的信用债不低于信用债资产合计的</w:t>
      </w:r>
      <w:r>
        <w:rPr>
          <w:rFonts w:ascii="Times New Roman" w:hAnsi="Times New Roman" w:cs="Times New Roman"/>
          <w:bCs/>
          <w:sz w:val="24"/>
          <w:lang w:eastAsia="zh-CN"/>
        </w:rPr>
        <w:t>50%</w:t>
      </w:r>
      <w:r>
        <w:rPr>
          <w:rFonts w:hint="eastAsia" w:ascii="Times New Roman" w:hAnsi="Times New Roman" w:cs="Times New Roman"/>
          <w:bCs/>
          <w:sz w:val="24"/>
          <w:lang w:eastAsia="zh-CN"/>
        </w:rPr>
        <w:t>。上述信用评级为债项评级，无债项评级则依照其主体评级，短期融资券、超短期融资券等短期信用债的信用评级依照其主体评级。本基金对信用债评级的认定参照基金管理人选定的评级机构出具的信用评级。因资信评级机构调整评级等基金管理人之外的因素致使本基金投资信用债比例不符合上述约定投资比例的，基金管理人应当在该信用债可交易之日起3个月内调整完毕，中国证监会规定的特殊情形除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1）基于信用资质变化的策略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根据基金管理人完善的信用风险分析框架，建立内部信用评级体系，根据债务主体的现金流和经营状况客观分析违约风险及合理的信用利差水平，对债券进行独立、客观价值评估。规避信用状况恶化的发债主体，挖掘市场定价偏低的品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2）基于供给变化的策略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本基金将根据市场债券供给变化，对资产组合做出相应调整。根据市场资金松紧程度和参与主体的交易意愿判断未来债券市场的走向，采取合适的投资策略来获取收益。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3）资产支持证券投资策略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（3）可转换债券/可交换债券投资策略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可转换债券/可交换债券兼具权益类证券与固定收益类证券的特性，具有抵御下行风险、分享股票价格上涨收益的特点。本基金在对可转换债券/可交换债券条款和发行债券公司基本面进行深入分析研究的基础上，综合考虑可转换债券/可交换债券的债性和股性，利用定价模型进行估值分析，并最终选择合适的投资品种。</w:t>
      </w:r>
    </w:p>
    <w:p>
      <w:pPr>
        <w:tabs>
          <w:tab w:val="center" w:pos="4393"/>
        </w:tabs>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3、股票投资策略</w:t>
      </w:r>
    </w:p>
    <w:p>
      <w:pPr>
        <w:tabs>
          <w:tab w:val="center" w:pos="4393"/>
        </w:tabs>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基金管理人依托强大的研究平台，通过多层面、多维度的方法来深入研究公司的基本面状况，挖掘企业的价值驱动因素。</w:t>
      </w:r>
    </w:p>
    <w:p>
      <w:pPr>
        <w:tabs>
          <w:tab w:val="center" w:pos="4393"/>
        </w:tabs>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（1）行业配置策略</w:t>
      </w:r>
    </w:p>
    <w:p>
      <w:pPr>
        <w:tabs>
          <w:tab w:val="center" w:pos="4393"/>
        </w:tabs>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行业配置层面，本基金将运用“自上而下”的行业配置方法，通过对国内外宏观经济走势、经济结构转型的方向、国家经济与产业政策导向和经济周期调整的深入研究，采用价值理念与成长理念相结合的方法来对行业进行筛选。</w:t>
      </w:r>
    </w:p>
    <w:p>
      <w:pPr>
        <w:tabs>
          <w:tab w:val="center" w:pos="4393"/>
        </w:tabs>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（2）个股投资策略</w:t>
      </w:r>
    </w:p>
    <w:p>
      <w:pPr>
        <w:tabs>
          <w:tab w:val="center" w:pos="4393"/>
        </w:tabs>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本基金将主要采用“自下而上”的个股选择方法，在拟配置的行业内部通过定量与定性相结合的分析方法筛选个股。</w:t>
      </w:r>
    </w:p>
    <w:p>
      <w:pPr>
        <w:tabs>
          <w:tab w:val="center" w:pos="4393"/>
        </w:tabs>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定量的方法主要是依据基金管理人自有个股分析模型，通过对价值指标、成长指标、盈利指标等公开数据的细致分析，考察上市公司的盈利能力、盈利质量、成长能力、运营能力以及负债水平等方面，初步筛选出财务健康、成长性良好的优质股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定性的方法主要是在定量分析的基础上，由基金管理人的研究人员采用案头研究和实地调研相结合的办法对拟投资公司的投资价值、核心竞争力、主营业务成长性、公司治理结构、经营管理能力、商业模式等进行定性分析以确定最终的投资目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（3）港股通标的股票投资策略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本基金将通过港股通机制投资于香港股票市场，不使用合格境内机构投资者(QDII)境外投资额度进行境外投资。本基金将重点关注：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1）A股稀缺性行业个股，包括优质中资公司（如国内互联网及软件企业、国内部分消费行业领导品牌等）、A股缺乏投资标的的行业；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2）具有持续领先优势或核心竞争力的企业，这类企业应具有良好成长性或为市场龙头；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3）盈利能力较高、分红稳定或分红潜力大的上市公司；</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4）与A股同类公司相比具有估值优势的公司。</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4、基金投资策略</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针对基金投资，本基金投资于全市场股票型ETF、全市场公募REITs及基金管理人旗下的权益类基金（包括股票型基金、计入权益类资产的混合型基金）。其中，计入权益类资产的混合型基金需符合下列两个条件之一：（</w:t>
      </w:r>
      <w:r>
        <w:rPr>
          <w:rFonts w:ascii="Times New Roman" w:hAnsi="Times New Roman" w:cs="Times New Roman"/>
          <w:bCs/>
          <w:sz w:val="24"/>
          <w:lang w:eastAsia="zh-CN"/>
        </w:rPr>
        <w:t>1</w:t>
      </w:r>
      <w:r>
        <w:rPr>
          <w:rFonts w:hint="eastAsia" w:ascii="Times New Roman" w:hAnsi="Times New Roman" w:cs="Times New Roman"/>
          <w:bCs/>
          <w:sz w:val="24"/>
          <w:lang w:eastAsia="zh-CN"/>
        </w:rPr>
        <w:t>）基金合同约定投资股票及存托凭证资产占基金资产的比例不低于</w:t>
      </w:r>
      <w:r>
        <w:rPr>
          <w:rFonts w:ascii="Times New Roman" w:hAnsi="Times New Roman" w:cs="Times New Roman"/>
          <w:bCs/>
          <w:sz w:val="24"/>
          <w:lang w:eastAsia="zh-CN"/>
        </w:rPr>
        <w:t>60%</w:t>
      </w:r>
      <w:r>
        <w:rPr>
          <w:rFonts w:hint="eastAsia" w:ascii="Times New Roman" w:hAnsi="Times New Roman" w:cs="Times New Roman"/>
          <w:bCs/>
          <w:sz w:val="24"/>
          <w:lang w:eastAsia="zh-CN"/>
        </w:rPr>
        <w:t>；（</w:t>
      </w:r>
      <w:r>
        <w:rPr>
          <w:rFonts w:ascii="Times New Roman" w:hAnsi="Times New Roman" w:cs="Times New Roman"/>
          <w:bCs/>
          <w:sz w:val="24"/>
          <w:lang w:eastAsia="zh-CN"/>
        </w:rPr>
        <w:t>2</w:t>
      </w:r>
      <w:r>
        <w:rPr>
          <w:rFonts w:hint="eastAsia" w:ascii="Times New Roman" w:hAnsi="Times New Roman" w:cs="Times New Roman"/>
          <w:bCs/>
          <w:sz w:val="24"/>
          <w:lang w:eastAsia="zh-CN"/>
        </w:rPr>
        <w:t>）基金最近</w:t>
      </w:r>
      <w:r>
        <w:rPr>
          <w:rFonts w:ascii="Times New Roman" w:hAnsi="Times New Roman" w:cs="Times New Roman"/>
          <w:bCs/>
          <w:sz w:val="24"/>
          <w:lang w:eastAsia="zh-CN"/>
        </w:rPr>
        <w:t>4</w:t>
      </w:r>
      <w:r>
        <w:rPr>
          <w:rFonts w:hint="eastAsia" w:ascii="Times New Roman" w:hAnsi="Times New Roman" w:cs="Times New Roman"/>
          <w:bCs/>
          <w:sz w:val="24"/>
          <w:lang w:eastAsia="zh-CN"/>
        </w:rPr>
        <w:t>期季度报告中披露的股票及存托凭证资产占基金资产的比例均不低于</w:t>
      </w:r>
      <w:r>
        <w:rPr>
          <w:rFonts w:ascii="Times New Roman" w:hAnsi="Times New Roman" w:cs="Times New Roman"/>
          <w:bCs/>
          <w:sz w:val="24"/>
          <w:lang w:eastAsia="zh-CN"/>
        </w:rPr>
        <w:t>60%</w:t>
      </w:r>
      <w:r>
        <w:rPr>
          <w:rFonts w:hint="eastAsia"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本基金将结合定量和定性分析，发掘具有长期投资价值的优质基金进行投资布局。其中，定量筛选主要考察的因素包括但不限于历史收益持续性指标、外部评级机构综合评价指标、风险管理能力指标、基金有效规模等指标。定性的分析因素包括基金公司管理团队的综合素质、稳定性以及基金经理的教育背景、工作经历、投资理念、职业道德、违规记录等。综合考虑以上因素之后，形成基金的备选库。</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本基金基于权益类基金投资目标的不同，将标的基金分为主动和被动两大类：（1）针对主动管理类基金，本基金从基金风格、业绩表现、稳定性、规模变化等多角度进行分析，主要参考基金规模、历史业绩、风险调整后的收益、风险控制指标等一系列量化指标对基金进行分析，选取出投资风格稳定、预期能够获得良好业绩的基金；（2）针对被动型基金，本基金将综合考察标的指数表现、跟踪误差、超额收益、基金规模、流动性等多个指标，选取出跟踪误差小、流动性好、运作平稳的基金。同时，本基金还将通过分析标的基金基金管理人的资产管理规模、投研文化、风险控制能力等因素，对标的基金的业绩稳定性、风险控制能力等方面进行筛选。</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对于公募REITs，本基金将针对公募REITs的不动产资产所属的行业周期（供需结构、运营收入和资产价格波动等）以及其他可比投资资产项目的风险和预期收益率来判断公募REITs持有不动产项目当前的投资价值以及未来的发展空间，同时结合公募REITs流动性及估值等因素，研究并精选出具有较高投资价值的公募REITs进行投资。本基金根据投资策略需要或市场环境变化，可选择将部分基金资产投资于公募REITs，也可以选择不投资公募REITs。</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基金管理人将精选适量的证券投资基金构建组合并进行持续、密切的跟踪，定期和不定期地进行基金组合的动态调整和优化配置。</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5</w:t>
      </w:r>
      <w:r>
        <w:rPr>
          <w:rFonts w:ascii="Times New Roman" w:hAnsi="Times New Roman" w:cs="Times New Roman"/>
          <w:bCs/>
          <w:sz w:val="24"/>
          <w:lang w:eastAsia="zh-CN"/>
        </w:rPr>
        <w:t>、存托凭证投资策略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本基金可投资存托凭证，将根据本基金的投资目标和股票投资策略，基于对基础证券投资价值的深入研究判断，采取定量与定性相结合的分析方法，选择投资价值高的存托凭证进行投资。</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6</w:t>
      </w:r>
      <w:r>
        <w:rPr>
          <w:rFonts w:ascii="Times New Roman" w:hAnsi="Times New Roman" w:cs="Times New Roman"/>
          <w:bCs/>
          <w:sz w:val="24"/>
          <w:lang w:eastAsia="zh-CN"/>
        </w:rPr>
        <w:t>、国债期货投资策略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将根据风险管理的原则，以套期保值为目的，主要选择流动性好、交易活跃的国债期货合约进行交易。本基金按照相关法律法规的规定，结合对宏观经济形势和政策趋势的判断、对债券市场进行定性和定量分析，对国债期货和现货基差、国债期货的流动性、波动水平、套期保值的有效性等指标进行跟踪监控，谨慎参与国债期货投资交易。</w:t>
      </w:r>
    </w:p>
    <w:p>
      <w:pPr>
        <w:snapToGrid w:val="0"/>
        <w:spacing w:after="0" w:line="360" w:lineRule="auto"/>
        <w:ind w:firstLine="480"/>
        <w:rPr>
          <w:rFonts w:ascii="Times New Roman" w:hAnsi="Times New Roman" w:cs="Times New Roman"/>
          <w:bCs/>
          <w:sz w:val="24"/>
          <w:lang w:eastAsia="zh-CN"/>
        </w:rPr>
      </w:pPr>
      <w:bookmarkStart w:id="315" w:name="_Hlk56279351"/>
      <w:r>
        <w:rPr>
          <w:rFonts w:ascii="Times New Roman" w:hAnsi="Times New Roman" w:cs="Times New Roman"/>
          <w:bCs/>
          <w:sz w:val="24"/>
          <w:lang w:eastAsia="zh-CN"/>
        </w:rPr>
        <w:t>四、投资限制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1、组合限制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基金的投资组合应遵循以下限制：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（1）本基金投资于债券资产的比例不低于基金资产的80%；投资于</w:t>
      </w:r>
      <w:r>
        <w:rPr>
          <w:rFonts w:hint="eastAsia"/>
          <w:bCs/>
          <w:sz w:val="24"/>
          <w:lang w:eastAsia="zh-CN"/>
        </w:rPr>
        <w:t>股票（含存托凭证）、股票型基金、计入权益类资产的混合型基金</w:t>
      </w:r>
      <w:r>
        <w:rPr>
          <w:rFonts w:ascii="Times New Roman" w:hAnsi="Times New Roman" w:cs="Times New Roman"/>
          <w:bCs/>
          <w:sz w:val="24"/>
          <w:lang w:eastAsia="zh-CN"/>
        </w:rPr>
        <w:t>、可转换债券</w:t>
      </w:r>
      <w:r>
        <w:rPr>
          <w:rFonts w:hint="eastAsia" w:ascii="Times New Roman" w:hAnsi="Times New Roman" w:cs="Times New Roman"/>
          <w:bCs/>
          <w:sz w:val="24"/>
          <w:lang w:eastAsia="zh-CN"/>
        </w:rPr>
        <w:t>（不</w:t>
      </w:r>
      <w:r>
        <w:rPr>
          <w:rFonts w:ascii="Times New Roman" w:hAnsi="Times New Roman" w:cs="Times New Roman"/>
          <w:bCs/>
          <w:sz w:val="24"/>
          <w:lang w:eastAsia="zh-CN"/>
        </w:rPr>
        <w:t>含分离交易可转债</w:t>
      </w:r>
      <w:r>
        <w:rPr>
          <w:rFonts w:hint="eastAsia" w:ascii="Times New Roman" w:hAnsi="Times New Roman" w:cs="Times New Roman"/>
          <w:bCs/>
          <w:sz w:val="24"/>
          <w:lang w:eastAsia="zh-CN"/>
        </w:rPr>
        <w:t>的纯债部分）</w:t>
      </w:r>
      <w:r>
        <w:rPr>
          <w:rFonts w:ascii="Times New Roman" w:hAnsi="Times New Roman" w:cs="Times New Roman"/>
          <w:bCs/>
          <w:sz w:val="24"/>
          <w:lang w:eastAsia="zh-CN"/>
        </w:rPr>
        <w:t>、可交换债券的比例</w:t>
      </w:r>
      <w:r>
        <w:rPr>
          <w:rFonts w:hint="eastAsia" w:ascii="Times New Roman" w:hAnsi="Times New Roman" w:cs="Times New Roman"/>
          <w:bCs/>
          <w:sz w:val="24"/>
          <w:lang w:eastAsia="zh-CN"/>
        </w:rPr>
        <w:t>合计占</w:t>
      </w:r>
      <w:r>
        <w:rPr>
          <w:rFonts w:ascii="Times New Roman" w:hAnsi="Times New Roman" w:cs="Times New Roman"/>
          <w:bCs/>
          <w:sz w:val="24"/>
          <w:lang w:eastAsia="zh-CN"/>
        </w:rPr>
        <w:t>基金资产</w:t>
      </w:r>
      <w:r>
        <w:rPr>
          <w:rFonts w:hint="eastAsia" w:ascii="Times New Roman" w:hAnsi="Times New Roman" w:cs="Times New Roman"/>
          <w:bCs/>
          <w:sz w:val="24"/>
          <w:lang w:eastAsia="zh-CN"/>
        </w:rPr>
        <w:t>的5%-</w:t>
      </w:r>
      <w:r>
        <w:rPr>
          <w:rFonts w:ascii="Times New Roman" w:hAnsi="Times New Roman" w:cs="Times New Roman"/>
          <w:bCs/>
          <w:sz w:val="24"/>
          <w:lang w:eastAsia="zh-CN"/>
        </w:rPr>
        <w:t>20%</w:t>
      </w:r>
      <w:r>
        <w:rPr>
          <w:rFonts w:hint="eastAsia" w:ascii="Times New Roman" w:hAnsi="Times New Roman" w:cs="Times New Roman"/>
          <w:bCs/>
          <w:sz w:val="24"/>
          <w:lang w:eastAsia="zh-CN"/>
        </w:rPr>
        <w:t>；其中投资于境内股票(含A股股票型ETF)的比例不低于基金资产的5%，投资于港股通标的股票的比例不超过股票资产的50%</w:t>
      </w:r>
      <w:r>
        <w:rPr>
          <w:rFonts w:ascii="Times New Roman" w:hAnsi="Times New Roman" w:cs="Times New Roman"/>
          <w:bCs/>
          <w:sz w:val="24"/>
          <w:lang w:eastAsia="zh-CN"/>
        </w:rPr>
        <w:t>；本基金投资存托凭证的比例限制依照境内上市交易的股票执行，与境内上市交易的股票合并计算，法律法规或监管部门另有要求的除外；</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（2）本基金投资于证券投资基金的资产不超过基金资产净值的</w:t>
      </w:r>
      <w:r>
        <w:rPr>
          <w:rFonts w:ascii="Times New Roman" w:hAnsi="Times New Roman" w:cs="Times New Roman"/>
          <w:bCs/>
          <w:sz w:val="24"/>
          <w:lang w:eastAsia="zh-CN"/>
        </w:rPr>
        <w:t>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3</w:t>
      </w:r>
      <w:r>
        <w:rPr>
          <w:rFonts w:ascii="Times New Roman" w:hAnsi="Times New Roman" w:cs="Times New Roman"/>
          <w:bCs/>
          <w:sz w:val="24"/>
          <w:lang w:eastAsia="zh-CN"/>
        </w:rPr>
        <w:t>）本基金每个交易日日终在扣除国债期货合约需缴纳的交易保证金后，保持不低于基金资产净值5％的现金或者到期日在一年以内的政府债券，其中现金不包括结算备付金、存出保证金和应收申购款等；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4</w:t>
      </w:r>
      <w:r>
        <w:rPr>
          <w:rFonts w:ascii="Times New Roman" w:hAnsi="Times New Roman" w:cs="Times New Roman"/>
          <w:bCs/>
          <w:sz w:val="24"/>
          <w:lang w:eastAsia="zh-CN"/>
        </w:rPr>
        <w:t>）本基金持有一家公司发行的证券（同一家公司在内地和香港同时上市的A+H股合并计算</w:t>
      </w:r>
      <w:r>
        <w:rPr>
          <w:rFonts w:hint="eastAsia" w:ascii="Times New Roman" w:hAnsi="Times New Roman" w:cs="Times New Roman"/>
          <w:bCs/>
          <w:sz w:val="24"/>
          <w:lang w:eastAsia="zh-CN"/>
        </w:rPr>
        <w:t>，但不包括本基金所投资的基金份额</w:t>
      </w:r>
      <w:r>
        <w:rPr>
          <w:rFonts w:ascii="Times New Roman" w:hAnsi="Times New Roman" w:cs="Times New Roman"/>
          <w:bCs/>
          <w:sz w:val="24"/>
          <w:lang w:eastAsia="zh-CN"/>
        </w:rPr>
        <w:t>），其市值不超过基金资产净值的10%；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5</w:t>
      </w:r>
      <w:r>
        <w:rPr>
          <w:rFonts w:ascii="Times New Roman" w:hAnsi="Times New Roman" w:cs="Times New Roman"/>
          <w:bCs/>
          <w:sz w:val="24"/>
          <w:lang w:eastAsia="zh-CN"/>
        </w:rPr>
        <w:t>）本基金管理人管理的全部基金持有一家公司发行的证券（同一家公司在内地和香港同时上市的A+H股合并计算</w:t>
      </w:r>
      <w:r>
        <w:rPr>
          <w:rFonts w:hint="eastAsia" w:ascii="Times New Roman" w:hAnsi="Times New Roman" w:cs="Times New Roman"/>
          <w:bCs/>
          <w:sz w:val="24"/>
          <w:lang w:eastAsia="zh-CN"/>
        </w:rPr>
        <w:t>，但不包括本基金所投资的基金份额</w:t>
      </w:r>
      <w:r>
        <w:rPr>
          <w:rFonts w:ascii="Times New Roman" w:hAnsi="Times New Roman" w:cs="Times New Roman"/>
          <w:bCs/>
          <w:sz w:val="24"/>
          <w:lang w:eastAsia="zh-CN"/>
        </w:rPr>
        <w:t>），不超过该证券的10%，完全按照有关指数的构成比例进行证券投资的基金品种可以不受此条款规定的比例限制；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6</w:t>
      </w:r>
      <w:r>
        <w:rPr>
          <w:rFonts w:ascii="Times New Roman" w:hAnsi="Times New Roman" w:cs="Times New Roman"/>
          <w:bCs/>
          <w:sz w:val="24"/>
          <w:lang w:eastAsia="zh-CN"/>
        </w:rPr>
        <w:t>）本基金投资于同一原始权益人的各类资产支持证券的比例，不得超过基金资产净值的10%；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7</w:t>
      </w:r>
      <w:r>
        <w:rPr>
          <w:rFonts w:ascii="Times New Roman" w:hAnsi="Times New Roman" w:cs="Times New Roman"/>
          <w:bCs/>
          <w:sz w:val="24"/>
          <w:lang w:eastAsia="zh-CN"/>
        </w:rPr>
        <w:t>）本基金持有的全部资产支持证券，其市值不得超过基金资产净值的20%；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8</w:t>
      </w:r>
      <w:r>
        <w:rPr>
          <w:rFonts w:ascii="Times New Roman" w:hAnsi="Times New Roman" w:cs="Times New Roman"/>
          <w:bCs/>
          <w:sz w:val="24"/>
          <w:lang w:eastAsia="zh-CN"/>
        </w:rPr>
        <w:t>）本基金持有的同一(指同一信用级别)资产支持证券的比例，不得超过该资产支持证券规模的10%；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9</w:t>
      </w:r>
      <w:r>
        <w:rPr>
          <w:rFonts w:ascii="Times New Roman" w:hAnsi="Times New Roman" w:cs="Times New Roman"/>
          <w:bCs/>
          <w:sz w:val="24"/>
          <w:lang w:eastAsia="zh-CN"/>
        </w:rPr>
        <w:t>）本基金管理人管理的全部基金投资于同一原始权益人的各类资产支持证券，不得超过其各类资产支持证券合计规模的10%；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10</w:t>
      </w:r>
      <w:r>
        <w:rPr>
          <w:rFonts w:ascii="Times New Roman" w:hAnsi="Times New Roman" w:cs="Times New Roman"/>
          <w:bCs/>
          <w:sz w:val="24"/>
          <w:lang w:eastAsia="zh-CN"/>
        </w:rPr>
        <w:t>）基金财产参与股票发行申购，本基金所申报的金额不超过本基金的总资产，本基金所申报的股票数量不超过拟发行股票公司本次发行股票的总量；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11</w:t>
      </w:r>
      <w:r>
        <w:rPr>
          <w:rFonts w:ascii="Times New Roman" w:hAnsi="Times New Roman" w:cs="Times New Roman"/>
          <w:bCs/>
          <w:sz w:val="24"/>
          <w:lang w:eastAsia="zh-CN"/>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12</w:t>
      </w:r>
      <w:r>
        <w:rPr>
          <w:rFonts w:ascii="Times New Roman" w:hAnsi="Times New Roman" w:cs="Times New Roman"/>
          <w:bCs/>
          <w:sz w:val="24"/>
          <w:lang w:eastAsia="zh-CN"/>
        </w:rPr>
        <w:t>）本基金主动投资于流动性受限资产</w:t>
      </w:r>
      <w:r>
        <w:rPr>
          <w:rFonts w:hint="eastAsia"/>
          <w:sz w:val="24"/>
          <w:szCs w:val="24"/>
          <w:lang w:eastAsia="zh-CN"/>
        </w:rPr>
        <w:t>（含封闭运作基金、定期开放基金等流通受限基金）</w:t>
      </w:r>
      <w:r>
        <w:rPr>
          <w:rFonts w:ascii="Times New Roman" w:hAnsi="Times New Roman" w:cs="Times New Roman"/>
          <w:bCs/>
          <w:sz w:val="24"/>
          <w:lang w:eastAsia="zh-CN"/>
        </w:rPr>
        <w:t>的市值合计不得超过该基金资产净值的15%；因证券市场波动、上市公司股票停牌、基金规模变动等基金管理人之外的因素致使基金不符合该比例限制的，基金管理人不得主动新增流动性受限资产的投资；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3</w:t>
      </w:r>
      <w:r>
        <w:rPr>
          <w:rFonts w:ascii="Times New Roman" w:hAnsi="Times New Roman" w:cs="Times New Roman"/>
          <w:bCs/>
          <w:sz w:val="24"/>
          <w:lang w:eastAsia="zh-CN"/>
        </w:rPr>
        <w:t>）本基金与私募类证券资管产品及中国证监会认定的其他主体为交易对手开展逆回购交易的，可接受质押品的资质要求应当与本基金合同约定的投资范围保持一致；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4</w:t>
      </w:r>
      <w:r>
        <w:rPr>
          <w:rFonts w:ascii="Times New Roman" w:hAnsi="Times New Roman" w:cs="Times New Roman"/>
          <w:bCs/>
          <w:sz w:val="24"/>
          <w:lang w:eastAsia="zh-CN"/>
        </w:rPr>
        <w:t>）本基金资产总值不超过基金资产净值的140%；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5</w:t>
      </w:r>
      <w:r>
        <w:rPr>
          <w:rFonts w:ascii="Times New Roman" w:hAnsi="Times New Roman" w:cs="Times New Roman"/>
          <w:bCs/>
          <w:sz w:val="24"/>
          <w:lang w:eastAsia="zh-CN"/>
        </w:rPr>
        <w:t xml:space="preserve">）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（16）本基金不得持有基金中基金；</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（17）除</w:t>
      </w:r>
      <w:r>
        <w:rPr>
          <w:rFonts w:ascii="Times New Roman" w:hAnsi="Times New Roman" w:cs="Times New Roman"/>
          <w:bCs/>
          <w:sz w:val="24"/>
          <w:lang w:eastAsia="zh-CN"/>
        </w:rPr>
        <w:t>ETF</w:t>
      </w:r>
      <w:r>
        <w:rPr>
          <w:rFonts w:hint="eastAsia" w:ascii="Times New Roman" w:hAnsi="Times New Roman" w:cs="Times New Roman"/>
          <w:bCs/>
          <w:sz w:val="24"/>
          <w:lang w:eastAsia="zh-CN"/>
        </w:rPr>
        <w:t>联接基金外，本基金管理人管理的全部基金持有单只基金不得超过被投资基金净资产的</w:t>
      </w:r>
      <w:r>
        <w:rPr>
          <w:rFonts w:ascii="Times New Roman" w:hAnsi="Times New Roman" w:cs="Times New Roman"/>
          <w:bCs/>
          <w:sz w:val="24"/>
          <w:lang w:eastAsia="zh-CN"/>
        </w:rPr>
        <w:t>20%</w:t>
      </w:r>
      <w:r>
        <w:rPr>
          <w:rFonts w:hint="eastAsia" w:ascii="Times New Roman" w:hAnsi="Times New Roman" w:cs="Times New Roman"/>
          <w:bCs/>
          <w:sz w:val="24"/>
          <w:lang w:eastAsia="zh-CN"/>
        </w:rPr>
        <w:t>，被投资基金净资产规模以最近定期报告披露的规模为准；</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（18）本基金不得持有具有复杂、衍生品性质的基金份额，包括分级基金和</w:t>
      </w:r>
      <w:r>
        <w:rPr>
          <w:rFonts w:ascii="Times New Roman" w:hAnsi="Times New Roman" w:cs="Times New Roman"/>
          <w:bCs/>
          <w:sz w:val="24"/>
          <w:lang w:eastAsia="zh-CN"/>
        </w:rPr>
        <w:t>中国证监会认定的其他基金份额；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19）投资于其他基金时，被投资的基金运作期限应当不少于</w:t>
      </w:r>
      <w:r>
        <w:rPr>
          <w:rFonts w:ascii="Times New Roman" w:hAnsi="Times New Roman" w:cs="Times New Roman"/>
          <w:bCs/>
          <w:sz w:val="24"/>
          <w:lang w:eastAsia="zh-CN"/>
        </w:rPr>
        <w:t>1</w:t>
      </w:r>
      <w:r>
        <w:rPr>
          <w:rFonts w:hint="eastAsia" w:ascii="Times New Roman" w:hAnsi="Times New Roman" w:cs="Times New Roman"/>
          <w:bCs/>
          <w:sz w:val="24"/>
          <w:lang w:eastAsia="zh-CN"/>
        </w:rPr>
        <w:t>年，最近定期报告披露的基金净资产应当不低于</w:t>
      </w:r>
      <w:r>
        <w:rPr>
          <w:rFonts w:ascii="Times New Roman" w:hAnsi="Times New Roman" w:cs="Times New Roman"/>
          <w:bCs/>
          <w:sz w:val="24"/>
          <w:lang w:eastAsia="zh-CN"/>
        </w:rPr>
        <w:t>1</w:t>
      </w:r>
      <w:r>
        <w:rPr>
          <w:rFonts w:hint="eastAsia" w:ascii="Times New Roman" w:hAnsi="Times New Roman" w:cs="Times New Roman"/>
          <w:bCs/>
          <w:sz w:val="24"/>
          <w:lang w:eastAsia="zh-CN"/>
        </w:rPr>
        <w:t>亿元；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20</w:t>
      </w:r>
      <w:r>
        <w:rPr>
          <w:rFonts w:ascii="Times New Roman" w:hAnsi="Times New Roman" w:cs="Times New Roman"/>
          <w:bCs/>
          <w:sz w:val="24"/>
          <w:lang w:eastAsia="zh-CN"/>
        </w:rPr>
        <w:t>）法律法规及中国证监会规定的和《基金合同》约定的其他投资限制。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除上述第（</w:t>
      </w:r>
      <w:r>
        <w:rPr>
          <w:rFonts w:hint="eastAsia" w:ascii="Times New Roman" w:hAnsi="Times New Roman" w:cs="Times New Roman"/>
          <w:bCs/>
          <w:sz w:val="24"/>
          <w:lang w:eastAsia="zh-CN"/>
        </w:rPr>
        <w:t>3</w:t>
      </w:r>
      <w:r>
        <w:rPr>
          <w:rFonts w:ascii="Times New Roman" w:hAnsi="Times New Roman" w:cs="Times New Roman"/>
          <w:bCs/>
          <w:sz w:val="24"/>
          <w:lang w:eastAsia="zh-CN"/>
        </w:rPr>
        <w:t>）、（</w:t>
      </w:r>
      <w:r>
        <w:rPr>
          <w:rFonts w:hint="eastAsia" w:ascii="Times New Roman" w:hAnsi="Times New Roman" w:cs="Times New Roman"/>
          <w:bCs/>
          <w:sz w:val="24"/>
          <w:lang w:eastAsia="zh-CN"/>
        </w:rPr>
        <w:t>12</w:t>
      </w:r>
      <w:r>
        <w:rPr>
          <w:rFonts w:ascii="Times New Roman" w:hAnsi="Times New Roman" w:cs="Times New Roman"/>
          <w:bCs/>
          <w:sz w:val="24"/>
          <w:lang w:eastAsia="zh-CN"/>
        </w:rPr>
        <w:t>）、（</w:t>
      </w:r>
      <w:r>
        <w:rPr>
          <w:rFonts w:hint="eastAsia" w:ascii="Times New Roman" w:hAnsi="Times New Roman" w:cs="Times New Roman"/>
          <w:bCs/>
          <w:sz w:val="24"/>
          <w:lang w:eastAsia="zh-CN"/>
        </w:rPr>
        <w:t>13</w:t>
      </w:r>
      <w:r>
        <w:rPr>
          <w:rFonts w:ascii="Times New Roman" w:hAnsi="Times New Roman" w:cs="Times New Roman"/>
          <w:bCs/>
          <w:sz w:val="24"/>
          <w:lang w:eastAsia="zh-CN"/>
        </w:rPr>
        <w:t>）</w:t>
      </w:r>
      <w:r>
        <w:rPr>
          <w:rFonts w:hint="eastAsia" w:ascii="Times New Roman" w:hAnsi="Times New Roman" w:cs="Times New Roman"/>
          <w:bCs/>
          <w:sz w:val="24"/>
          <w:lang w:eastAsia="zh-CN"/>
        </w:rPr>
        <w:t>、（17）</w:t>
      </w:r>
      <w:r>
        <w:rPr>
          <w:rFonts w:ascii="Times New Roman" w:hAnsi="Times New Roman" w:cs="Times New Roman"/>
          <w:bCs/>
          <w:sz w:val="24"/>
          <w:lang w:eastAsia="zh-CN"/>
        </w:rPr>
        <w:t>项情形之外，因证券、期货市场波动、证券发行人合并、基金规模变动等基金管理人之外的因素致使基金投资比例不符合上述规定投资比例的，基金管理人应当在10个交易日内进行调整。因证券、期货市场波动、证券发行人合并、基金规模变动等基金管理人之外的因素致使基金投资比例不符合上述</w:t>
      </w:r>
      <w:r>
        <w:rPr>
          <w:rFonts w:hint="eastAsia" w:ascii="Times New Roman" w:hAnsi="Times New Roman" w:cs="Times New Roman"/>
          <w:bCs/>
          <w:sz w:val="24"/>
          <w:lang w:eastAsia="zh-CN"/>
        </w:rPr>
        <w:t>第（17）</w:t>
      </w:r>
      <w:r>
        <w:rPr>
          <w:rFonts w:ascii="Times New Roman" w:hAnsi="Times New Roman" w:cs="Times New Roman"/>
          <w:bCs/>
          <w:sz w:val="24"/>
          <w:lang w:eastAsia="zh-CN"/>
        </w:rPr>
        <w:t>规定投资比例的，基金管理人应当在</w:t>
      </w:r>
      <w:r>
        <w:rPr>
          <w:rFonts w:hint="eastAsia" w:ascii="Times New Roman" w:hAnsi="Times New Roman" w:cs="Times New Roman"/>
          <w:bCs/>
          <w:sz w:val="24"/>
          <w:lang w:eastAsia="zh-CN"/>
        </w:rPr>
        <w:t>被投资基金可交易或可赎回之日起2</w:t>
      </w:r>
      <w:r>
        <w:rPr>
          <w:rFonts w:ascii="Times New Roman" w:hAnsi="Times New Roman" w:cs="Times New Roman"/>
          <w:bCs/>
          <w:sz w:val="24"/>
          <w:lang w:eastAsia="zh-CN"/>
        </w:rPr>
        <w:t>0个交易日内进行调整。但中国证监会规定的特殊情形除外。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法律法规或监管部门取消或变更上述限制，如适用于本基金，基金管理人在履行适当程序后，则本基金投资不再受相关限制或以变更后的规定为准。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2、禁止行为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为维护基金份额持有人的合法权益，基金财产不得用于下列投资或者活动：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（1）承销证券；</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（2）违反规定向他人贷款或者提供担保；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（3）从事承担无限责任的投资；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（4）向其基金管理人、基金托管人出资；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（5）从事内幕交易、操纵证券交易价格及其他不正当的证券交易活动；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w:t>
      </w:r>
      <w:r>
        <w:rPr>
          <w:rFonts w:ascii="Times New Roman" w:hAnsi="Times New Roman" w:cs="Times New Roman"/>
          <w:color w:val="000000"/>
          <w:sz w:val="24"/>
          <w:lang w:eastAsia="zh-CN"/>
        </w:rPr>
        <w:t>法律、行政法规和</w:t>
      </w:r>
      <w:r>
        <w:rPr>
          <w:rFonts w:ascii="Times New Roman" w:hAnsi="Times New Roman" w:cs="Times New Roman"/>
          <w:bCs/>
          <w:sz w:val="24"/>
          <w:lang w:eastAsia="zh-CN"/>
        </w:rPr>
        <w:t>中国证监会规定禁止的其他活动。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本基金投资基金管理人、基金托管人及其关联方管理或托管的基金的情况，不属于前述重大关联交易，但是应当按照法律法规或监管规定的要求履行信息披露义务。</w:t>
      </w:r>
    </w:p>
    <w:p>
      <w:pPr>
        <w:snapToGrid w:val="0"/>
        <w:spacing w:after="0" w:line="360" w:lineRule="auto"/>
        <w:ind w:firstLine="480"/>
        <w:rPr>
          <w:rFonts w:ascii="Times New Roman" w:hAnsi="Times New Roman" w:cs="Times New Roman"/>
          <w:bCs/>
          <w:sz w:val="24"/>
          <w:lang w:eastAsia="zh-CN"/>
        </w:rPr>
      </w:pPr>
      <w:bookmarkStart w:id="316" w:name="_Hlk85352419"/>
      <w:r>
        <w:rPr>
          <w:rFonts w:ascii="Times New Roman" w:hAnsi="Times New Roman" w:cs="Times New Roman"/>
          <w:bCs/>
          <w:sz w:val="24"/>
          <w:lang w:eastAsia="zh-CN"/>
        </w:rPr>
        <w:t>法律、行政法规或监管部门取消或变更上述规定，如适用于本基金，基金管理人在履行适当程序后，则本基金投资不再受相关限制或以变更后的规定为准</w:t>
      </w:r>
      <w:bookmarkEnd w:id="316"/>
      <w:r>
        <w:rPr>
          <w:rFonts w:ascii="Times New Roman" w:hAnsi="Times New Roman" w:cs="Times New Roman"/>
          <w:bCs/>
          <w:sz w:val="24"/>
          <w:lang w:eastAsia="zh-CN"/>
        </w:rPr>
        <w:t>。</w:t>
      </w:r>
      <w:bookmarkEnd w:id="315"/>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五、业绩比较基准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w:t>
      </w:r>
      <w:r>
        <w:rPr>
          <w:rFonts w:ascii="Times New Roman" w:hAnsi="Times New Roman" w:cs="Times New Roman"/>
          <w:sz w:val="24"/>
          <w:lang w:eastAsia="zh-CN"/>
        </w:rPr>
        <w:t>业绩比较基准</w:t>
      </w:r>
      <w:r>
        <w:rPr>
          <w:rFonts w:ascii="Times New Roman" w:hAnsi="Times New Roman" w:cs="Times New Roman"/>
          <w:bCs/>
          <w:sz w:val="24"/>
          <w:lang w:eastAsia="zh-CN"/>
        </w:rPr>
        <w:t>：</w:t>
      </w:r>
      <w:r>
        <w:rPr>
          <w:rFonts w:hint="eastAsia" w:ascii="Times New Roman" w:hAnsi="Times New Roman" w:cs="Times New Roman"/>
          <w:bCs/>
          <w:sz w:val="24"/>
          <w:lang w:eastAsia="zh-CN"/>
        </w:rPr>
        <w:t>中债-综合全价（总值）指数收益率×85%+中证800指数收益率×10%+活期存款基准利率×5%</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1、业绩比较基准设定的原因</w:t>
      </w:r>
    </w:p>
    <w:p>
      <w:pPr>
        <w:widowControl/>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（1）基于基金投资范围以及预期投资的主要资产类别，本基金主要投资于股票资产、债券资产、</w:t>
      </w:r>
      <w:r>
        <w:rPr>
          <w:rFonts w:ascii="Times New Roman" w:hAnsi="Times New Roman" w:cs="Times New Roman"/>
          <w:bCs/>
          <w:sz w:val="24"/>
          <w:lang w:eastAsia="zh-CN"/>
        </w:rPr>
        <w:t>流动性管理资产</w:t>
      </w:r>
      <w:r>
        <w:rPr>
          <w:rFonts w:hint="eastAsia" w:ascii="Times New Roman" w:hAnsi="Times New Roman" w:cs="Times New Roman"/>
          <w:bCs/>
          <w:sz w:val="24"/>
          <w:lang w:eastAsia="zh-CN"/>
        </w:rPr>
        <w:t>等资产，相应选取与之匹配的股票指数、债券指数与活期存款基准利率作为基准要素。同时，基于本基金</w:t>
      </w:r>
      <w:r>
        <w:rPr>
          <w:bCs/>
          <w:sz w:val="24"/>
          <w:lang w:eastAsia="zh-CN"/>
        </w:rPr>
        <w:t>投资于债券资产的比例不低于基金资产的80%</w:t>
      </w:r>
      <w:r>
        <w:rPr>
          <w:rFonts w:hint="eastAsia"/>
          <w:bCs/>
          <w:sz w:val="24"/>
          <w:lang w:eastAsia="zh-CN"/>
        </w:rPr>
        <w:t>，</w:t>
      </w:r>
      <w:r>
        <w:rPr>
          <w:rFonts w:hint="eastAsia" w:ascii="Times New Roman" w:hAnsi="Times New Roman" w:cs="Times New Roman"/>
          <w:bCs/>
          <w:sz w:val="24"/>
          <w:lang w:eastAsia="zh-CN"/>
        </w:rPr>
        <w:t>投资于股票（含存托凭证）、股票型基金、计入权益类资产的混合型基金、可转换债券（不含分离交易可转债的纯债部分）、可交换债券的比例合计占基金资产的5%-20%等投资比例限制，以及预期的资产配置比例中枢，本基金将债券资产、股票资产及流动性管理资产所对应的基准要素权重分别设置为</w:t>
      </w:r>
      <w:r>
        <w:rPr>
          <w:rFonts w:ascii="Times New Roman" w:hAnsi="Times New Roman" w:cs="Times New Roman"/>
          <w:bCs/>
          <w:sz w:val="24"/>
          <w:lang w:eastAsia="zh-CN"/>
        </w:rPr>
        <w:t>85%</w:t>
      </w:r>
      <w:r>
        <w:rPr>
          <w:rFonts w:hint="eastAsia" w:ascii="Times New Roman" w:hAnsi="Times New Roman" w:cs="Times New Roman"/>
          <w:bCs/>
          <w:sz w:val="24"/>
          <w:lang w:eastAsia="zh-CN"/>
        </w:rPr>
        <w:t>、10%及5%。</w:t>
      </w:r>
    </w:p>
    <w:p>
      <w:pPr>
        <w:widowControl/>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2）基于基金投资目标、投资范围和投资策略，本基金的股票资产采用全市场选股策略，通过定性分析和定量分析相结合的方法挖掘优质上市公司，从而在控制风险的基础上追求超越业绩比较基准的投资回报。综合考虑基准指数与产品定位和投资风格的匹配度，同时兼顾考虑基准指数的表征性、认可度，以及指数盘别/市值覆盖、风格特征、行业与个股分布等，本基金选取中证800指数作为股票部分的业绩比较基准要素。</w:t>
      </w:r>
    </w:p>
    <w:p>
      <w:pPr>
        <w:widowControl/>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 xml:space="preserve">中证800指数由沪深市场市值较大、流动性较好的800只股票构成，反映沪深市场大中盘上市公司证券的整体表现。指数样本量大，行业覆盖面广，适合作为本基金股票部分的业绩比较基准要素。  </w:t>
      </w:r>
    </w:p>
    <w:p>
      <w:pPr>
        <w:widowControl/>
        <w:numPr>
          <w:ilvl w:val="255"/>
          <w:numId w:val="0"/>
        </w:num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pPr>
        <w:widowControl/>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中债-综合全价（总值）指数成份券包含除资产支持证券、美元债券、可转债以外的在境内公开发行且上市流通的债券，是一个反映境内人民币债券市场价格走势情况的宽基指数，适合作为本基金债券部分的业绩比较基准要素。</w:t>
      </w:r>
    </w:p>
    <w:p>
      <w:pPr>
        <w:widowControl/>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w:t>
      </w:r>
      <w:r>
        <w:rPr>
          <w:rFonts w:ascii="Times New Roman" w:hAnsi="Times New Roman" w:cs="Times New Roman"/>
          <w:bCs/>
          <w:sz w:val="24"/>
          <w:lang w:eastAsia="zh-CN"/>
        </w:rPr>
        <w:t>4</w:t>
      </w:r>
      <w:r>
        <w:rPr>
          <w:rFonts w:hint="eastAsia" w:ascii="Times New Roman" w:hAnsi="Times New Roman" w:cs="Times New Roman"/>
          <w:bCs/>
          <w:sz w:val="24"/>
          <w:lang w:eastAsia="zh-CN"/>
        </w:rPr>
        <w:t>）活期存款基准利率具有较强的权威性和市场影响力，适合作为本基金流动性管理资产部分的业绩比较基准要素。</w:t>
      </w:r>
    </w:p>
    <w:p>
      <w:pPr>
        <w:snapToGrid w:val="0"/>
        <w:spacing w:after="0" w:line="360" w:lineRule="auto"/>
        <w:ind w:firstLine="440"/>
        <w:rPr>
          <w:rFonts w:ascii="Times New Roman" w:hAnsi="Times New Roman" w:cs="Times New Roman"/>
          <w:bCs/>
          <w:sz w:val="24"/>
          <w:lang w:eastAsia="zh-CN"/>
        </w:rPr>
      </w:pPr>
      <w:r>
        <w:rPr>
          <w:rFonts w:hint="eastAsia" w:ascii="Times New Roman" w:hAnsi="Times New Roman" w:cs="Times New Roman"/>
          <w:bCs/>
          <w:sz w:val="24"/>
          <w:lang w:eastAsia="zh-CN"/>
        </w:rPr>
        <w:t>综上，本基金选取的业绩比较基准与基金投资目标、投资范围、投资策略、投资比例限制相匹配。</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2、业绩比较基准要素所涉及的发布机构、代码、查询途径</w:t>
      </w:r>
    </w:p>
    <w:p>
      <w:pPr>
        <w:snapToGrid w:val="0"/>
        <w:spacing w:after="0" w:line="360" w:lineRule="auto"/>
        <w:ind w:firstLine="480"/>
        <w:rPr>
          <w:bCs/>
          <w:sz w:val="24"/>
          <w:lang w:eastAsia="zh-CN"/>
        </w:rPr>
      </w:pPr>
      <w:r>
        <w:rPr>
          <w:rFonts w:hint="eastAsia"/>
          <w:bCs/>
          <w:sz w:val="24"/>
          <w:lang w:eastAsia="zh-CN"/>
        </w:rPr>
        <w:t>中债-综合全价（总值）指数由中央国债登记结算有限责任公司编制发布，指数代码为CBA00203，具体信息详见中国债券信息网，网址：www.chinabond.com.cn。</w:t>
      </w:r>
    </w:p>
    <w:p>
      <w:pPr>
        <w:snapToGrid w:val="0"/>
        <w:spacing w:after="0" w:line="360" w:lineRule="auto"/>
        <w:ind w:firstLine="480"/>
        <w:rPr>
          <w:bCs/>
          <w:sz w:val="24"/>
          <w:lang w:eastAsia="zh-CN"/>
        </w:rPr>
      </w:pPr>
      <w:r>
        <w:rPr>
          <w:rFonts w:hint="eastAsia"/>
          <w:bCs/>
          <w:sz w:val="24"/>
          <w:lang w:eastAsia="zh-CN"/>
        </w:rPr>
        <w:t>中证800指数由中证指数有限公司编制发布，指数代码为000906，具体信息详见中证指数有限公司网站，网址：</w:t>
      </w:r>
      <w:r>
        <w:fldChar w:fldCharType="begin"/>
      </w:r>
      <w:r>
        <w:instrText xml:space="preserve"> HYPERLINK "http://www.csindex.com.cn。" </w:instrText>
      </w:r>
      <w:r>
        <w:fldChar w:fldCharType="separate"/>
      </w:r>
      <w:r>
        <w:rPr>
          <w:rFonts w:hint="eastAsia"/>
          <w:bCs/>
          <w:sz w:val="24"/>
          <w:lang w:eastAsia="zh-CN"/>
        </w:rPr>
        <w:t>www.csindex.com.cn。</w:t>
      </w:r>
      <w:r>
        <w:rPr>
          <w:rFonts w:hint="eastAsia"/>
          <w:bCs/>
          <w:sz w:val="24"/>
          <w:lang w:eastAsia="zh-CN"/>
        </w:rPr>
        <w:fldChar w:fldCharType="end"/>
      </w:r>
    </w:p>
    <w:p>
      <w:pPr>
        <w:snapToGrid w:val="0"/>
        <w:spacing w:after="0" w:line="360" w:lineRule="auto"/>
        <w:ind w:firstLine="480"/>
        <w:rPr>
          <w:bCs/>
          <w:sz w:val="24"/>
          <w:lang w:eastAsia="zh-CN"/>
        </w:rPr>
      </w:pPr>
      <w:r>
        <w:rPr>
          <w:rFonts w:hint="eastAsia"/>
          <w:bCs/>
          <w:sz w:val="24"/>
          <w:lang w:eastAsia="zh-CN"/>
        </w:rPr>
        <w:t>活期存款基准利率由中国人民银行发布，具体信息详见中国人民银行网站，网址：</w:t>
      </w:r>
      <w:r>
        <w:fldChar w:fldCharType="begin"/>
      </w:r>
      <w:r>
        <w:instrText xml:space="preserve"> HYPERLINK "http://www.pbc.gov.cn" </w:instrText>
      </w:r>
      <w:r>
        <w:fldChar w:fldCharType="separate"/>
      </w:r>
      <w:r>
        <w:rPr>
          <w:rFonts w:hint="eastAsia"/>
          <w:bCs/>
          <w:sz w:val="24"/>
          <w:lang w:eastAsia="zh-CN"/>
        </w:rPr>
        <w:t>www.pbc.gov.cn</w:t>
      </w:r>
      <w:r>
        <w:rPr>
          <w:rFonts w:hint="eastAsia"/>
          <w:bCs/>
          <w:sz w:val="24"/>
          <w:lang w:eastAsia="zh-CN"/>
        </w:rPr>
        <w:fldChar w:fldCharType="end"/>
      </w:r>
      <w:r>
        <w:rPr>
          <w:rFonts w:hint="eastAsia"/>
          <w:bCs/>
          <w:sz w:val="24"/>
          <w:lang w:eastAsia="zh-CN"/>
        </w:rPr>
        <w:t>。</w:t>
      </w:r>
    </w:p>
    <w:p>
      <w:pPr>
        <w:snapToGrid w:val="0"/>
        <w:spacing w:after="0" w:line="360" w:lineRule="auto"/>
        <w:ind w:firstLine="480"/>
        <w:rPr>
          <w:bCs/>
          <w:sz w:val="24"/>
          <w:lang w:eastAsia="zh-CN"/>
        </w:rPr>
      </w:pPr>
      <w:r>
        <w:rPr>
          <w:rFonts w:hint="eastAsia"/>
          <w:bCs/>
          <w:sz w:val="24"/>
          <w:lang w:eastAsia="zh-CN"/>
        </w:rPr>
        <w:t>3、业绩比较基准的计算方法</w:t>
      </w:r>
    </w:p>
    <w:p>
      <w:pPr>
        <w:snapToGrid w:val="0"/>
        <w:spacing w:after="0" w:line="360" w:lineRule="auto"/>
        <w:ind w:firstLine="480"/>
        <w:rPr>
          <w:bCs/>
          <w:sz w:val="24"/>
          <w:lang w:eastAsia="zh-CN"/>
        </w:rPr>
      </w:pPr>
      <w:r>
        <w:rPr>
          <w:rFonts w:hint="eastAsia"/>
          <w:bCs/>
          <w:sz w:val="24"/>
          <w:lang w:eastAsia="zh-CN"/>
        </w:rPr>
        <w:t>本基金业绩比较基准收益率的计算方法以每日收益率为基础，以时间加权为计算原则。本基金先分别计算业绩比较基准中中债-综合全价（总值）指数、中证800指数、活期存款基准利率的每日收益率，再按照预设权重比例计算当日组合要素基准的日收益率，并连乘每日收益率。</w:t>
      </w:r>
    </w:p>
    <w:p>
      <w:pPr>
        <w:snapToGrid w:val="0"/>
        <w:spacing w:after="0" w:line="360" w:lineRule="auto"/>
        <w:ind w:firstLine="480"/>
        <w:rPr>
          <w:bCs/>
          <w:sz w:val="24"/>
          <w:lang w:eastAsia="zh-CN"/>
        </w:rPr>
      </w:pPr>
      <w:r>
        <w:rPr>
          <w:rFonts w:hint="eastAsia"/>
          <w:bCs/>
          <w:sz w:val="24"/>
          <w:lang w:eastAsia="zh-CN"/>
        </w:rPr>
        <w:t>4、管理投资偏离业绩比较基准的定性或定量方法</w:t>
      </w:r>
    </w:p>
    <w:p>
      <w:pPr>
        <w:snapToGrid w:val="0"/>
        <w:spacing w:after="0" w:line="360" w:lineRule="auto"/>
        <w:ind w:firstLine="480"/>
        <w:rPr>
          <w:bCs/>
          <w:sz w:val="24"/>
          <w:lang w:eastAsia="zh-CN"/>
        </w:rPr>
      </w:pPr>
      <w:r>
        <w:rPr>
          <w:rFonts w:hint="eastAsia"/>
          <w:bCs/>
          <w:sz w:val="24"/>
          <w:lang w:eastAsia="zh-CN"/>
        </w:rPr>
        <w:t>本基金管理人对基金实际投资与业绩比较基准的偏离情况进行动态跟踪与监测评估，监测指标主要包括超额收益、配置偏离等，以更好管理基金实际投资与业绩比较基准的偏离情况，从而在控制风险的基础上追求超越业绩比较基准的投资回报。</w:t>
      </w:r>
    </w:p>
    <w:p>
      <w:pPr>
        <w:snapToGrid w:val="0"/>
        <w:spacing w:after="0" w:line="360" w:lineRule="auto"/>
        <w:ind w:firstLine="480"/>
        <w:rPr>
          <w:bCs/>
          <w:sz w:val="24"/>
          <w:lang w:eastAsia="zh-CN"/>
        </w:rPr>
      </w:pPr>
      <w:r>
        <w:rPr>
          <w:rFonts w:hint="eastAsia"/>
          <w:bCs/>
          <w:sz w:val="24"/>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pPr>
        <w:snapToGrid w:val="0"/>
        <w:spacing w:after="0" w:line="360" w:lineRule="auto"/>
        <w:ind w:firstLine="480"/>
        <w:rPr>
          <w:rFonts w:ascii="Times New Roman" w:hAnsi="Times New Roman" w:cs="Times New Roman"/>
          <w:color w:val="000000"/>
          <w:sz w:val="24"/>
          <w:lang w:eastAsia="zh-CN"/>
        </w:rPr>
      </w:pPr>
      <w:r>
        <w:rPr>
          <w:rFonts w:ascii="Times New Roman" w:hAnsi="Times New Roman" w:cs="Times New Roman"/>
          <w:color w:val="000000"/>
          <w:sz w:val="24"/>
          <w:lang w:eastAsia="zh-CN"/>
        </w:rPr>
        <w:t>5、未来可能变更业绩比较基准的情况和程序</w:t>
      </w:r>
    </w:p>
    <w:p>
      <w:pPr>
        <w:snapToGrid w:val="0"/>
        <w:spacing w:after="0" w:line="360" w:lineRule="auto"/>
        <w:ind w:firstLine="480"/>
        <w:rPr>
          <w:rFonts w:ascii="Times New Roman" w:hAnsi="Times New Roman" w:cs="Times New Roman"/>
          <w:color w:val="000000"/>
          <w:sz w:val="24"/>
          <w:lang w:eastAsia="zh-CN"/>
        </w:rPr>
      </w:pPr>
      <w:r>
        <w:rPr>
          <w:rFonts w:ascii="Times New Roman" w:hAnsi="Times New Roman" w:cs="Times New Roman"/>
          <w:color w:val="000000"/>
          <w:sz w:val="24"/>
          <w:lang w:eastAsia="zh-CN"/>
        </w:rPr>
        <w:t>业绩比较基准变更符合下列条件之一且对基金份额持有人利益无实质不利影响的，基金管理人应当与基金托管人协商，在新业绩比较基准生效之前三十日公告并充分说明变更原因、差异及影响，无需召开基金份额持有人大会：</w:t>
      </w:r>
    </w:p>
    <w:p>
      <w:pPr>
        <w:snapToGrid w:val="0"/>
        <w:spacing w:after="0" w:line="360" w:lineRule="auto"/>
        <w:ind w:firstLine="480"/>
        <w:rPr>
          <w:rFonts w:ascii="Times New Roman" w:hAnsi="Times New Roman" w:cs="Times New Roman"/>
          <w:color w:val="000000"/>
          <w:sz w:val="24"/>
          <w:lang w:eastAsia="zh-CN"/>
        </w:rPr>
      </w:pPr>
      <w:r>
        <w:rPr>
          <w:rFonts w:ascii="Times New Roman" w:hAnsi="Times New Roman" w:cs="Times New Roman"/>
          <w:color w:val="000000"/>
          <w:sz w:val="24"/>
          <w:lang w:eastAsia="zh-CN"/>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pPr>
        <w:snapToGrid w:val="0"/>
        <w:spacing w:after="0" w:line="360" w:lineRule="auto"/>
        <w:ind w:firstLine="480"/>
        <w:rPr>
          <w:rFonts w:ascii="Times New Roman" w:hAnsi="Times New Roman" w:cs="Times New Roman"/>
          <w:color w:val="000000"/>
          <w:sz w:val="24"/>
          <w:lang w:eastAsia="zh-CN"/>
        </w:rPr>
      </w:pPr>
      <w:r>
        <w:rPr>
          <w:rFonts w:ascii="Times New Roman" w:hAnsi="Times New Roman" w:cs="Times New Roman"/>
          <w:color w:val="000000"/>
          <w:sz w:val="24"/>
          <w:lang w:eastAsia="zh-CN"/>
        </w:rPr>
        <w:t>（2）调整业绩比较基准的要素权重、更换相同或相近特征的要素等，使新业绩比较基准代表性更强，且符合法律法规规定的；</w:t>
      </w:r>
    </w:p>
    <w:p>
      <w:pPr>
        <w:snapToGrid w:val="0"/>
        <w:spacing w:after="0" w:line="360" w:lineRule="auto"/>
        <w:ind w:firstLine="480"/>
        <w:rPr>
          <w:rFonts w:ascii="Times New Roman" w:hAnsi="Times New Roman" w:cs="Times New Roman"/>
          <w:color w:val="000000"/>
          <w:sz w:val="24"/>
          <w:lang w:eastAsia="zh-CN"/>
        </w:rPr>
      </w:pPr>
      <w:r>
        <w:rPr>
          <w:rFonts w:ascii="Times New Roman" w:hAnsi="Times New Roman" w:cs="Times New Roman"/>
          <w:color w:val="000000"/>
          <w:sz w:val="24"/>
          <w:lang w:eastAsia="zh-CN"/>
        </w:rPr>
        <w:t>（3）中国证监会认可的其他情形。</w:t>
      </w:r>
    </w:p>
    <w:p>
      <w:pPr>
        <w:snapToGrid w:val="0"/>
        <w:spacing w:after="0" w:line="360" w:lineRule="auto"/>
        <w:ind w:firstLine="480"/>
        <w:rPr>
          <w:rFonts w:ascii="Times New Roman" w:hAnsi="Times New Roman" w:cs="Times New Roman"/>
          <w:color w:val="000000"/>
          <w:sz w:val="24"/>
          <w:lang w:eastAsia="zh-CN"/>
        </w:rPr>
      </w:pPr>
      <w:r>
        <w:rPr>
          <w:rFonts w:ascii="Times New Roman" w:hAnsi="Times New Roman" w:cs="Times New Roman"/>
          <w:color w:val="000000"/>
          <w:sz w:val="24"/>
          <w:lang w:eastAsia="zh-CN"/>
        </w:rPr>
        <w:t>业绩比较基准变更涉及以下情形的，基金管理人应当按照规定履行变更注册、召开基金份额持有人大会等程序，法律法规、中国证监会及基金合同另有规定的除外：</w:t>
      </w:r>
    </w:p>
    <w:p>
      <w:pPr>
        <w:snapToGrid w:val="0"/>
        <w:spacing w:after="0" w:line="360" w:lineRule="auto"/>
        <w:ind w:firstLine="480"/>
        <w:rPr>
          <w:rFonts w:ascii="Times New Roman" w:hAnsi="Times New Roman" w:cs="Times New Roman"/>
          <w:color w:val="000000"/>
          <w:sz w:val="24"/>
          <w:lang w:eastAsia="zh-CN"/>
        </w:rPr>
      </w:pPr>
      <w:r>
        <w:rPr>
          <w:rFonts w:ascii="Times New Roman" w:hAnsi="Times New Roman" w:cs="Times New Roman"/>
          <w:color w:val="000000"/>
          <w:sz w:val="24"/>
          <w:lang w:eastAsia="zh-CN"/>
        </w:rPr>
        <w:t>（1）本基金投资目标、投资范围、投资策略、投资比例等进行重大调整，并变更业绩比较基准的；</w:t>
      </w:r>
    </w:p>
    <w:p>
      <w:pPr>
        <w:snapToGrid w:val="0"/>
        <w:spacing w:after="0" w:line="360" w:lineRule="auto"/>
        <w:ind w:firstLine="480"/>
        <w:rPr>
          <w:rFonts w:ascii="Times New Roman" w:hAnsi="Times New Roman" w:cs="Times New Roman"/>
          <w:color w:val="000000"/>
          <w:sz w:val="24"/>
          <w:lang w:eastAsia="zh-CN"/>
        </w:rPr>
      </w:pPr>
      <w:r>
        <w:rPr>
          <w:rFonts w:ascii="Times New Roman" w:hAnsi="Times New Roman" w:cs="Times New Roman"/>
          <w:color w:val="000000"/>
          <w:sz w:val="24"/>
          <w:lang w:eastAsia="zh-CN"/>
        </w:rPr>
        <w:t>（2）其他对基金份额持有人利益产生重大实质性影响的情形。</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六、风险收益特征</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color w:val="000000"/>
          <w:sz w:val="24"/>
          <w:lang w:eastAsia="zh-CN"/>
        </w:rPr>
        <w:t>本基金为债券型基金，</w:t>
      </w:r>
      <w:r>
        <w:rPr>
          <w:rFonts w:hint="eastAsia" w:ascii="Times New Roman" w:hAnsi="Times New Roman" w:cs="Times New Roman"/>
          <w:color w:val="000000"/>
          <w:sz w:val="24"/>
          <w:lang w:eastAsia="zh-CN"/>
        </w:rPr>
        <w:t>一般情况下，</w:t>
      </w:r>
      <w:r>
        <w:rPr>
          <w:rFonts w:ascii="Times New Roman" w:hAnsi="Times New Roman" w:cs="Times New Roman"/>
          <w:color w:val="000000"/>
          <w:sz w:val="24"/>
          <w:lang w:eastAsia="zh-CN"/>
        </w:rPr>
        <w:t>其预期收益及预期风险水平高于货币市场</w:t>
      </w:r>
      <w:r>
        <w:rPr>
          <w:rFonts w:ascii="Times New Roman" w:hAnsi="Times New Roman" w:cs="Times New Roman"/>
          <w:sz w:val="24"/>
          <w:lang w:eastAsia="zh-CN"/>
        </w:rPr>
        <w:t>基金，但低于股票型基金、混合型基金。</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本基金若投资港股通标的股票，将面临港股通机制下因投资环境、投资标的、市场制度以及交易规则等差异带来的特有风险。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七、基金管理人代表基金行使</w:t>
      </w:r>
      <w:r>
        <w:rPr>
          <w:rFonts w:hint="eastAsia" w:ascii="Times New Roman" w:hAnsi="Times New Roman" w:cs="Times New Roman"/>
          <w:bCs/>
          <w:sz w:val="24"/>
          <w:lang w:eastAsia="zh-CN"/>
        </w:rPr>
        <w:t>相关</w:t>
      </w:r>
      <w:r>
        <w:rPr>
          <w:rFonts w:ascii="Times New Roman" w:hAnsi="Times New Roman" w:cs="Times New Roman"/>
          <w:bCs/>
          <w:sz w:val="24"/>
          <w:lang w:eastAsia="zh-CN"/>
        </w:rPr>
        <w:t>权利的处理原则及方法</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1、基金管理人按照国家有关规定代表基金独立行使</w:t>
      </w:r>
      <w:r>
        <w:rPr>
          <w:rFonts w:hint="eastAsia" w:ascii="Times New Roman" w:hAnsi="Times New Roman" w:cs="Times New Roman"/>
          <w:bCs/>
          <w:sz w:val="24"/>
          <w:lang w:eastAsia="zh-CN"/>
        </w:rPr>
        <w:t>相关</w:t>
      </w:r>
      <w:r>
        <w:rPr>
          <w:rFonts w:ascii="Times New Roman" w:hAnsi="Times New Roman" w:cs="Times New Roman"/>
          <w:bCs/>
          <w:sz w:val="24"/>
          <w:lang w:eastAsia="zh-CN"/>
        </w:rPr>
        <w:t xml:space="preserve">权利，保护基金份额持有人的利益； </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 xml:space="preserve">2、不谋求对上市公司的控股； </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 xml:space="preserve">3、有利于基金财产的安全与增值； </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bCs/>
          <w:sz w:val="24"/>
          <w:lang w:eastAsia="zh-CN"/>
        </w:rPr>
        <w:t>4、不通过关联交易为自身、雇员、授权代理人或任何存在利害关系的第三人牟取任何不当利益。</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八、侧袋机制的实施和投资运作安排</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侧袋机制实施期间，本部分约定的投资组合比例、投资策略、组合限制、业绩比较基准、风险收益特征等约定仅适用于主袋账户。</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侧袋账户的实施条件、实施程序、运作安排、投资安排、特定资产的处置变现和支付等对投资者权益有重大影响的事项详见招募说明书的规定。</w:t>
      </w: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sz w:val="21"/>
          <w:lang w:eastAsia="zh-CN"/>
        </w:rPr>
        <w:br w:type="page"/>
      </w:r>
      <w:bookmarkStart w:id="317" w:name="_Toc92662704"/>
      <w:bookmarkStart w:id="318" w:name="_Toc93226145"/>
      <w:bookmarkStart w:id="319" w:name="_Toc139991743"/>
      <w:bookmarkStart w:id="320" w:name="_Toc18000"/>
      <w:bookmarkStart w:id="321" w:name="_Toc481653684"/>
      <w:bookmarkStart w:id="322" w:name="_Toc97040613"/>
      <w:bookmarkStart w:id="323" w:name="_Toc20102"/>
      <w:bookmarkStart w:id="324" w:name="_Toc21642"/>
      <w:bookmarkStart w:id="325" w:name="_Toc32030"/>
      <w:bookmarkStart w:id="326" w:name="_Toc29561"/>
      <w:bookmarkStart w:id="327" w:name="_Toc3054"/>
      <w:bookmarkStart w:id="328" w:name="_Toc15716"/>
      <w:bookmarkStart w:id="329" w:name="_Toc128310496"/>
      <w:bookmarkStart w:id="330" w:name="_Toc24474"/>
      <w:bookmarkStart w:id="331" w:name="_Toc20782"/>
      <w:bookmarkStart w:id="332" w:name="_Toc141703893"/>
      <w:bookmarkStart w:id="333" w:name="_Toc26114"/>
      <w:bookmarkStart w:id="334" w:name="_Toc31611"/>
      <w:r>
        <w:rPr>
          <w:rFonts w:ascii="Times New Roman" w:hAnsi="Times New Roman" w:cs="Times New Roman"/>
          <w:color w:val="auto"/>
          <w:sz w:val="30"/>
          <w:lang w:eastAsia="zh-CN"/>
        </w:rPr>
        <w:t>第十三部分 基金</w:t>
      </w:r>
      <w:bookmarkEnd w:id="317"/>
      <w:bookmarkEnd w:id="318"/>
      <w:r>
        <w:rPr>
          <w:rFonts w:ascii="Times New Roman" w:hAnsi="Times New Roman" w:cs="Times New Roman"/>
          <w:color w:val="auto"/>
          <w:sz w:val="30"/>
          <w:lang w:eastAsia="zh-CN"/>
        </w:rPr>
        <w:t>的财产</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一、基金资产总值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基金资产总值是指购买的各类证券及票据价值</w:t>
      </w:r>
      <w:r>
        <w:rPr>
          <w:rFonts w:hint="eastAsia" w:ascii="Times New Roman" w:hAnsi="Times New Roman" w:cs="Times New Roman"/>
          <w:bCs/>
          <w:sz w:val="24"/>
          <w:lang w:eastAsia="zh-CN"/>
        </w:rPr>
        <w:t>、</w:t>
      </w:r>
      <w:r>
        <w:rPr>
          <w:rFonts w:ascii="Times New Roman" w:hAnsi="Times New Roman" w:cs="Times New Roman"/>
          <w:bCs/>
          <w:sz w:val="24"/>
          <w:lang w:eastAsia="zh-CN"/>
        </w:rPr>
        <w:t>银行存款本息、基金应收款项</w:t>
      </w:r>
      <w:r>
        <w:rPr>
          <w:rFonts w:hint="eastAsia" w:ascii="Times New Roman" w:hAnsi="Times New Roman" w:cs="Times New Roman"/>
          <w:bCs/>
          <w:sz w:val="24"/>
          <w:lang w:eastAsia="zh-CN"/>
        </w:rPr>
        <w:t>、基金份额</w:t>
      </w:r>
      <w:r>
        <w:rPr>
          <w:rFonts w:ascii="Times New Roman" w:hAnsi="Times New Roman" w:cs="Times New Roman"/>
          <w:bCs/>
          <w:sz w:val="24"/>
          <w:lang w:eastAsia="zh-CN"/>
        </w:rPr>
        <w:t>以及其他投资所形成的价值总和。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二、基金资产净值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基金资产净值是指基金资产总值减去基金负债后的价值。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三、基金财产的账户</w:t>
      </w:r>
    </w:p>
    <w:p>
      <w:pPr>
        <w:snapToGrid w:val="0"/>
        <w:spacing w:after="0" w:line="360" w:lineRule="auto"/>
        <w:ind w:firstLine="480"/>
        <w:rPr>
          <w:rFonts w:ascii="Times New Roman" w:hAnsi="Times New Roman" w:cs="Times New Roman"/>
          <w:lang w:eastAsia="zh-CN"/>
        </w:rPr>
      </w:pPr>
      <w:r>
        <w:rPr>
          <w:rFonts w:ascii="Times New Roman" w:hAnsi="Times New Roman" w:cs="Times New Roman"/>
          <w:bCs/>
          <w:sz w:val="24"/>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5" w:name="_Hlt88841837"/>
      <w:bookmarkEnd w:id="335"/>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四、基金财产的保管和处分</w:t>
      </w:r>
      <w:bookmarkStart w:id="336" w:name="_Hlt88900062"/>
      <w:bookmarkEnd w:id="336"/>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pStyle w:val="2"/>
        <w:snapToGrid w:val="0"/>
        <w:spacing w:before="0" w:after="0"/>
        <w:jc w:val="center"/>
        <w:rPr>
          <w:rFonts w:ascii="Times New Roman" w:hAnsi="Times New Roman" w:cs="Times New Roman"/>
          <w:color w:val="auto"/>
          <w:sz w:val="30"/>
          <w:lang w:eastAsia="zh-CN"/>
        </w:rPr>
        <w:sectPr>
          <w:headerReference r:id="rId10" w:type="default"/>
          <w:footerReference r:id="rId11" w:type="default"/>
          <w:type w:val="continuous"/>
          <w:pgSz w:w="11906" w:h="16838"/>
          <w:pgMar w:top="1440" w:right="1800" w:bottom="1440" w:left="1800" w:header="851" w:footer="992" w:gutter="0"/>
          <w:pgNumType w:start="1"/>
          <w:cols w:space="720" w:num="1"/>
          <w:docGrid w:type="lines" w:linePitch="312" w:charSpace="0"/>
        </w:sectPr>
      </w:pPr>
      <w:bookmarkStart w:id="337" w:name="_Toc32227"/>
      <w:bookmarkStart w:id="338" w:name="_Toc24601"/>
      <w:bookmarkStart w:id="339" w:name="_Toc15779"/>
      <w:bookmarkStart w:id="340" w:name="_Toc139991745"/>
      <w:bookmarkStart w:id="341" w:name="_Toc19752"/>
      <w:bookmarkStart w:id="342" w:name="_Toc32041"/>
      <w:bookmarkStart w:id="343" w:name="_Toc13987"/>
      <w:bookmarkStart w:id="344" w:name="_Toc481653686"/>
      <w:bookmarkStart w:id="345" w:name="_Toc141703895"/>
      <w:bookmarkStart w:id="346" w:name="_Toc3365"/>
      <w:bookmarkStart w:id="347" w:name="_Toc32046"/>
      <w:bookmarkStart w:id="348" w:name="_Toc19706"/>
      <w:bookmarkStart w:id="349" w:name="_Toc12105"/>
    </w:p>
    <w:p>
      <w:pPr>
        <w:pStyle w:val="2"/>
        <w:snapToGrid w:val="0"/>
        <w:spacing w:before="0" w:after="0"/>
        <w:jc w:val="center"/>
        <w:rPr>
          <w:rFonts w:ascii="Times New Roman" w:hAnsi="Times New Roman" w:cs="Times New Roman"/>
          <w:color w:val="auto"/>
          <w:sz w:val="30"/>
          <w:lang w:eastAsia="zh-CN"/>
        </w:rPr>
      </w:pPr>
      <w:bookmarkStart w:id="350" w:name="_Toc97040614"/>
      <w:bookmarkStart w:id="351" w:name="_Toc30625"/>
      <w:r>
        <w:rPr>
          <w:rFonts w:ascii="Times New Roman" w:hAnsi="Times New Roman" w:cs="Times New Roman"/>
          <w:color w:val="auto"/>
          <w:sz w:val="30"/>
          <w:lang w:eastAsia="zh-CN"/>
        </w:rPr>
        <w:t>第十四部分 基金资产估值</w:t>
      </w:r>
      <w:bookmarkEnd w:id="350"/>
      <w:bookmarkEnd w:id="351"/>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一、估值日</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本基金的估值日为本基金相关的证券/期货交易场所的交易日以及国家法律法规规定需要对外披露基金净值的非交易日。</w:t>
      </w:r>
    </w:p>
    <w:p>
      <w:pPr>
        <w:snapToGrid w:val="0"/>
        <w:spacing w:after="0" w:line="360" w:lineRule="auto"/>
        <w:ind w:firstLine="480"/>
        <w:rPr>
          <w:rFonts w:ascii="Times New Roman" w:hAnsi="Times New Roman" w:cs="Times New Roman"/>
          <w:sz w:val="24"/>
          <w:lang w:eastAsia="zh-CN"/>
        </w:rPr>
      </w:pPr>
      <w:bookmarkStart w:id="352" w:name="_Hlk56280686"/>
      <w:r>
        <w:rPr>
          <w:rFonts w:ascii="Times New Roman" w:hAnsi="Times New Roman" w:cs="Times New Roman"/>
          <w:sz w:val="24"/>
          <w:lang w:eastAsia="zh-CN"/>
        </w:rPr>
        <w:t>二、估值对象</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基金所拥有的股票、债券</w:t>
      </w:r>
      <w:r>
        <w:rPr>
          <w:rFonts w:ascii="Times New Roman" w:hAnsi="Times New Roman" w:cs="Times New Roman"/>
          <w:bCs/>
          <w:sz w:val="24"/>
          <w:lang w:eastAsia="zh-CN"/>
        </w:rPr>
        <w:t>、</w:t>
      </w:r>
      <w:bookmarkStart w:id="353" w:name="_Hlk85353927"/>
      <w:r>
        <w:rPr>
          <w:rFonts w:ascii="Times New Roman" w:hAnsi="Times New Roman" w:cs="Times New Roman"/>
          <w:bCs/>
          <w:sz w:val="24"/>
          <w:lang w:eastAsia="zh-CN"/>
        </w:rPr>
        <w:t>国债期货、</w:t>
      </w:r>
      <w:bookmarkEnd w:id="353"/>
      <w:r>
        <w:rPr>
          <w:rFonts w:ascii="Times New Roman" w:hAnsi="Times New Roman" w:cs="Times New Roman"/>
          <w:bCs/>
          <w:sz w:val="24"/>
          <w:lang w:eastAsia="zh-CN"/>
        </w:rPr>
        <w:t>资产支持证券</w:t>
      </w:r>
      <w:r>
        <w:rPr>
          <w:rFonts w:hint="eastAsia" w:ascii="Times New Roman" w:hAnsi="Times New Roman" w:cs="Times New Roman"/>
          <w:bCs/>
          <w:sz w:val="24"/>
          <w:lang w:eastAsia="zh-CN"/>
        </w:rPr>
        <w:t>、基金份额</w:t>
      </w:r>
      <w:r>
        <w:rPr>
          <w:rFonts w:ascii="Times New Roman" w:hAnsi="Times New Roman" w:cs="Times New Roman"/>
          <w:sz w:val="24"/>
          <w:lang w:eastAsia="zh-CN"/>
        </w:rPr>
        <w:t>和银行存款本息、应收款项、其它投资等资产及负债。</w:t>
      </w:r>
      <w:bookmarkEnd w:id="352"/>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三、估值原则</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基金管理人在确定相关金融资产和金融负债的公允价值时，应符合《企业会计准则》、监管部门有关规定。</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（三）如经济环境发生重大变化或证券发行人发生影响证券价格的重大事件，使潜在估值调整对前一估值日的基金资产净值的影响在0.25%以上的，应对估值进行调整并确定公允价值。</w:t>
      </w:r>
    </w:p>
    <w:p>
      <w:pPr>
        <w:snapToGrid w:val="0"/>
        <w:spacing w:after="0" w:line="360" w:lineRule="auto"/>
        <w:ind w:firstLine="480"/>
        <w:rPr>
          <w:rFonts w:ascii="Times New Roman" w:hAnsi="Times New Roman" w:cs="Times New Roman"/>
          <w:sz w:val="24"/>
          <w:lang w:eastAsia="zh-CN"/>
        </w:rPr>
      </w:pPr>
      <w:bookmarkStart w:id="354" w:name="_Hlk56280709"/>
      <w:r>
        <w:rPr>
          <w:rFonts w:ascii="Times New Roman" w:hAnsi="Times New Roman" w:cs="Times New Roman"/>
          <w:sz w:val="24"/>
          <w:lang w:eastAsia="zh-CN"/>
        </w:rPr>
        <w:t>四、估值方法</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本基金所持有的投资品种，按如下原则进行估值：</w:t>
      </w:r>
    </w:p>
    <w:p>
      <w:pPr>
        <w:snapToGrid w:val="0"/>
        <w:spacing w:after="0" w:line="360" w:lineRule="auto"/>
        <w:ind w:firstLine="480" w:firstLineChars="200"/>
        <w:rPr>
          <w:rFonts w:ascii="Times New Roman" w:hAnsi="Times New Roman" w:cs="Times New Roman"/>
          <w:sz w:val="24"/>
          <w:lang w:eastAsia="zh-CN"/>
        </w:rPr>
      </w:pPr>
      <w:r>
        <w:rPr>
          <w:rFonts w:hint="eastAsia" w:ascii="Times New Roman" w:hAnsi="Times New Roman" w:cs="Times New Roman"/>
          <w:sz w:val="24"/>
          <w:lang w:eastAsia="zh-CN"/>
        </w:rPr>
        <w:t>1、交易所上市的有价证券（包括股票等，另有规定的除外），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交易所上市不存在活跃市场的有价证券，采用估值技术确定公允价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2、处于未上市期间的有价证券应区分如下情况处理：</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（1）送股、转增股、配股和公开增发的新股，按估值日在证券交易所挂牌的同一股票的估值方法估值；该日无交易的，以最近一日的市价（收盘价）估值。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（2）首次公开发行未上市的股票，采用估值技术确定公允价值。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3、对于已上市或已挂牌转让的不含权固定收益品种（另有规定的除外），选取第三方估值基准服务机构提供的相应品种当日的估值全价进行估值。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4、对于已上市或已挂牌转让的含权固定收益品种（另有规定的除外），选取第三方估值基准服务机构提供的相应品种当日的唯一估值全价或推荐估值全价进行估值。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6、对于未上市或未挂牌转让且不存在活跃市场的固定收益品种，采用在当前情况下适用并且有足够可利用数据和其他信息支持的估值技术确定其公允价值。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7、存款的估值方法</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持有的银行定期存款或通知存款以本金列示，按协议或合同利率逐日确认利息收入。</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8、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9、投资证券衍生品的估值方法</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本基金投资国债期货合约，一般以估值当日结算价进行估值，估值当日无结算价的，且最近交易日后经济环境未发生重大变化的，采用最近交易日结算价估值。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10、基金估值方法</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（1）本基金投资于非上市基金的估值：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本基金投资的境内非</w:t>
      </w:r>
      <w:r>
        <w:rPr>
          <w:rFonts w:ascii="Times New Roman" w:hAnsi="Times New Roman" w:cs="Times New Roman"/>
          <w:sz w:val="24"/>
          <w:lang w:eastAsia="zh-CN"/>
        </w:rPr>
        <w:t>货币市场</w:t>
      </w:r>
      <w:r>
        <w:rPr>
          <w:rFonts w:hint="eastAsia" w:ascii="Times New Roman" w:hAnsi="Times New Roman" w:cs="Times New Roman"/>
          <w:sz w:val="24"/>
          <w:lang w:eastAsia="zh-CN"/>
        </w:rPr>
        <w:t>基金，按所投资基金估值日的份额净值估值。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（2）本基金投资于交易所上市基金的估值：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1）本基金投资的ETF基金，按所投资ETF基金估值日的收盘价估值。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2）本基金投资的境内上市开放式基金（LOF），按所投资基金估值日的份额净值估值。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3）本基金投资的境内上市定期开放式基金、封闭式基金，按所投资基金估值日的收盘价估值。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（3）如遇所投资基金不公布基金份额净值、进行折算或拆分、估值日无交易等特殊情况，基金管理人根据以下原则进行估值：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1）以所投资基金的基金份额净值估值的，若所投资基金与本基金估值频率一致但未公布估值日基金份额净值，按其最近公布的基金份额净值为基础估值。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3）如果所投资基金前一估值日至估值日期间发生分红除权、折算或拆分，基金管理人应根据基金份额净值或收盘价、单位基金份额分红金额、折算拆分比例、持仓份额等因素合理确定公允价值。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（4）当本基金管理人认为所投资基金按前述（1）-（3）项进行估值存在不公允时，应与基金托管人协商一致采用合理的估值技术或估值标准确定其公允价值。</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11、同一金融工具同时在两个或两个以上市场交易的，按其所处的市场分别估值。</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w:t>
      </w:r>
      <w:r>
        <w:rPr>
          <w:rFonts w:hint="eastAsia" w:ascii="Times New Roman" w:hAnsi="Times New Roman" w:cs="Times New Roman"/>
          <w:sz w:val="24"/>
          <w:lang w:eastAsia="zh-CN"/>
        </w:rPr>
        <w:t>2、估值计算中涉及港币对人民币汇率的，将依据下列信息提供机构所提供的汇率为基准：当日中国人民银行公布的人民币与港币的中间价。</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w:t>
      </w:r>
      <w:r>
        <w:rPr>
          <w:rFonts w:hint="eastAsia" w:ascii="Times New Roman" w:hAnsi="Times New Roman" w:cs="Times New Roman"/>
          <w:sz w:val="24"/>
          <w:lang w:eastAsia="zh-CN"/>
        </w:rPr>
        <w:t>3、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w:t>
      </w:r>
      <w:r>
        <w:rPr>
          <w:rFonts w:hint="eastAsia" w:ascii="Times New Roman" w:hAnsi="Times New Roman" w:cs="Times New Roman"/>
          <w:sz w:val="24"/>
          <w:lang w:eastAsia="zh-CN"/>
        </w:rPr>
        <w:t>4、本基金投资存托凭证的估值核算，依照境内上市交易的股票执行。</w:t>
      </w:r>
    </w:p>
    <w:p>
      <w:pPr>
        <w:snapToGrid w:val="0"/>
        <w:spacing w:after="0" w:line="360" w:lineRule="auto"/>
        <w:ind w:firstLine="480"/>
        <w:rPr>
          <w:rFonts w:hint="eastAsia" w:asciiTheme="minorEastAsia" w:hAnsiTheme="minorEastAsia" w:eastAsiaTheme="minorEastAsia"/>
          <w:color w:val="333333"/>
          <w:sz w:val="24"/>
          <w:szCs w:val="24"/>
          <w:shd w:val="clear" w:color="auto" w:fill="FFFFFF"/>
          <w:lang w:eastAsia="zh-CN"/>
        </w:rPr>
      </w:pPr>
      <w:r>
        <w:rPr>
          <w:rFonts w:hint="eastAsia" w:ascii="Times New Roman" w:hAnsi="Times New Roman" w:cs="Times New Roman"/>
          <w:sz w:val="24"/>
          <w:lang w:eastAsia="zh-CN"/>
        </w:rPr>
        <w:t>15、</w:t>
      </w:r>
      <w:r>
        <w:rPr>
          <w:rFonts w:hint="eastAsia" w:asciiTheme="minorEastAsia" w:hAnsiTheme="minorEastAsia" w:eastAsiaTheme="minorEastAsia"/>
          <w:color w:val="333333"/>
          <w:sz w:val="24"/>
          <w:szCs w:val="24"/>
          <w:shd w:val="clear" w:color="auto" w:fill="FFFFFF"/>
          <w:lang w:eastAsia="zh-CN"/>
        </w:rPr>
        <w:t>回购交易以成本列示，按商定利率在实际持有期间内逐日计提利息。</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16、本基金可以采用第三方估值基准服务机构按照上述公允价值确定原则提供的估值价格数据。如有确凿证据表明按上述方法进行估值不能客观反映其公允价值的，基金管理人可根据具体情况与基金托管人商定后，按最能反映公允价值的价格估值。使用模型估值的，应当审慎确定模型参数，不得随意调整。</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1</w:t>
      </w:r>
      <w:r>
        <w:rPr>
          <w:rFonts w:hint="eastAsia" w:ascii="Times New Roman" w:hAnsi="Times New Roman" w:cs="Times New Roman"/>
          <w:sz w:val="24"/>
          <w:lang w:val="en-US" w:eastAsia="zh-CN"/>
        </w:rPr>
        <w:t>7</w:t>
      </w:r>
      <w:r>
        <w:rPr>
          <w:rFonts w:hint="eastAsia" w:ascii="Times New Roman" w:hAnsi="Times New Roman" w:cs="Times New Roman"/>
          <w:sz w:val="24"/>
          <w:lang w:eastAsia="zh-CN"/>
        </w:rPr>
        <w:t>、当发生大额申购或赎回情形时，基金管理人可以采用摆动定价机制，以确保基金估值的公平性。</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val="en-US" w:eastAsia="zh-CN"/>
        </w:rPr>
        <w:t>18</w:t>
      </w:r>
      <w:r>
        <w:rPr>
          <w:rFonts w:hint="eastAsia" w:ascii="Times New Roman" w:hAnsi="Times New Roman" w:cs="Times New Roman"/>
          <w:sz w:val="24"/>
          <w:lang w:eastAsia="zh-CN"/>
        </w:rPr>
        <w:t>、相关法律法规以及监管部门有强制规定的，从其规定。如有新增事项，按国家最新规定估值。</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pPr>
        <w:snapToGrid w:val="0"/>
        <w:spacing w:after="0" w:line="360" w:lineRule="auto"/>
        <w:ind w:firstLine="480"/>
        <w:rPr>
          <w:rFonts w:hint="eastAsia" w:ascii="Times New Roman" w:hAnsi="Times New Roman" w:cs="Times New Roman"/>
          <w:sz w:val="24"/>
          <w:lang w:eastAsia="zh-CN"/>
        </w:rPr>
      </w:pPr>
      <w:r>
        <w:rPr>
          <w:rFonts w:hint="eastAsia" w:ascii="Times New Roman" w:hAnsi="Times New Roman" w:cs="Times New Roman"/>
          <w:sz w:val="24"/>
          <w:lang w:eastAsia="zh-CN"/>
        </w:rPr>
        <w:t>鉴于本基金允许投资由基金管理人管理的非上市基金，基金管理人和基金托管人需根据已披露的份额净值信息进行估值。如因基金管理人披露的份额净值错误或无法于双方约定的时间披露份额净值导致的估值错误，相关责任由基金管理人承担。</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对于仅依赖管理人所提供数据（包括不限于管理人自建模型定价）且无法从其他渠道获取可靠数据进行会计核算的投资品种，管理人应对该估值数据的真实性、准确性、完整性、合规性负责，因上述估值数据错误导致估值结果的不真实、不准确、不完整、不合规，托管人不承担任何责任。</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根据有关法律法规，基金净值计算和基金会计核算的义务由基金管理人承担。本基金的基金会计责任方由基金管理人担任，因此，就与本基金有关的会计问题，如经相关各方在平等基础上充分讨论后，仍无法达成一致意见的，</w:t>
      </w:r>
      <w:r>
        <w:rPr>
          <w:rFonts w:hint="eastAsia" w:ascii="Times New Roman" w:hAnsi="Times New Roman" w:cs="Times New Roman"/>
          <w:sz w:val="24"/>
          <w:lang w:eastAsia="zh-CN"/>
        </w:rPr>
        <w:t>基金管理人向基金托管人出具盖章的书面说明后，</w:t>
      </w:r>
      <w:r>
        <w:rPr>
          <w:rFonts w:ascii="Times New Roman" w:hAnsi="Times New Roman" w:cs="Times New Roman"/>
          <w:sz w:val="24"/>
          <w:lang w:eastAsia="zh-CN"/>
        </w:rPr>
        <w:t>按照基金管理人对基金净值信息的计算结果按规定对外予以公布</w:t>
      </w:r>
      <w:r>
        <w:rPr>
          <w:rFonts w:hint="eastAsia" w:ascii="Times New Roman" w:hAnsi="Times New Roman" w:cs="Times New Roman"/>
          <w:sz w:val="24"/>
          <w:lang w:eastAsia="zh-CN"/>
        </w:rPr>
        <w:t>，由此给基金份额持有人和基金造成的损失以及因该交易日基金资产净值计算顺延错误而引起的损失，基金托管人不承担任何责任</w:t>
      </w:r>
      <w:r>
        <w:rPr>
          <w:rFonts w:ascii="Times New Roman" w:hAnsi="Times New Roman" w:cs="Times New Roman"/>
          <w:sz w:val="24"/>
          <w:lang w:eastAsia="zh-CN"/>
        </w:rPr>
        <w:t>。</w:t>
      </w:r>
      <w:bookmarkEnd w:id="354"/>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五、估值程序</w:t>
      </w:r>
    </w:p>
    <w:p>
      <w:pPr>
        <w:snapToGrid w:val="0"/>
        <w:spacing w:after="0" w:line="360" w:lineRule="auto"/>
        <w:ind w:firstLine="480"/>
        <w:rPr>
          <w:rFonts w:ascii="Times New Roman" w:hAnsi="Times New Roman" w:cs="Times New Roman"/>
          <w:sz w:val="24"/>
          <w:lang w:eastAsia="zh-CN"/>
        </w:rPr>
      </w:pPr>
      <w:bookmarkStart w:id="355" w:name="_Hlk86319412"/>
      <w:r>
        <w:rPr>
          <w:rFonts w:ascii="Times New Roman" w:hAnsi="Times New Roman" w:cs="Times New Roman"/>
          <w:sz w:val="24"/>
          <w:lang w:eastAsia="zh-CN"/>
        </w:rPr>
        <w:t>1、</w:t>
      </w:r>
      <w:bookmarkStart w:id="356" w:name="_Hlk85353574"/>
      <w:r>
        <w:rPr>
          <w:rFonts w:ascii="Times New Roman" w:hAnsi="Times New Roman" w:cs="Times New Roman"/>
          <w:sz w:val="24"/>
          <w:lang w:eastAsia="zh-CN"/>
        </w:rPr>
        <w:t>各类基金份额净值是按照每个</w:t>
      </w:r>
      <w:r>
        <w:rPr>
          <w:rFonts w:hint="eastAsia" w:ascii="Times New Roman" w:hAnsi="Times New Roman" w:cs="Times New Roman"/>
          <w:sz w:val="24"/>
          <w:lang w:eastAsia="zh-CN"/>
        </w:rPr>
        <w:t>估值</w:t>
      </w:r>
      <w:r>
        <w:rPr>
          <w:rFonts w:ascii="Times New Roman" w:hAnsi="Times New Roman" w:cs="Times New Roman"/>
          <w:sz w:val="24"/>
          <w:lang w:eastAsia="zh-CN"/>
        </w:rPr>
        <w:t>日闭市后，各类基金资产净值除以当日该类基金份额的余额数量计算，均精确到0.0001元，小数点后第5位四舍五入。基金管理人可以设立大额赎回情形下的净值精度应急调整机制。国家另有规定的，从其规定</w:t>
      </w:r>
      <w:bookmarkEnd w:id="356"/>
      <w:r>
        <w:rPr>
          <w:rFonts w:ascii="Times New Roman" w:hAnsi="Times New Roman" w:cs="Times New Roman"/>
          <w:sz w:val="24"/>
          <w:lang w:eastAsia="zh-CN"/>
        </w:rPr>
        <w:t>。</w:t>
      </w:r>
      <w:bookmarkEnd w:id="355"/>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基金管理人于每个</w:t>
      </w:r>
      <w:r>
        <w:rPr>
          <w:rFonts w:hint="eastAsia" w:ascii="Times New Roman" w:hAnsi="Times New Roman" w:cs="Times New Roman"/>
          <w:sz w:val="24"/>
          <w:lang w:eastAsia="zh-CN"/>
        </w:rPr>
        <w:t>估值</w:t>
      </w:r>
      <w:r>
        <w:rPr>
          <w:rFonts w:ascii="Times New Roman" w:hAnsi="Times New Roman" w:cs="Times New Roman"/>
          <w:sz w:val="24"/>
          <w:lang w:eastAsia="zh-CN"/>
        </w:rPr>
        <w:t>日计算基金资产净值及各类基金份额净值，并按规定公告。</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2、基金管理人应每个</w:t>
      </w:r>
      <w:r>
        <w:rPr>
          <w:rFonts w:hint="eastAsia" w:ascii="Times New Roman" w:hAnsi="Times New Roman" w:cs="Times New Roman"/>
          <w:sz w:val="24"/>
          <w:lang w:eastAsia="zh-CN"/>
        </w:rPr>
        <w:t>估值</w:t>
      </w:r>
      <w:r>
        <w:rPr>
          <w:rFonts w:ascii="Times New Roman" w:hAnsi="Times New Roman" w:cs="Times New Roman"/>
          <w:sz w:val="24"/>
          <w:lang w:eastAsia="zh-CN"/>
        </w:rPr>
        <w:t>日对基金资产估值。但基金管理人根据法律法规或本基金合同的规定暂停估值时除外。基金管理人每个</w:t>
      </w:r>
      <w:r>
        <w:rPr>
          <w:rFonts w:hint="eastAsia" w:ascii="Times New Roman" w:hAnsi="Times New Roman" w:cs="Times New Roman"/>
          <w:sz w:val="24"/>
          <w:lang w:eastAsia="zh-CN"/>
        </w:rPr>
        <w:t>估值</w:t>
      </w:r>
      <w:r>
        <w:rPr>
          <w:rFonts w:ascii="Times New Roman" w:hAnsi="Times New Roman" w:cs="Times New Roman"/>
          <w:sz w:val="24"/>
          <w:lang w:eastAsia="zh-CN"/>
        </w:rPr>
        <w:t>日对基金资产估值后，将各类基金份额净值结果发送基金托管人，经基金托管人复核无误后，由基金管理人按照基金合同规定对外公布。</w:t>
      </w:r>
    </w:p>
    <w:p>
      <w:pPr>
        <w:snapToGrid w:val="0"/>
        <w:spacing w:after="0" w:line="360" w:lineRule="auto"/>
        <w:ind w:firstLine="480"/>
        <w:rPr>
          <w:rFonts w:ascii="Times New Roman" w:hAnsi="Times New Roman" w:cs="Times New Roman"/>
          <w:sz w:val="24"/>
          <w:lang w:eastAsia="zh-CN"/>
        </w:rPr>
      </w:pPr>
      <w:bookmarkStart w:id="357" w:name="_Hlk56280742"/>
      <w:r>
        <w:rPr>
          <w:rFonts w:ascii="Times New Roman" w:hAnsi="Times New Roman" w:cs="Times New Roman"/>
          <w:sz w:val="24"/>
          <w:lang w:eastAsia="zh-CN"/>
        </w:rPr>
        <w:t>六、估值错误的处理</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基金管理人和基金托管人将</w:t>
      </w:r>
      <w:r>
        <w:rPr>
          <w:rFonts w:ascii="宋体" w:hAnsi="宋体" w:cs="Times New Roman"/>
          <w:sz w:val="24"/>
          <w:lang w:eastAsia="zh-CN"/>
        </w:rPr>
        <w:t>采取必要、适当、合理的措施确保基金资产估值的准确性、及时性。当任一类基金份额净值小数点后4位以内(含第4位)发</w:t>
      </w:r>
      <w:r>
        <w:rPr>
          <w:rFonts w:ascii="Times New Roman" w:hAnsi="Times New Roman" w:cs="Times New Roman"/>
          <w:sz w:val="24"/>
          <w:lang w:eastAsia="zh-CN"/>
        </w:rPr>
        <w:t>生估值错误时，视为该类基金份额净值错误。</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本基金合同的当事人应按照以下约定处理：</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1、估值错误类型</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本基金运作过程中，如果由于基金管理人或基金托管人、或登记机构、或销售机构、或投资人自身的过错造</w:t>
      </w:r>
      <w:r>
        <w:rPr>
          <w:rFonts w:ascii="宋体" w:hAnsi="宋体" w:cs="Times New Roman"/>
          <w:sz w:val="24"/>
          <w:lang w:eastAsia="zh-CN"/>
        </w:rPr>
        <w:t>成估值错误，导致其他当事人遭受损失的，过错的责任人应当对由于该估值错误遭受损失当事人(“受损方”)的直接损失按下述“估值错误处理原则”给予赔偿，承担赔偿责任。</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上述估值错误的主要类型包括但不限于：资料申报差错、数据传输差错、数据计算差错、系统故障差错、下达指令差错等。</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2、估值错误处理原则</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（2）估值错误的责任方对有关当事人的直接损失负责，不对间接损失负责，并且仅对估值错误的有关直接当事人负责，不对第三方负责。</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（3）因估值错误而获得不当得利的当事人负有及时返还不当得利的义务。但估值错误责任方仍应对估值错误负责。如果由于获得不当得利的当事人不返还或不全部返还不当得利造成其</w:t>
      </w:r>
      <w:r>
        <w:rPr>
          <w:rFonts w:ascii="宋体" w:hAnsi="宋体" w:cs="Times New Roman"/>
          <w:sz w:val="24"/>
          <w:lang w:eastAsia="zh-CN"/>
        </w:rPr>
        <w:t>他当事人的利益损失(“受损方”)，则估值错误责任方应赔偿受损方的损失，并在其支付的赔偿金额的范围内对获</w:t>
      </w:r>
      <w:r>
        <w:rPr>
          <w:rFonts w:ascii="Times New Roman" w:hAnsi="Times New Roman" w:cs="Times New Roman"/>
          <w:sz w:val="24"/>
          <w:lang w:eastAsia="zh-CN"/>
        </w:rPr>
        <w:t>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（4）估值错误调整采用尽量恢复至假设未发生估值错误的正确情形的方式。</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3、估值错误处理程序</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估值错误被发现后，有关的当事人应当及时进行处理，处理的程序如下：</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（1）查明估值错误发生的原因，列明所有的当事人，并根据估值错误发生的原因确定估值错误的责任方；</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（2）根据估值错误处理原则或当事人协商的方法对因估值错误造成的损失进行评估；</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（3）根据估值错误处理原则或当事人协商的方法由估值错误的责任方进行更正和赔偿损失；</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（4）根据估值错误处理的方法，需要修改基金登记机构交易数据的，由基金登记机构进行更正，并就估值错误的更正向有关当事人进行确认。</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4、基金份额净值估值错误处理的方法如下：</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（1）基金份额净值计算出现错误时，基金管理人应当立即予以纠正，通报基金托管人，并采取合理的措施防止损失进一步扩大。</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（2）错误偏差达到该类基金份额净值的0.25%时，基金管理人应当通报基金托管人并报中国证监会备案；错误偏差达到该类基金份额净值的0.5%时，基金管理人应当公告，并报中国证监会备案。</w:t>
      </w:r>
    </w:p>
    <w:p>
      <w:pPr>
        <w:snapToGrid w:val="0"/>
        <w:spacing w:after="0" w:line="360" w:lineRule="auto"/>
        <w:ind w:firstLine="480"/>
        <w:rPr>
          <w:rFonts w:ascii="Times New Roman" w:hAnsi="Times New Roman" w:cs="Times New Roman"/>
          <w:sz w:val="24"/>
          <w:szCs w:val="22"/>
          <w:lang w:eastAsia="zh-CN"/>
        </w:rPr>
      </w:pPr>
      <w:r>
        <w:rPr>
          <w:rFonts w:hint="default" w:ascii="Times New Roman" w:hAnsi="Times New Roman" w:cs="Times New Roman"/>
          <w:sz w:val="24"/>
          <w:szCs w:val="22"/>
          <w:lang w:eastAsia="zh-CN"/>
        </w:rPr>
        <w:t>（3）当基金份额净值计算差错给基金和基金份额持有人造成直接损失需要进行赔偿时，基金管理人和基金托管人应根据实际情况界定双方承担的责任，经确认后按以下条款进行赔偿：</w:t>
      </w:r>
    </w:p>
    <w:p>
      <w:pPr>
        <w:snapToGrid w:val="0"/>
        <w:spacing w:after="0" w:line="360" w:lineRule="auto"/>
        <w:ind w:firstLine="480"/>
        <w:rPr>
          <w:rFonts w:ascii="Times New Roman" w:hAnsi="Times New Roman" w:cs="Times New Roman"/>
          <w:sz w:val="24"/>
          <w:szCs w:val="22"/>
          <w:lang w:eastAsia="zh-CN"/>
        </w:rPr>
      </w:pPr>
      <w:r>
        <w:rPr>
          <w:rFonts w:hint="default" w:ascii="Times New Roman" w:hAnsi="Times New Roman" w:cs="Times New Roman"/>
          <w:sz w:val="24"/>
          <w:szCs w:val="22"/>
          <w:lang w:eastAsia="zh-CN"/>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pPr>
        <w:snapToGrid w:val="0"/>
        <w:spacing w:after="0" w:line="360" w:lineRule="auto"/>
        <w:ind w:firstLine="480"/>
        <w:rPr>
          <w:rFonts w:ascii="Times New Roman" w:hAnsi="Times New Roman" w:cs="Times New Roman"/>
          <w:sz w:val="24"/>
          <w:szCs w:val="24"/>
          <w:lang w:eastAsia="zh-CN"/>
        </w:rPr>
      </w:pPr>
      <w:r>
        <w:rPr>
          <w:rFonts w:hint="default" w:ascii="Times New Roman" w:hAnsi="Times New Roman" w:cs="Times New Roman"/>
          <w:sz w:val="24"/>
          <w:szCs w:val="22"/>
          <w:lang w:eastAsia="zh-CN"/>
        </w:rPr>
        <w:t>2）若基金管理人计算的各类基金份额净值已由基金托管人复核确认后公告，而且基金托管人未对计算过程提出合理疑义或要求基金管理人书面说明，基金份额净值出错且造成基金份额持有人损失的，应根据法律法规的规定对投资者或基金支付赔偿金，就实际向投资者或基金支付的赔偿金额，基</w:t>
      </w:r>
      <w:r>
        <w:rPr>
          <w:rFonts w:hint="eastAsia" w:ascii="Times New Roman" w:hAnsi="Times New Roman" w:cs="Times New Roman"/>
          <w:sz w:val="24"/>
          <w:szCs w:val="24"/>
          <w:lang w:eastAsia="zh-CN"/>
        </w:rPr>
        <w:t>金管理人与基金托管人按照管理费和托管费的比例各自承担相应的责任。</w:t>
      </w:r>
    </w:p>
    <w:p>
      <w:pPr>
        <w:snapToGrid w:val="0"/>
        <w:spacing w:after="0" w:line="360" w:lineRule="auto"/>
        <w:ind w:firstLine="480"/>
        <w:rPr>
          <w:rFonts w:ascii="Times New Roman" w:hAnsi="Times New Roman" w:cs="Times New Roman"/>
          <w:sz w:val="24"/>
          <w:szCs w:val="24"/>
          <w:lang w:eastAsia="zh-CN"/>
        </w:rPr>
      </w:pPr>
      <w:r>
        <w:rPr>
          <w:rFonts w:hint="eastAsia" w:ascii="Times New Roman" w:hAnsi="Times New Roman" w:cs="Times New Roman"/>
          <w:sz w:val="24"/>
          <w:szCs w:val="24"/>
          <w:lang w:eastAsia="zh-CN"/>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pPr>
        <w:snapToGrid w:val="0"/>
        <w:spacing w:after="0" w:line="360" w:lineRule="auto"/>
        <w:ind w:firstLine="480"/>
        <w:rPr>
          <w:rFonts w:ascii="Times New Roman" w:hAnsi="Times New Roman" w:cs="Times New Roman"/>
          <w:sz w:val="24"/>
          <w:szCs w:val="24"/>
          <w:lang w:eastAsia="zh-CN"/>
        </w:rPr>
      </w:pPr>
      <w:r>
        <w:rPr>
          <w:rFonts w:hint="eastAsia" w:ascii="Times New Roman" w:hAnsi="Times New Roman" w:cs="Times New Roman"/>
          <w:sz w:val="24"/>
          <w:szCs w:val="24"/>
          <w:lang w:eastAsia="zh-CN"/>
        </w:rPr>
        <w:t>4）由于基金管理人提供的信息错误（包括但不限于基金申购或赎回金额等），进而导致基金份额净值计算错误而引起的基金份额持有人和基金财产的损失，由基金管理人负责赔付。</w:t>
      </w:r>
    </w:p>
    <w:p>
      <w:pPr>
        <w:snapToGrid w:val="0"/>
        <w:spacing w:after="0" w:line="360" w:lineRule="auto"/>
        <w:ind w:firstLine="480"/>
        <w:rPr>
          <w:rFonts w:ascii="Times New Roman" w:hAnsi="Times New Roman" w:cs="Times New Roman"/>
          <w:sz w:val="24"/>
          <w:szCs w:val="24"/>
          <w:lang w:eastAsia="zh-CN"/>
        </w:rPr>
      </w:pPr>
      <w:r>
        <w:rPr>
          <w:rFonts w:hint="eastAsia" w:ascii="Times New Roman" w:hAnsi="Times New Roman" w:cs="Times New Roman"/>
          <w:sz w:val="24"/>
          <w:szCs w:val="24"/>
          <w:lang w:eastAsia="zh-CN"/>
        </w:rPr>
        <w:t>（4）基金管理人和基金托管人由于各自技术系统设置而产生的净值计算尾差，以基金管理人计算结果为准。</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5</w:t>
      </w:r>
      <w:r>
        <w:rPr>
          <w:rFonts w:ascii="Times New Roman" w:hAnsi="Times New Roman" w:cs="Times New Roman"/>
          <w:sz w:val="24"/>
          <w:lang w:eastAsia="zh-CN"/>
        </w:rPr>
        <w:t>）前述内容如法律法规或监管机关另有规定的，从其规定处理。</w:t>
      </w:r>
      <w:r>
        <w:rPr>
          <w:rFonts w:hint="eastAsia"/>
          <w:bCs/>
          <w:sz w:val="24"/>
          <w:lang w:eastAsia="zh-CN"/>
        </w:rPr>
        <w:t>如果行业有通行做法，在不违背法律法规且不损害投资者利益的前提下，基金管理人与基金托管人应本着平等和保护基金份额持有人利益的原则重新协商确定处理原则。</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七、暂停估值的情形</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1、基金投资所涉及的证券、期货交易市场或外汇市场遇法定节假日或因其他原因暂停营业时；</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2、因不可抗力致使基金管理人、基金托管人无法准确评估基金资产价值时；</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3、当特定资产占前一估值日基金资产净值50%以上的，经与基金托管人协商确认后，基金管理人应当暂停估值；</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4、法律法规、中国证监会和基金合同认定的其它情形。</w:t>
      </w:r>
      <w:bookmarkEnd w:id="357"/>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八、基金净值的确认</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规定予以公布。</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九、实施侧袋机制期间的基金资产估值</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本基金实施侧袋机制的，应根据本部分的约定对主袋账户资产进行估值并披露主袋账户的基金资产净值和基金份额净值，暂停披露侧袋账户基金份额净值。</w:t>
      </w:r>
    </w:p>
    <w:p>
      <w:pPr>
        <w:snapToGrid w:val="0"/>
        <w:spacing w:after="0" w:line="360" w:lineRule="auto"/>
        <w:ind w:firstLine="480"/>
        <w:rPr>
          <w:rFonts w:ascii="Times New Roman" w:hAnsi="Times New Roman" w:cs="Times New Roman"/>
          <w:sz w:val="24"/>
          <w:lang w:eastAsia="zh-CN"/>
        </w:rPr>
      </w:pPr>
      <w:bookmarkStart w:id="358" w:name="_Hlk56280832"/>
      <w:r>
        <w:rPr>
          <w:rFonts w:ascii="Times New Roman" w:hAnsi="Times New Roman" w:cs="Times New Roman"/>
          <w:sz w:val="24"/>
          <w:lang w:eastAsia="zh-CN"/>
        </w:rPr>
        <w:t>十、特殊情况的处理</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1、基金管理人或基金托管人按估值方法的第1</w:t>
      </w:r>
      <w:r>
        <w:rPr>
          <w:rFonts w:hint="eastAsia" w:ascii="Times New Roman" w:hAnsi="Times New Roman" w:cs="Times New Roman"/>
          <w:sz w:val="24"/>
          <w:lang w:eastAsia="zh-CN"/>
        </w:rPr>
        <w:t>6</w:t>
      </w:r>
      <w:r>
        <w:rPr>
          <w:rFonts w:ascii="Times New Roman" w:hAnsi="Times New Roman" w:cs="Times New Roman"/>
          <w:sz w:val="24"/>
          <w:lang w:eastAsia="zh-CN"/>
        </w:rPr>
        <w:t>项进行估值时，所造成的误差不作为基金资产估值错误处理。</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2、由于不可抗力原因，或由于证券、期货交易所、证券/期货</w:t>
      </w:r>
      <w:r>
        <w:rPr>
          <w:rFonts w:hint="eastAsia" w:ascii="Times New Roman" w:hAnsi="Times New Roman" w:cs="Times New Roman"/>
          <w:sz w:val="24"/>
          <w:lang w:eastAsia="zh-CN"/>
        </w:rPr>
        <w:t>经营机构</w:t>
      </w:r>
      <w:r>
        <w:rPr>
          <w:rFonts w:ascii="Times New Roman" w:hAnsi="Times New Roman" w:cs="Times New Roman"/>
          <w:sz w:val="24"/>
          <w:lang w:eastAsia="zh-CN"/>
        </w:rPr>
        <w:t>、登记结算公司、第三方估值</w:t>
      </w:r>
      <w:r>
        <w:rPr>
          <w:rFonts w:hint="eastAsia" w:ascii="Times New Roman" w:hAnsi="Times New Roman" w:cs="Times New Roman"/>
          <w:sz w:val="24"/>
          <w:lang w:eastAsia="zh-CN"/>
        </w:rPr>
        <w:t>基准服务</w:t>
      </w:r>
      <w:r>
        <w:rPr>
          <w:rFonts w:ascii="Times New Roman" w:hAnsi="Times New Roman" w:cs="Times New Roman"/>
          <w:sz w:val="24"/>
          <w:lang w:eastAsia="zh-CN"/>
        </w:rPr>
        <w:t>机构及存款银行等第三方机构发送的数据错误、遗漏，或由于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bookmarkEnd w:id="358"/>
    </w:p>
    <w:p>
      <w:pPr>
        <w:snapToGrid w:val="0"/>
        <w:spacing w:after="0" w:line="360" w:lineRule="auto"/>
        <w:ind w:firstLine="480"/>
        <w:rPr>
          <w:rFonts w:ascii="Times New Roman" w:hAnsi="Times New Roman" w:cs="Times New Roman"/>
          <w:bCs/>
          <w:sz w:val="24"/>
          <w:lang w:eastAsia="zh-CN"/>
        </w:rPr>
      </w:pP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sz w:val="30"/>
          <w:lang w:eastAsia="zh-CN"/>
        </w:rPr>
        <w:br w:type="page"/>
      </w:r>
      <w:bookmarkStart w:id="359" w:name="_Toc97040615"/>
      <w:bookmarkStart w:id="360" w:name="_Toc17951"/>
      <w:r>
        <w:rPr>
          <w:rFonts w:ascii="Times New Roman" w:hAnsi="Times New Roman" w:cs="Times New Roman"/>
          <w:color w:val="auto"/>
          <w:sz w:val="30"/>
          <w:lang w:eastAsia="zh-CN"/>
        </w:rPr>
        <w:t>第十五部分 基金费用与税收</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9"/>
      <w:bookmarkEnd w:id="360"/>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sz w:val="24"/>
          <w:lang w:eastAsia="zh-CN"/>
        </w:rPr>
      </w:pPr>
      <w:bookmarkStart w:id="361" w:name="_Hlk86319308"/>
      <w:r>
        <w:rPr>
          <w:rFonts w:ascii="Times New Roman" w:hAnsi="Times New Roman" w:cs="Times New Roman"/>
          <w:sz w:val="24"/>
          <w:lang w:eastAsia="zh-CN"/>
        </w:rPr>
        <w:t>一、基金费用的种类</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1、基金管理人的管理费；</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2、基金托管人的托管费；</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3、C类基金份额的基金销售服务费；</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4、《基金合同》生效后与基金相关的信息披露费用；</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5、《基金合同》生效后与基金相关的会计师费、律师费、审计费、仲裁费和诉讼费；</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6、基金份额持有人大会费用；</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7、基金的证券、期货等交易费用；</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8、基金的银行汇划费用；</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9、基金的账户开户费用、账户维护费用；</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10、因投资港股通标的股票而产生的各项合理费用；</w:t>
      </w:r>
    </w:p>
    <w:p>
      <w:pPr>
        <w:snapToGrid w:val="0"/>
        <w:spacing w:after="0" w:line="360" w:lineRule="auto"/>
        <w:ind w:firstLine="480"/>
        <w:rPr>
          <w:rFonts w:ascii="Times New Roman" w:hAnsi="Times New Roman" w:cs="Times New Roman"/>
          <w:sz w:val="24"/>
          <w:lang w:eastAsia="zh-CN"/>
        </w:rPr>
      </w:pPr>
      <w:r>
        <w:rPr>
          <w:rFonts w:hint="eastAsia" w:ascii="Times New Roman" w:hAnsi="Times New Roman" w:cs="Times New Roman"/>
          <w:sz w:val="24"/>
          <w:lang w:eastAsia="zh-CN"/>
        </w:rPr>
        <w:t>11、基金投资其他基金产生的其他基金的销售费用，但法律法规、基金合同禁止从基金财产中列支的除外；</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12、按照国家有关规定和《基金合同》约定，可以在基金财产中列支的其他费用。</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二、基金费用计提方法、计提标准和支付方式</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1、基金管理人的管理费</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本基金</w:t>
      </w:r>
      <w:r>
        <w:rPr>
          <w:rFonts w:hint="eastAsia" w:ascii="Times New Roman" w:hAnsi="Times New Roman" w:cs="Times New Roman"/>
          <w:sz w:val="24"/>
          <w:lang w:eastAsia="zh-CN"/>
        </w:rPr>
        <w:t>基金财产中投资于本基金管理人所发行或运作管理的证券投资基金的部分不收取管理费</w:t>
      </w:r>
      <w:r>
        <w:rPr>
          <w:rFonts w:ascii="Times New Roman" w:hAnsi="Times New Roman" w:cs="Times New Roman"/>
          <w:sz w:val="24"/>
          <w:lang w:eastAsia="zh-CN"/>
        </w:rPr>
        <w:t>。</w:t>
      </w:r>
      <w:r>
        <w:rPr>
          <w:rFonts w:hint="eastAsia" w:ascii="Times New Roman" w:hAnsi="Times New Roman" w:cs="Times New Roman"/>
          <w:sz w:val="24"/>
          <w:lang w:eastAsia="zh-CN"/>
        </w:rPr>
        <w:t>本基金</w:t>
      </w:r>
      <w:r>
        <w:rPr>
          <w:rFonts w:ascii="Times New Roman" w:hAnsi="Times New Roman" w:cs="Times New Roman"/>
          <w:sz w:val="24"/>
          <w:lang w:eastAsia="zh-CN"/>
        </w:rPr>
        <w:t>的管理费按前一日基金资产净值扣除本基金管理人</w:t>
      </w:r>
      <w:r>
        <w:rPr>
          <w:rFonts w:hint="eastAsia" w:ascii="Times New Roman" w:hAnsi="Times New Roman" w:cs="Times New Roman"/>
          <w:sz w:val="24"/>
          <w:lang w:eastAsia="zh-CN"/>
        </w:rPr>
        <w:t>所发行或运作</w:t>
      </w:r>
      <w:r>
        <w:rPr>
          <w:rFonts w:ascii="Times New Roman" w:hAnsi="Times New Roman" w:cs="Times New Roman"/>
          <w:sz w:val="24"/>
          <w:lang w:eastAsia="zh-CN"/>
        </w:rPr>
        <w:t>管理的被投资基金的资产净值的余额（若为负数，则取0）的</w:t>
      </w:r>
      <w:r>
        <w:rPr>
          <w:rFonts w:hint="eastAsia" w:ascii="Times New Roman" w:hAnsi="Times New Roman" w:cs="Times New Roman"/>
          <w:sz w:val="24"/>
          <w:lang w:eastAsia="zh-CN"/>
        </w:rPr>
        <w:t>0.40</w:t>
      </w:r>
      <w:r>
        <w:rPr>
          <w:rFonts w:ascii="Times New Roman" w:hAnsi="Times New Roman" w:cs="Times New Roman"/>
          <w:sz w:val="24"/>
          <w:lang w:eastAsia="zh-CN"/>
        </w:rPr>
        <w:t>%年费率计提</w:t>
      </w:r>
      <w:r>
        <w:rPr>
          <w:rFonts w:hint="eastAsia" w:ascii="Times New Roman" w:hAnsi="Times New Roman" w:cs="Times New Roman"/>
          <w:sz w:val="24"/>
          <w:lang w:eastAsia="zh-CN"/>
        </w:rPr>
        <w:t>。</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H＝E×0.</w:t>
      </w:r>
      <w:r>
        <w:rPr>
          <w:rFonts w:hint="eastAsia" w:ascii="Times New Roman" w:hAnsi="Times New Roman" w:cs="Times New Roman"/>
          <w:sz w:val="24"/>
          <w:lang w:eastAsia="zh-CN"/>
        </w:rPr>
        <w:t>40</w:t>
      </w:r>
      <w:r>
        <w:rPr>
          <w:rFonts w:ascii="Times New Roman" w:hAnsi="Times New Roman" w:cs="Times New Roman"/>
          <w:sz w:val="24"/>
          <w:lang w:eastAsia="zh-CN"/>
        </w:rPr>
        <w:t>%÷当年天数</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H为每日应计提的基金管理费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sz w:val="24"/>
          <w:lang w:eastAsia="zh-CN"/>
        </w:rPr>
        <w:t>E为</w:t>
      </w:r>
      <w:r>
        <w:rPr>
          <w:rFonts w:hint="eastAsia" w:ascii="Times New Roman" w:hAnsi="Times New Roman" w:cs="Times New Roman"/>
          <w:sz w:val="24"/>
          <w:lang w:eastAsia="zh-CN"/>
        </w:rPr>
        <w:t>前一日的基金资产净值扣除基金财产中本基金管理人所发行或运作管</w:t>
      </w:r>
      <w:r>
        <w:rPr>
          <w:rFonts w:hint="eastAsia" w:ascii="Times New Roman" w:hAnsi="Times New Roman" w:cs="Times New Roman"/>
          <w:bCs/>
          <w:sz w:val="24"/>
          <w:lang w:eastAsia="zh-CN"/>
        </w:rPr>
        <w:t>理的证券投资基金份额所对应资产净值的剩余部分（若为负数，则取0）</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基金管理费每日计提，逐日累计至每月月末，按月支付。由基金托管人根据与基金管理人核对一致的财务数据，自动在月初</w:t>
      </w:r>
      <w:r>
        <w:rPr>
          <w:rFonts w:ascii="Times New Roman" w:hAnsi="Times New Roman" w:cs="Times New Roman"/>
          <w:bCs/>
          <w:sz w:val="24"/>
          <w:lang w:eastAsia="zh-CN"/>
        </w:rPr>
        <w:t>5</w:t>
      </w:r>
      <w:r>
        <w:rPr>
          <w:rFonts w:hint="eastAsia" w:ascii="Times New Roman" w:hAnsi="Times New Roman" w:cs="Times New Roman"/>
          <w:bCs/>
          <w:sz w:val="24"/>
          <w:lang w:eastAsia="zh-CN"/>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2、基金托管人的托管费</w:t>
      </w:r>
    </w:p>
    <w:p>
      <w:pPr>
        <w:snapToGrid w:val="0"/>
        <w:spacing w:after="0" w:line="360" w:lineRule="auto"/>
        <w:ind w:firstLine="480"/>
        <w:rPr>
          <w:rFonts w:ascii="Times New Roman" w:hAnsi="Times New Roman" w:cs="Times New Roman"/>
          <w:bCs/>
          <w:sz w:val="24"/>
          <w:lang w:eastAsia="zh-CN"/>
        </w:rPr>
      </w:pPr>
      <w:r>
        <w:rPr>
          <w:bCs/>
          <w:sz w:val="24"/>
          <w:lang w:eastAsia="zh-CN"/>
        </w:rPr>
        <w:t>本基金基金财产中投资于本基金托管人托管的</w:t>
      </w:r>
      <w:r>
        <w:rPr>
          <w:rFonts w:hint="eastAsia"/>
          <w:bCs/>
          <w:sz w:val="24"/>
          <w:lang w:eastAsia="zh-CN"/>
        </w:rPr>
        <w:t>证券投资</w:t>
      </w:r>
      <w:r>
        <w:rPr>
          <w:bCs/>
          <w:sz w:val="24"/>
          <w:lang w:eastAsia="zh-CN"/>
        </w:rPr>
        <w:t>基金的部分不收取托管费。本基金的托管费按前一日基金资产净值扣除本基金托管人托管的被投资基金的资产净值的余额（若为负数，则取0）</w:t>
      </w:r>
      <w:r>
        <w:rPr>
          <w:rFonts w:ascii="Times New Roman" w:hAnsi="Times New Roman" w:cs="Times New Roman"/>
          <w:bCs/>
          <w:sz w:val="24"/>
          <w:lang w:eastAsia="zh-CN"/>
        </w:rPr>
        <w:t>的0.1</w:t>
      </w:r>
      <w:r>
        <w:rPr>
          <w:rFonts w:hint="eastAsia" w:ascii="Times New Roman" w:hAnsi="Times New Roman" w:cs="Times New Roman"/>
          <w:bCs/>
          <w:sz w:val="24"/>
          <w:lang w:eastAsia="zh-CN"/>
        </w:rPr>
        <w:t>0</w:t>
      </w:r>
      <w:r>
        <w:rPr>
          <w:rFonts w:ascii="Times New Roman" w:hAnsi="Times New Roman" w:cs="Times New Roman"/>
          <w:bCs/>
          <w:sz w:val="24"/>
          <w:lang w:eastAsia="zh-CN"/>
        </w:rPr>
        <w:t>%</w:t>
      </w:r>
      <w:r>
        <w:rPr>
          <w:bCs/>
          <w:sz w:val="24"/>
          <w:lang w:eastAsia="zh-CN"/>
        </w:rPr>
        <w:t>的年费率计提</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H＝E×0.1</w:t>
      </w:r>
      <w:r>
        <w:rPr>
          <w:rFonts w:hint="eastAsia" w:ascii="Times New Roman" w:hAnsi="Times New Roman" w:cs="Times New Roman"/>
          <w:bCs/>
          <w:sz w:val="24"/>
          <w:lang w:eastAsia="zh-CN"/>
        </w:rPr>
        <w:t>0</w:t>
      </w:r>
      <w:r>
        <w:rPr>
          <w:rFonts w:ascii="Times New Roman" w:hAnsi="Times New Roman" w:cs="Times New Roman"/>
          <w:bCs/>
          <w:sz w:val="24"/>
          <w:lang w:eastAsia="zh-CN"/>
        </w:rPr>
        <w:t>%÷当年天数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H为每日应计提的基金托管费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E为</w:t>
      </w:r>
      <w:r>
        <w:rPr>
          <w:rFonts w:hint="eastAsia" w:ascii="Times New Roman" w:hAnsi="Times New Roman" w:cs="Times New Roman"/>
          <w:bCs/>
          <w:sz w:val="24"/>
          <w:lang w:eastAsia="zh-CN"/>
        </w:rPr>
        <w:t>前一日的基金资产净值扣除由本基金托管人所托管的证券投资基金份额所对应的资产净值的剩余部分（若为负数，则取0）</w:t>
      </w:r>
    </w:p>
    <w:p>
      <w:pPr>
        <w:snapToGrid w:val="0"/>
        <w:spacing w:after="0" w:line="360" w:lineRule="auto"/>
        <w:ind w:firstLine="480"/>
        <w:rPr>
          <w:bCs/>
          <w:sz w:val="24"/>
          <w:lang w:eastAsia="zh-CN"/>
        </w:rPr>
      </w:pPr>
      <w:r>
        <w:rPr>
          <w:rFonts w:hint="eastAsia"/>
          <w:bCs/>
          <w:sz w:val="24"/>
          <w:lang w:eastAsia="zh-CN"/>
        </w:rPr>
        <w:t>基金托管费每日计提，逐日累计至每月月末，按月支付。由基金托管人根据与基金管理人核对一致的财务数据，自动在月初</w:t>
      </w:r>
      <w:r>
        <w:rPr>
          <w:bCs/>
          <w:sz w:val="24"/>
          <w:lang w:eastAsia="zh-CN"/>
        </w:rPr>
        <w:t>5</w:t>
      </w:r>
      <w:r>
        <w:rPr>
          <w:rFonts w:hint="eastAsia"/>
          <w:bCs/>
          <w:sz w:val="24"/>
          <w:lang w:eastAsia="zh-CN"/>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snapToGrid w:val="0"/>
        <w:spacing w:after="0" w:line="360" w:lineRule="auto"/>
        <w:ind w:firstLine="480"/>
        <w:rPr>
          <w:bCs/>
          <w:sz w:val="24"/>
          <w:lang w:eastAsia="zh-CN"/>
        </w:rPr>
      </w:pPr>
      <w:r>
        <w:rPr>
          <w:bCs/>
          <w:sz w:val="24"/>
          <w:lang w:eastAsia="zh-CN"/>
        </w:rPr>
        <w:t>3、C类基金份额的销售服务费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本基金A类基金份额不收取销售服务费，C类基金份额的销售服务费年费率为0.</w:t>
      </w:r>
      <w:r>
        <w:rPr>
          <w:rFonts w:hint="eastAsia" w:ascii="Times New Roman" w:hAnsi="Times New Roman" w:cs="Times New Roman"/>
          <w:bCs/>
          <w:sz w:val="24"/>
          <w:lang w:eastAsia="zh-CN"/>
        </w:rPr>
        <w:t>2</w:t>
      </w:r>
      <w:r>
        <w:rPr>
          <w:rFonts w:ascii="Times New Roman" w:hAnsi="Times New Roman" w:cs="Times New Roman"/>
          <w:bCs/>
          <w:sz w:val="24"/>
          <w:lang w:eastAsia="zh-CN"/>
        </w:rPr>
        <w:t>0%。销售服务费计提的计算公式如下：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H＝E×0.</w:t>
      </w:r>
      <w:r>
        <w:rPr>
          <w:rFonts w:hint="eastAsia" w:ascii="Times New Roman" w:hAnsi="Times New Roman" w:cs="Times New Roman"/>
          <w:bCs/>
          <w:sz w:val="24"/>
          <w:lang w:eastAsia="zh-CN"/>
        </w:rPr>
        <w:t>2</w:t>
      </w:r>
      <w:r>
        <w:rPr>
          <w:rFonts w:ascii="Times New Roman" w:hAnsi="Times New Roman" w:cs="Times New Roman"/>
          <w:bCs/>
          <w:sz w:val="24"/>
          <w:lang w:eastAsia="zh-CN"/>
        </w:rPr>
        <w:t>0%÷当年天数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H为C类基金份额每日应计提的销售服务费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E为C类基金份额前一日的基金资产净值</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基金销售服务费每日计提。</w:t>
      </w:r>
    </w:p>
    <w:p>
      <w:pPr>
        <w:snapToGrid w:val="0"/>
        <w:spacing w:after="0" w:line="360" w:lineRule="auto"/>
        <w:ind w:firstLine="480"/>
        <w:rPr>
          <w:rFonts w:ascii="Times New Roman" w:hAnsi="Times New Roman" w:cs="Times New Roman"/>
          <w:bCs/>
          <w:sz w:val="24"/>
          <w:lang w:eastAsia="zh-CN"/>
        </w:rPr>
      </w:pPr>
      <w:bookmarkStart w:id="362" w:name="OLE_LINK7"/>
      <w:bookmarkStart w:id="363" w:name="OLE_LINK4"/>
      <w:r>
        <w:rPr>
          <w:rFonts w:hint="eastAsia" w:ascii="Times New Roman" w:hAnsi="Times New Roman" w:cs="Times New Roman"/>
          <w:bCs/>
          <w:sz w:val="24"/>
          <w:lang w:eastAsia="zh-CN"/>
        </w:rPr>
        <w:t>（1）直销机构：</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对于C类基金份额计提的销售服务费，在投资者赎回基金份额或基金合同终止时随赎回款或清算款一并返还给投资者。若遇法定节假日、休息日等，支付日期顺延。费用自动扣划后，基金管理人应进行核对，如发现数据不符，及时联系基金托管人协商解决。</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（2）其他销售机构：</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对于投资者持续持有期限未超过一年的C类基金份额计提的销售服务费，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对于持续持有期限超过一年的C类基金份额，超过一年继续计提的销售服务费，在投资者赎回基金份额或基金合同终止时，随赎回款或清算款一并返还给投资者。若遇法定节假日、休息日等，支付日期顺延。费用自动扣划后，基金管理人应进行核对，如发现数据不符，及时联系基金托管人协商解决。</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上述“一、基金费用的种类”中第4－12项费用，根据有关法规及相应协议规定，按费用实际支出金额列入当期费用，由基金托管人从基金财产中支付。基金综合费用水平请参见产品资料概要等文件。</w:t>
      </w:r>
      <w:bookmarkEnd w:id="362"/>
      <w:bookmarkEnd w:id="363"/>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三、不列入基金费用的项目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下列费用不列入基金费用：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1、基金管理人和基金托管人因未履行或未完全履行义务导致的费用支出或基金财产的损失；</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2、基金管理人和基金托管人处理与基金运作无关的事项发生的费用；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3、《基金合同》生效前的相关费用；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4、其他根据相关法律法规及中国证监会的有关规定不得列入基金费用的项目。</w:t>
      </w:r>
      <w:bookmarkStart w:id="364" w:name="_Hlt88827255"/>
      <w:bookmarkEnd w:id="364"/>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基金管理人运用本基金财产申购自身管理的基金的（ETF除外），应当通过直销渠道申购且不得收取申购费、赎回费（按照相关法规、基金招募说明书约定应当收取，并计入基金财产的赎回费用除外）、销售服务费等销售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四、实施侧袋机制期间的基金费用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本基金实施侧袋机制的，与侧袋账户有关的费用可以从侧袋账户中列支，但应待侧袋账户资产变现后方可列支，有关费用可酌情收取或减免，但不得收取管理费，详见招募说明书的规定或相关公告。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五、基金税收</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bCs/>
          <w:sz w:val="24"/>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bookmarkEnd w:id="361"/>
    <w:p>
      <w:pPr>
        <w:pStyle w:val="2"/>
        <w:snapToGrid w:val="0"/>
        <w:spacing w:before="0" w:after="0"/>
        <w:jc w:val="center"/>
        <w:rPr>
          <w:rFonts w:ascii="Times New Roman" w:hAnsi="Times New Roman" w:cs="Times New Roman"/>
          <w:color w:val="auto"/>
          <w:sz w:val="30"/>
          <w:lang w:eastAsia="zh-CN"/>
        </w:rPr>
      </w:pPr>
      <w:bookmarkStart w:id="365" w:name="_Toc93226149"/>
      <w:bookmarkStart w:id="366" w:name="_Toc92662707"/>
      <w:bookmarkStart w:id="367" w:name="_Toc139991746"/>
      <w:bookmarkStart w:id="368" w:name="_Toc141703896"/>
      <w:bookmarkStart w:id="369" w:name="_Toc128310499"/>
      <w:bookmarkStart w:id="370" w:name="_Toc22552"/>
      <w:r>
        <w:rPr>
          <w:rFonts w:ascii="Times New Roman" w:hAnsi="Times New Roman" w:cs="Times New Roman"/>
          <w:b w:val="0"/>
          <w:bCs/>
          <w:color w:val="auto"/>
          <w:sz w:val="30"/>
          <w:lang w:eastAsia="zh-CN"/>
        </w:rPr>
        <w:br w:type="page"/>
      </w:r>
      <w:bookmarkStart w:id="371" w:name="_Toc25883"/>
      <w:bookmarkStart w:id="372" w:name="_Toc481653687"/>
      <w:bookmarkStart w:id="373" w:name="_Toc3656"/>
      <w:bookmarkStart w:id="374" w:name="_Toc21829"/>
      <w:bookmarkStart w:id="375" w:name="_Toc15525"/>
      <w:bookmarkStart w:id="376" w:name="_Toc20052"/>
      <w:bookmarkStart w:id="377" w:name="_Toc1617"/>
      <w:bookmarkStart w:id="378" w:name="_Toc12761"/>
      <w:bookmarkStart w:id="379" w:name="_Toc19558"/>
      <w:bookmarkStart w:id="380" w:name="_Toc178"/>
      <w:bookmarkStart w:id="381" w:name="_Toc97040616"/>
      <w:bookmarkStart w:id="382" w:name="_Toc22452"/>
      <w:r>
        <w:rPr>
          <w:rFonts w:ascii="Times New Roman" w:hAnsi="Times New Roman" w:cs="Times New Roman"/>
          <w:color w:val="auto"/>
          <w:sz w:val="30"/>
          <w:lang w:eastAsia="zh-CN"/>
        </w:rPr>
        <w:t>第十六部分 基金</w:t>
      </w:r>
      <w:bookmarkEnd w:id="365"/>
      <w:bookmarkEnd w:id="366"/>
      <w:r>
        <w:rPr>
          <w:rFonts w:ascii="Times New Roman" w:hAnsi="Times New Roman" w:cs="Times New Roman"/>
          <w:color w:val="auto"/>
          <w:sz w:val="30"/>
          <w:lang w:eastAsia="zh-CN"/>
        </w:rPr>
        <w:t>的收益与分配</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snapToGrid w:val="0"/>
        <w:spacing w:after="0" w:line="360" w:lineRule="auto"/>
        <w:rPr>
          <w:rFonts w:ascii="Times New Roman" w:hAnsi="Times New Roman" w:cs="Times New Roman"/>
          <w:bCs/>
          <w:lang w:eastAsia="zh-CN"/>
        </w:rPr>
      </w:pPr>
    </w:p>
    <w:p>
      <w:pPr>
        <w:snapToGrid w:val="0"/>
        <w:spacing w:after="0" w:line="360" w:lineRule="auto"/>
        <w:ind w:firstLine="480"/>
        <w:rPr>
          <w:rFonts w:ascii="Times New Roman" w:hAnsi="Times New Roman" w:cs="Times New Roman"/>
          <w:bCs/>
          <w:sz w:val="24"/>
          <w:lang w:eastAsia="zh-CN"/>
        </w:rPr>
      </w:pPr>
      <w:bookmarkStart w:id="383" w:name="_Hlk86319287"/>
      <w:r>
        <w:rPr>
          <w:rFonts w:ascii="Times New Roman" w:hAnsi="Times New Roman" w:cs="Times New Roman"/>
          <w:bCs/>
          <w:sz w:val="24"/>
          <w:lang w:eastAsia="zh-CN"/>
        </w:rPr>
        <w:t>一、基金利润的构成</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基金利润指基金利息收入、投资收益、公允价值变动收益和其他收入扣除相关费用后的余额，基金已实现收益指基金利润减去公允价值变动收益后的余额。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二、基金可供分配利润</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基金可供分配利润指截至收益分配基准日基金未分配利润与未分配利润中已实现收益的孰低数。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三、基金收益分配原则</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本基金每季度对基金的可供分配利润进行评估，在符合有关基金分红条件的前提下，每季度末基金可供分配利润金额大于0元时，本基金管理人可以进行收益分配，具体分配方案以公告为准，若《基金合同》生效不满3个月可不进行收益分配；</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2、本基金收益分配方式分两种：现金分红与红利再投资，投资者可选择现金红利或将现金红利自动转为相应类别的基金份额进行再投资；若投资者不选择，本基金默认的收益分配方式是现金分红；</w:t>
      </w:r>
      <w:r>
        <w:rPr>
          <w:rFonts w:hint="eastAsia"/>
          <w:bCs/>
          <w:sz w:val="24"/>
          <w:lang w:eastAsia="zh-CN"/>
        </w:rPr>
        <w:t>基金份额持有人可对本基金A类基金份额和C类基金份额分别选择不同的分红方式；</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3、基金收益分配后基金份额净值不能低于面值；即基金收益分配基准日的各类基金份额净值减去每单位该类基金份额收益分配金额后不能低于面值；</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4、同一类别内每一基金份额享有同等分配权；</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5、法律法规或监管机关另有规定的，从其规定。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本基金每次收益分配比例详见届时基金管理人发布的公告。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在不违背法律法规及基金合同的规定、且对基金份额持有人利益无实质性不利影响的前提下，基金管理人</w:t>
      </w:r>
      <w:r>
        <w:rPr>
          <w:rFonts w:hint="eastAsia"/>
          <w:bCs/>
          <w:sz w:val="24"/>
          <w:lang w:eastAsia="zh-CN"/>
        </w:rPr>
        <w:t>在履行适当程序后，</w:t>
      </w:r>
      <w:r>
        <w:rPr>
          <w:rFonts w:ascii="Times New Roman" w:hAnsi="Times New Roman" w:cs="Times New Roman"/>
          <w:bCs/>
          <w:sz w:val="24"/>
          <w:lang w:eastAsia="zh-CN"/>
        </w:rPr>
        <w:t>经与基金托管人协商一致，可调整基金收益的分配原则。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四、收益分配方案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基金收益分配方案中应载明截</w:t>
      </w:r>
      <w:r>
        <w:rPr>
          <w:rFonts w:hint="eastAsia" w:ascii="Times New Roman" w:hAnsi="Times New Roman" w:cs="Times New Roman"/>
          <w:bCs/>
          <w:sz w:val="24"/>
          <w:lang w:eastAsia="zh-CN"/>
        </w:rPr>
        <w:t>至</w:t>
      </w:r>
      <w:r>
        <w:rPr>
          <w:rFonts w:ascii="Times New Roman" w:hAnsi="Times New Roman" w:cs="Times New Roman"/>
          <w:bCs/>
          <w:sz w:val="24"/>
          <w:lang w:eastAsia="zh-CN"/>
        </w:rPr>
        <w:t>收益分配基准日的可供分配利润、基金收益分配对象、分配时间、分配数额及比例、分配方式等内容。</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五、收益分配方案的确定、公告与实施</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本基金收益分配方案由基金管理人拟定，并由基金托管人复核，依照《信息披露办法》的有关规定在规定媒介公告。</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六、基金收益分配中发生的费用</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七、实施侧袋机制期间的收益分配</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本基金实施侧袋机制的，侧袋账户不进行收益分配，详见招募说明书的规定</w:t>
      </w:r>
      <w:r>
        <w:rPr>
          <w:rFonts w:hint="eastAsia" w:ascii="Times New Roman" w:hAnsi="Times New Roman" w:cs="Times New Roman"/>
          <w:bCs/>
          <w:sz w:val="24"/>
          <w:lang w:eastAsia="zh-CN"/>
        </w:rPr>
        <w:t>或相关公告</w:t>
      </w:r>
      <w:r>
        <w:rPr>
          <w:rFonts w:ascii="Times New Roman" w:hAnsi="Times New Roman" w:cs="Times New Roman"/>
          <w:bCs/>
          <w:sz w:val="24"/>
          <w:lang w:eastAsia="zh-CN"/>
        </w:rPr>
        <w:t>。</w:t>
      </w:r>
      <w:bookmarkEnd w:id="383"/>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sz w:val="21"/>
          <w:lang w:eastAsia="zh-CN"/>
        </w:rPr>
        <w:br w:type="page"/>
      </w:r>
      <w:bookmarkStart w:id="384" w:name="_Toc93226150"/>
      <w:bookmarkStart w:id="385" w:name="_Toc92662708"/>
      <w:bookmarkStart w:id="386" w:name="_Toc28961"/>
      <w:bookmarkStart w:id="387" w:name="_Toc18007"/>
      <w:bookmarkStart w:id="388" w:name="_Toc1043"/>
      <w:bookmarkStart w:id="389" w:name="_Toc128310500"/>
      <w:bookmarkStart w:id="390" w:name="_Toc31736"/>
      <w:bookmarkStart w:id="391" w:name="_Toc139991747"/>
      <w:bookmarkStart w:id="392" w:name="_Toc21206"/>
      <w:bookmarkStart w:id="393" w:name="_Toc13255"/>
      <w:bookmarkStart w:id="394" w:name="_Toc23859"/>
      <w:bookmarkStart w:id="395" w:name="_Toc17499"/>
      <w:bookmarkStart w:id="396" w:name="_Toc10894"/>
      <w:bookmarkStart w:id="397" w:name="_Toc141703897"/>
      <w:bookmarkStart w:id="398" w:name="_Toc3509"/>
      <w:bookmarkStart w:id="399" w:name="_Toc29695"/>
      <w:bookmarkStart w:id="400" w:name="_Toc481653688"/>
      <w:bookmarkStart w:id="401" w:name="_Toc97040617"/>
      <w:r>
        <w:rPr>
          <w:rFonts w:ascii="Times New Roman" w:hAnsi="Times New Roman" w:cs="Times New Roman"/>
          <w:color w:val="auto"/>
          <w:sz w:val="30"/>
          <w:lang w:eastAsia="zh-CN"/>
        </w:rPr>
        <w:t>第十七部分 基金</w:t>
      </w:r>
      <w:bookmarkEnd w:id="384"/>
      <w:bookmarkEnd w:id="385"/>
      <w:r>
        <w:rPr>
          <w:rFonts w:ascii="Times New Roman" w:hAnsi="Times New Roman" w:cs="Times New Roman"/>
          <w:color w:val="auto"/>
          <w:sz w:val="30"/>
          <w:lang w:eastAsia="zh-CN"/>
        </w:rPr>
        <w:t>的会计与审计</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一、基金会计政策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1、基金管理人为本基金的基金会计责任方；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2、基金的会计年度为公历年度的1月1日至12月31日；基金首次募集的会计年度按如下原则：如果《基金合同》生效少于2个月，可以并入下一个会计年度披露；</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3、基金核算以人民币为记账本位币，以人民币元为记账单位；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4、会计制度执行国家有关会计制度；</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5、本基金独立建账、独立核算；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6、基金管理人及基金托管人各自保留完整的会计账目、凭证并进行日常的会计核算，按照有关规定编制基金会计报表；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7、基金托管人每月与基金管理人就基金的会计核算、报表编制等进行核对确认。</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二、基金的年度审计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1、基金管理人聘请与基金管理人、基金托管人相互独立的符合《中华人民共和国证券法》规定的会计师事务所及其注册会计师对本基金的年度财务报表进行审计。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2、会计师事务所更换经办注册会计师，应事先征得基金管理人同意。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w:t>
      </w:r>
      <w:bookmarkStart w:id="402" w:name="_Hlt4221115"/>
      <w:bookmarkEnd w:id="402"/>
      <w:r>
        <w:rPr>
          <w:rFonts w:ascii="Times New Roman" w:hAnsi="Times New Roman" w:cs="Times New Roman"/>
          <w:bCs/>
          <w:sz w:val="24"/>
          <w:lang w:eastAsia="zh-CN"/>
        </w:rPr>
        <w:t>基金管理人认为有充足理由更换会计师事务所，须通报基金托管人。更换会计师事务所需按照《信息披露办法》的有关规定在规定媒介公告。</w:t>
      </w: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lang w:eastAsia="zh-CN"/>
        </w:rPr>
        <w:br w:type="page"/>
      </w:r>
      <w:bookmarkStart w:id="403" w:name="_Toc92662709"/>
      <w:bookmarkStart w:id="404" w:name="_Toc93226151"/>
      <w:bookmarkStart w:id="405" w:name="_Toc29289"/>
      <w:bookmarkStart w:id="406" w:name="_Toc11802"/>
      <w:bookmarkStart w:id="407" w:name="_Toc1173"/>
      <w:bookmarkStart w:id="408" w:name="_Toc139991748"/>
      <w:bookmarkStart w:id="409" w:name="_Toc17824"/>
      <w:bookmarkStart w:id="410" w:name="_Toc3056"/>
      <w:bookmarkStart w:id="411" w:name="_Toc141703898"/>
      <w:bookmarkStart w:id="412" w:name="_Toc11049"/>
      <w:bookmarkStart w:id="413" w:name="_Toc31866"/>
      <w:bookmarkStart w:id="414" w:name="_Toc97040618"/>
      <w:bookmarkStart w:id="415" w:name="_Toc481653689"/>
      <w:bookmarkStart w:id="416" w:name="_Toc1421"/>
      <w:bookmarkStart w:id="417" w:name="_Toc128310501"/>
      <w:bookmarkStart w:id="418" w:name="_Toc8512"/>
      <w:bookmarkStart w:id="419" w:name="_Toc193"/>
      <w:bookmarkStart w:id="420" w:name="_Toc12028"/>
      <w:r>
        <w:rPr>
          <w:rFonts w:ascii="Times New Roman" w:hAnsi="Times New Roman" w:cs="Times New Roman"/>
          <w:color w:val="auto"/>
          <w:sz w:val="30"/>
          <w:lang w:eastAsia="zh-CN"/>
        </w:rPr>
        <w:t>第十八部分 基金</w:t>
      </w:r>
      <w:bookmarkEnd w:id="403"/>
      <w:bookmarkEnd w:id="404"/>
      <w:r>
        <w:rPr>
          <w:rFonts w:ascii="Times New Roman" w:hAnsi="Times New Roman" w:cs="Times New Roman"/>
          <w:color w:val="auto"/>
          <w:sz w:val="30"/>
          <w:lang w:eastAsia="zh-CN"/>
        </w:rPr>
        <w:t>的信息披露</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一、本基金的信息披露应符合《基金法》、《运作办法》、《信息披露办法》、《流动性风险管理规定》、《基金合同》及其他有关规定。相关法律法规关于信息披露的规定发生变化时，本基金从其最新规定。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二、信息披露义务人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本基金信息披露义务人包括基金管理人、基金托管人、召集基金份额持有人大会的基金份额持有人等法律法规和中国证监会规定的自然人、法人和非法人组织。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本基金信息披露义务人以保护基金份额持有人利益为根本出发点，按照法律法规和中国证监会的规定披露基金信息，并保证所披露信息的真实性、准确性、完整性、及时性、简明性和易得性。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三、本基金信息披露义务人承诺公开披露的基金信息，不得有下列行为：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1、虚假记载、误导性陈述或者重大遗漏；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2、对证券投资业绩进行预测；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3、违规承诺收益或者承担损失；</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4、诋毁其他基金管理人、基金托管人或者基金销售机构；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5、登载任何自然人、法人和非法人组织的祝贺性、恭维性或推荐性的文字；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6、中国证监会禁止的其他行为。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四、本基金公开披露的信息应采用中文文本。如同时采用外文文本的，基金信息披露义务人应保证不同文本的内容一致。不同文本之间发生歧义的，以中文文本为准。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本基金公开披露的信息采用阿拉伯数字；除特别说明外，货币单位为人民币元。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五、公开披露的基金信息</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公开披露的基金信息包括：</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（一）基金招募说明书、《基金合同》、基金托管协议、基金产品资料概要</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1、《基金合同》是界定《基金合同》当事人的各项权利、义务关系，明确基金份额持有人大会召开的规则及具体程序，说明基金产品的特性等涉及基金投资者重大利益的事项的法律文件。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3、基金托管协议是界定基金托管人和基金管理人在基金财产保管及基金运作监督等活动中的权利、义务关系的法律文件。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（二）基金份额发售公告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基金管理人应当就基金份额发售的具体事宜编制基金份额发售公告，并在披露招募说明书的当日登载于规定媒介上。</w:t>
      </w:r>
    </w:p>
    <w:p>
      <w:pPr>
        <w:snapToGrid w:val="0"/>
        <w:spacing w:after="0" w:line="360" w:lineRule="auto"/>
        <w:ind w:firstLine="480"/>
        <w:rPr>
          <w:rFonts w:ascii="Times New Roman" w:hAnsi="Times New Roman" w:cs="Times New Roman"/>
          <w:bCs/>
          <w:sz w:val="24"/>
        </w:rPr>
      </w:pPr>
      <w:r>
        <w:rPr>
          <w:rFonts w:ascii="Times New Roman" w:hAnsi="Times New Roman" w:cs="Times New Roman"/>
          <w:bCs/>
          <w:sz w:val="24"/>
        </w:rPr>
        <w:t>（三）《基金合同》生效公告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基金管理人应当在收到中国证监会确认文件的次日在规定媒介上登载《基金合同》生效公告。</w:t>
      </w:r>
    </w:p>
    <w:p>
      <w:pPr>
        <w:snapToGrid w:val="0"/>
        <w:spacing w:after="0" w:line="360" w:lineRule="auto"/>
        <w:ind w:firstLine="480"/>
        <w:rPr>
          <w:rFonts w:ascii="Times New Roman" w:hAnsi="Times New Roman" w:cs="Times New Roman"/>
          <w:bCs/>
          <w:sz w:val="24"/>
          <w:lang w:eastAsia="zh-CN"/>
        </w:rPr>
      </w:pPr>
      <w:bookmarkStart w:id="421" w:name="_Hlk86319422"/>
      <w:r>
        <w:rPr>
          <w:rFonts w:ascii="Times New Roman" w:hAnsi="Times New Roman" w:cs="Times New Roman"/>
          <w:bCs/>
          <w:sz w:val="24"/>
          <w:lang w:eastAsia="zh-CN"/>
        </w:rPr>
        <w:t>（四）基金净值信息</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《基金合同》生效后，在开始办理基金份额申购或者赎回前，基金管理人应当至少每周在规定网站披露一次各类基金份额净值和基金份额累计净值。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在开始办理基金份额申购或者赎回后，基金管理人应当在不晚于每个开放日的次日，通过规定网站、基金销售机构网站或营业网点披露开放日的各类基金份额净值和基金份额累计净值。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基金管理人应在不晚于半年度和年度最后一日的次日，在规定网站披露半年度和年度最后一日的各类基金份额净值和基金份额累计净值。</w:t>
      </w:r>
      <w:bookmarkEnd w:id="421"/>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（五）基金份额申购、赎回价格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（六）基金定期报告，包括基金年度报告、基金中期报告和基金季度报告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基金管理人应当在上半年结束之日起两个月内，编制完成基金中期报告，并将中期报告登载在规定网站上，并将中期报告提示性公告登载在规定报刊上。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基金管理人应当在季度结束之日起15个工作日内，编制完成基金季度报告，将季度报告登载在规定网站上，并将季度报告提示性公告登载在规定报刊上。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《基金合同》生效不足2个月的，基金管理人可以不编制当期季度报告、中期报告或者年度报告。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基金管理人应当在基金年度报告和中期报告中披露基金组合资产情况及其流动性风险分析等。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（七）临时报告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本基金发生重大事件，有关信息披露义务人应当依照《信息披露办法》的规定编制临时报告书，并登载在规定报刊和规定网站上。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前款所称重大事件，是指可能对基金份额持有人权益或者基金份额的价格产生重大影响的下列事件：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1、基金份额持有人大会的召开及决定的事项；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2、《基金合同》终止、基金清算；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3、转换基金运作方式、基金合并；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4、更换基金管理人、基金托管人、基金份额登记机构，基金改聘会计师事务所；</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5、基金管理人委托基金服务机构代为办理基金的份额登记、核算、估值等事项，基金托管人委托基金服务机构代为办理基金的核算、估值、复核等事项；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6、基金管理人、基金托管人的法定名称、住所发生变更；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7、基金管理人变更持有百分之五以上股权的股东、基金管理人的实际控制人变更；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8、基金募集期延长或提前结束募集；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9、基金管理人高级管理人员、基金经理和基金托管人专门基金托管部门负责人发生变动；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10、基金管理人的董事在最近12个月内变更超过百分之五十，基金管理人、基金托管人专门基金托管部门的主要业务人员在最近12个月内变动超过百分之三十；</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11、涉及基金财产、基金管理业务、基金托管业务的诉讼或仲裁；</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14、基金收益分配事项；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15、管理费、托管费、销售服务费、申购费、赎回费等费用计提标准、计提方式和费率发生变更；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16、某类基金份额净值计价错误达该类基金份额净值百分之零点五；</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17、本基金开始办理申购、赎回；</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18、本基金发生巨额赎回并延期办理；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19、本基金连续发生巨额赎回并暂停接受赎回申请或延缓支付赎回款项；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20、本基金暂停接受申购、赎回申请或重新接受申购、赎回申请；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21、本基金变更份额类别设置；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22、基金推出新业务或服务；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23、发生涉及基金申购、赎回事项调整或潜在影响投资者赎回等重大事项时；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24、基金管理人采用摆动定价机制进行估值；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w:t>
      </w:r>
      <w:r>
        <w:rPr>
          <w:rFonts w:hint="eastAsia" w:ascii="Times New Roman" w:hAnsi="Times New Roman" w:cs="Times New Roman"/>
          <w:bCs/>
          <w:sz w:val="24"/>
          <w:lang w:eastAsia="zh-CN"/>
        </w:rPr>
        <w:t>5</w:t>
      </w:r>
      <w:r>
        <w:rPr>
          <w:rFonts w:ascii="Times New Roman" w:hAnsi="Times New Roman" w:cs="Times New Roman"/>
          <w:bCs/>
          <w:sz w:val="24"/>
          <w:lang w:eastAsia="zh-CN"/>
        </w:rPr>
        <w:t>、基金信息披露义务人认为可能对基金份额持有人权益或者基金份额的价格产生重大影响的其他事项或中国证监会规定和基金合同约定的其他事项。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（八）澄清公告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（九）基金份额持有人大会决议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基金份额持有人大会决定的事项，应当依法报中国证监会备案，并予以公告。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（十）清算报告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（十一）投资资产支持证券相关公告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（十二）投资国债期货相关公告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基金管理人将在季度报告、中期报告、年度报告等定期报告和招募说明书（更新）等文件中披露国债期货交易情况，包括</w:t>
      </w:r>
      <w:r>
        <w:rPr>
          <w:rFonts w:hint="eastAsia" w:ascii="Times New Roman" w:hAnsi="Times New Roman" w:cs="Times New Roman"/>
          <w:bCs/>
          <w:sz w:val="24"/>
          <w:lang w:eastAsia="zh-CN"/>
        </w:rPr>
        <w:t>交易政策</w:t>
      </w:r>
      <w:r>
        <w:rPr>
          <w:rFonts w:ascii="Times New Roman" w:hAnsi="Times New Roman" w:cs="Times New Roman"/>
          <w:bCs/>
          <w:sz w:val="24"/>
          <w:lang w:eastAsia="zh-CN"/>
        </w:rPr>
        <w:t>、持仓情况、损益情况、风险指标等，并充分揭示国债期货交易对基金总体风险的影响以及是否符合既定的</w:t>
      </w:r>
      <w:r>
        <w:rPr>
          <w:rFonts w:hint="eastAsia" w:ascii="Times New Roman" w:hAnsi="Times New Roman" w:cs="Times New Roman"/>
          <w:bCs/>
          <w:sz w:val="24"/>
          <w:lang w:eastAsia="zh-CN"/>
        </w:rPr>
        <w:t>交易政策</w:t>
      </w:r>
      <w:r>
        <w:rPr>
          <w:rFonts w:ascii="Times New Roman" w:hAnsi="Times New Roman" w:cs="Times New Roman"/>
          <w:bCs/>
          <w:sz w:val="24"/>
          <w:lang w:eastAsia="zh-CN"/>
        </w:rPr>
        <w:t>和</w:t>
      </w:r>
      <w:r>
        <w:rPr>
          <w:rFonts w:hint="eastAsia" w:ascii="Times New Roman" w:hAnsi="Times New Roman" w:cs="Times New Roman"/>
          <w:bCs/>
          <w:sz w:val="24"/>
          <w:lang w:eastAsia="zh-CN"/>
        </w:rPr>
        <w:t>交易</w:t>
      </w:r>
      <w:r>
        <w:rPr>
          <w:rFonts w:ascii="Times New Roman" w:hAnsi="Times New Roman" w:cs="Times New Roman"/>
          <w:bCs/>
          <w:sz w:val="24"/>
          <w:lang w:eastAsia="zh-CN"/>
        </w:rPr>
        <w:t>目标。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（十三）投资港股通标的股票相关公告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基金管理人应当在基金年度报告、基金中期报告和基金季度报告等定期报告和招募说明书（更新）等文件中披露港股通标的股票的投资情况。法律法规或中国证监会另有规定的，从其规定。</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（十四）证券投资基金的投资情况</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基金管理人在招募说明书（更新）及定期报告等文件中应当设立专门章节披露所持基金以下情况，并揭示相关风险：（</w:t>
      </w:r>
      <w:r>
        <w:rPr>
          <w:rFonts w:ascii="Times New Roman" w:hAnsi="Times New Roman" w:cs="Times New Roman"/>
          <w:bCs/>
          <w:sz w:val="24"/>
          <w:lang w:eastAsia="zh-CN"/>
        </w:rPr>
        <w:t>1</w:t>
      </w:r>
      <w:r>
        <w:rPr>
          <w:rFonts w:hint="eastAsia" w:ascii="Times New Roman" w:hAnsi="Times New Roman" w:cs="Times New Roman"/>
          <w:bCs/>
          <w:sz w:val="24"/>
          <w:lang w:eastAsia="zh-CN"/>
        </w:rPr>
        <w:t>）投资策略、持仓情况、损益情况、净值披露时间等；（</w:t>
      </w:r>
      <w:r>
        <w:rPr>
          <w:rFonts w:ascii="Times New Roman" w:hAnsi="Times New Roman" w:cs="Times New Roman"/>
          <w:bCs/>
          <w:sz w:val="24"/>
          <w:lang w:eastAsia="zh-CN"/>
        </w:rPr>
        <w:t>2</w:t>
      </w:r>
      <w:r>
        <w:rPr>
          <w:rFonts w:hint="eastAsia" w:ascii="Times New Roman" w:hAnsi="Times New Roman" w:cs="Times New Roman"/>
          <w:bCs/>
          <w:sz w:val="24"/>
          <w:lang w:eastAsia="zh-CN"/>
        </w:rPr>
        <w:t>）交易及持有基金产生的费用，包括申购费、赎回费、销售服务费、管理费、托管费等，招募说明书中应当列明计算方法并举例说明；（</w:t>
      </w:r>
      <w:r>
        <w:rPr>
          <w:rFonts w:ascii="Times New Roman" w:hAnsi="Times New Roman" w:cs="Times New Roman"/>
          <w:bCs/>
          <w:sz w:val="24"/>
          <w:lang w:eastAsia="zh-CN"/>
        </w:rPr>
        <w:t>3</w:t>
      </w:r>
      <w:r>
        <w:rPr>
          <w:rFonts w:hint="eastAsia" w:ascii="Times New Roman" w:hAnsi="Times New Roman" w:cs="Times New Roman"/>
          <w:bCs/>
          <w:sz w:val="24"/>
          <w:lang w:eastAsia="zh-CN"/>
        </w:rPr>
        <w:t>）本基金持有的基金发生的重大影响事件，如转换运作方式、与其他基金合并、终止基金合同以及召开基金份额持有人大会等；（</w:t>
      </w:r>
      <w:r>
        <w:rPr>
          <w:rFonts w:ascii="Times New Roman" w:hAnsi="Times New Roman" w:cs="Times New Roman"/>
          <w:bCs/>
          <w:sz w:val="24"/>
          <w:lang w:eastAsia="zh-CN"/>
        </w:rPr>
        <w:t>4</w:t>
      </w:r>
      <w:r>
        <w:rPr>
          <w:rFonts w:hint="eastAsia" w:ascii="Times New Roman" w:hAnsi="Times New Roman" w:cs="Times New Roman"/>
          <w:bCs/>
          <w:sz w:val="24"/>
          <w:lang w:eastAsia="zh-CN"/>
        </w:rPr>
        <w:t>）本基金投资于管理人以及管理人关联方所管理基金的情况。</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w:t>
      </w:r>
      <w:r>
        <w:rPr>
          <w:rFonts w:hint="eastAsia" w:ascii="Times New Roman" w:hAnsi="Times New Roman" w:cs="Times New Roman"/>
          <w:bCs/>
          <w:sz w:val="24"/>
          <w:lang w:eastAsia="zh-CN"/>
        </w:rPr>
        <w:t>五</w:t>
      </w:r>
      <w:r>
        <w:rPr>
          <w:rFonts w:ascii="Times New Roman" w:hAnsi="Times New Roman" w:cs="Times New Roman"/>
          <w:bCs/>
          <w:sz w:val="24"/>
          <w:lang w:eastAsia="zh-CN"/>
        </w:rPr>
        <w:t>）实施侧袋机制期间的信息披露</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本基金实施侧袋机制的，相关信息披露义务人应当根据法律法规、基金合同和招募说明书的规定进行信息披露，详见招募说明书的规定。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（十</w:t>
      </w:r>
      <w:r>
        <w:rPr>
          <w:rFonts w:hint="eastAsia" w:ascii="Times New Roman" w:hAnsi="Times New Roman" w:cs="Times New Roman"/>
          <w:bCs/>
          <w:sz w:val="24"/>
          <w:lang w:eastAsia="zh-CN"/>
        </w:rPr>
        <w:t>六</w:t>
      </w:r>
      <w:r>
        <w:rPr>
          <w:rFonts w:ascii="Times New Roman" w:hAnsi="Times New Roman" w:cs="Times New Roman"/>
          <w:bCs/>
          <w:sz w:val="24"/>
          <w:lang w:eastAsia="zh-CN"/>
        </w:rPr>
        <w:t>）中国证监会规定的其他信息。</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六、信息披露事务管理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基金管理人、基金托管人应当建立健全信息披露管理制度，指定专门部门及高级管理人员负责管理信息披露事务。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基金信息披露义务人公开披露基金信息，应当符合中国证监会相关基金信息披露内容与格式准则等法规的规定。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r>
        <w:rPr>
          <w:rFonts w:hint="eastAsia" w:ascii="Times New Roman" w:hAnsi="Times New Roman" w:cs="Times New Roman"/>
          <w:bCs/>
          <w:sz w:val="24"/>
          <w:lang w:eastAsia="zh-CN"/>
        </w:rPr>
        <w:t>基金管理人在信息披露时，应说明基金托管人所复核的数据和信息。对于托管人复核结果与管理人无法达成一致的，管理人应按照有关法律法规进行信息披露。</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为基金信息披露义务人公开披露的基金信息出具审计报告、法律意见书的专业机构，应当制作工作底稿，并将相关档案至少保存到《基金合同》终止后10年。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七、信息披露文件的存放与查阅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依法必须披露的信息发布后，基金管理人、基金托管人应当按照相关法律法规规定将信息置备于各自住所，供社会公众查阅、复制。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八、暂停或延迟披露基金信息的情形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1、基金投资所涉及的证券、期货交易市场或外汇市场遇法定节假日或因其他原因暂停营业时；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2、不可抗力；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3、法律法规规定、中国证监会或《基金合同》认定的其他情形。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 xml:space="preserve">九、法律法规或中国证监会对信息披露另有规定的，从其规定。 </w:t>
      </w: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sz w:val="21"/>
          <w:lang w:eastAsia="zh-CN"/>
        </w:rPr>
        <w:br w:type="page"/>
      </w:r>
      <w:bookmarkStart w:id="422" w:name="_Toc10006"/>
      <w:bookmarkStart w:id="423" w:name="_Toc7170"/>
      <w:bookmarkStart w:id="424" w:name="_Toc123051465"/>
      <w:bookmarkStart w:id="425" w:name="_Toc481653690"/>
      <w:bookmarkStart w:id="426" w:name="_Toc139991749"/>
      <w:bookmarkStart w:id="427" w:name="_Toc29891"/>
      <w:bookmarkStart w:id="428" w:name="_Toc141703899"/>
      <w:bookmarkStart w:id="429" w:name="_Toc27464"/>
      <w:bookmarkStart w:id="430" w:name="_Toc8049"/>
      <w:bookmarkStart w:id="431" w:name="_Toc123102466"/>
      <w:bookmarkStart w:id="432" w:name="_Toc98560364"/>
      <w:bookmarkStart w:id="433" w:name="_Toc22978"/>
      <w:bookmarkStart w:id="434" w:name="_Toc9005"/>
      <w:bookmarkStart w:id="435" w:name="_Toc25647"/>
      <w:bookmarkStart w:id="436" w:name="_Toc391"/>
      <w:bookmarkStart w:id="437" w:name="_Toc97040619"/>
      <w:bookmarkStart w:id="438" w:name="_Toc6237"/>
      <w:bookmarkStart w:id="439" w:name="_Toc123112247"/>
      <w:bookmarkStart w:id="440" w:name="_Toc8059"/>
      <w:r>
        <w:rPr>
          <w:rFonts w:ascii="Times New Roman" w:hAnsi="Times New Roman" w:cs="Times New Roman"/>
          <w:color w:val="auto"/>
          <w:sz w:val="30"/>
          <w:lang w:eastAsia="zh-CN"/>
        </w:rPr>
        <w:t>第十九部分</w:t>
      </w:r>
      <w:bookmarkStart w:id="441" w:name="_Hlt88828593"/>
      <w:r>
        <w:rPr>
          <w:rFonts w:ascii="Times New Roman" w:hAnsi="Times New Roman" w:cs="Times New Roman"/>
          <w:color w:val="auto"/>
          <w:sz w:val="30"/>
          <w:lang w:eastAsia="zh-CN"/>
        </w:rPr>
        <w:t xml:space="preserve"> 基金合同</w:t>
      </w:r>
      <w:bookmarkEnd w:id="441"/>
      <w:r>
        <w:rPr>
          <w:rFonts w:ascii="Times New Roman" w:hAnsi="Times New Roman" w:cs="Times New Roman"/>
          <w:color w:val="auto"/>
          <w:sz w:val="30"/>
          <w:lang w:eastAsia="zh-CN"/>
        </w:rPr>
        <w:t>的变更、终止与基金财产的清算</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bookmarkStart w:id="442" w:name="_Toc79392639"/>
      <w:bookmarkStart w:id="443" w:name="_Hlk86319441"/>
      <w:r>
        <w:rPr>
          <w:rFonts w:ascii="Times New Roman" w:hAnsi="Times New Roman" w:cs="Times New Roman"/>
          <w:bCs/>
          <w:sz w:val="24"/>
          <w:lang w:eastAsia="zh-CN"/>
        </w:rPr>
        <w:t>一、《基金合同》的变更</w:t>
      </w:r>
      <w:bookmarkEnd w:id="442"/>
    </w:p>
    <w:p>
      <w:pPr>
        <w:snapToGrid w:val="0"/>
        <w:spacing w:after="0" w:line="360" w:lineRule="auto"/>
        <w:ind w:firstLine="480"/>
        <w:jc w:val="left"/>
        <w:rPr>
          <w:rFonts w:ascii="Times New Roman" w:hAnsi="Times New Roman" w:cs="Times New Roman"/>
          <w:bCs/>
          <w:sz w:val="24"/>
          <w:lang w:eastAsia="zh-CN"/>
        </w:rPr>
      </w:pPr>
      <w:r>
        <w:rPr>
          <w:rFonts w:ascii="Times New Roman" w:hAnsi="Times New Roman" w:cs="Times New Roman"/>
          <w:bCs/>
          <w:sz w:val="24"/>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2、关于《基金合同》变更的基金份额持有人大会决议须报中国证监会备案，并自表决通过之日起生效，决议生效后依照《信息披露办法》的有关规定在规定媒介公告。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二、《基金合同》的终止事由</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有下列情形之一的，经履行相关程序后，《基金合同》应当终止：</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1、基金份额持有人大会决定终止的；</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2、基金管理人、基金托管人职责终止，在 6 个月内没有新基金管理人、新基金托管人承接的；</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3、《基金合同》约定的其他情形；</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4、相关法律法规和中国证监会规定的其他情况。</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三、基金财产的清算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1、基金财产清算小组：自出现《基金合同》终止事由之日起30个工作日内成立基金财产清算小组，基金管理人组织基金财产清算小组并在中国证监会的监督下进行基金清算。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3、基金财产清算小组职责：基金财产清算小组负责基金财产的保管、清理、估价、变现和分配。基金财产清算小组可以依法进行必要的民事活动。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4、基金财产清算程序：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（1）《基金合同》终止情形出现时，由基金财产清算小组统一接管基金</w:t>
      </w:r>
      <w:r>
        <w:rPr>
          <w:rFonts w:hint="eastAsia" w:ascii="Times New Roman" w:hAnsi="Times New Roman" w:cs="Times New Roman"/>
          <w:bCs/>
          <w:sz w:val="24"/>
          <w:lang w:eastAsia="zh-CN"/>
        </w:rPr>
        <w:t>财产</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（2）对基金财产和债权债务进行清理和确认；</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（3）对基金财产进行估值和变现；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（4）制作清算报告；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（5）聘请会计师事务所对清算报告进行外部审计，聘请律师事务所对清算报告出具法律意见书；</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（6）将清算报告报中国证监会备案并公告；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（7）对基金剩余财产进行分配。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5、基金财产清算的期限为6个月，但因本基金所持证券、基金的流动性受到限制而不能及时变现的，清算期限相应顺延。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四、清算费用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清算费用是指基金财产清算小组在进行基金清算过程中发生的所有合理费用，清算费用由基金财产清算小组优先从基金</w:t>
      </w:r>
      <w:r>
        <w:rPr>
          <w:rFonts w:hint="eastAsia" w:ascii="Times New Roman" w:hAnsi="Times New Roman" w:cs="Times New Roman"/>
          <w:bCs/>
          <w:sz w:val="24"/>
          <w:lang w:eastAsia="zh-CN"/>
        </w:rPr>
        <w:t>剩余</w:t>
      </w:r>
      <w:r>
        <w:rPr>
          <w:rFonts w:ascii="Times New Roman" w:hAnsi="Times New Roman" w:cs="Times New Roman"/>
          <w:bCs/>
          <w:sz w:val="24"/>
          <w:lang w:eastAsia="zh-CN"/>
        </w:rPr>
        <w:t>财产中支付。</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五、基金财产清算剩余资产的分配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依据基金财产清算的分配方案，将基金财产清算后的全部剩余资产扣除基金财产清算费用、交纳所欠税款并清偿基金债务后，按基金份额持有人持有的</w:t>
      </w:r>
      <w:r>
        <w:rPr>
          <w:rFonts w:hint="eastAsia" w:ascii="Times New Roman" w:hAnsi="Times New Roman" w:cs="Times New Roman"/>
          <w:bCs/>
          <w:sz w:val="24"/>
          <w:lang w:eastAsia="zh-CN"/>
        </w:rPr>
        <w:t>各类</w:t>
      </w:r>
      <w:r>
        <w:rPr>
          <w:rFonts w:ascii="Times New Roman" w:hAnsi="Times New Roman" w:cs="Times New Roman"/>
          <w:bCs/>
          <w:sz w:val="24"/>
          <w:lang w:eastAsia="zh-CN"/>
        </w:rPr>
        <w:t>基金份额比例进行分配。</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其中，对于投资者通过直销机构认购或申购的C类基金份额，计提的销售服务费（如有）将在基金合同终止时随剩余资产分配款项一并返还给投资者，对于投资者通过其他销售机构认购或申购且持续持有期限超过一年的C类基金份额，超过一年继续计提的销售服务费（如有）将在基金合同终止时随剩余资产分配款项一并返还给投资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六、基金财产清算的公告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清算过程中的有关重大事项须及时公告；基金财产清算报告经过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七、基金财产清算账册及文件的保存</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基金财产清算账册及有关文件由基金托管人保存</w:t>
      </w:r>
      <w:r>
        <w:rPr>
          <w:rFonts w:hint="eastAsia" w:ascii="Times New Roman" w:hAnsi="Times New Roman" w:cs="Times New Roman"/>
          <w:bCs/>
          <w:sz w:val="24"/>
          <w:lang w:eastAsia="zh-CN"/>
        </w:rPr>
        <w:t>，保存期限按照法律法规的规定执行</w:t>
      </w:r>
      <w:r>
        <w:rPr>
          <w:rFonts w:ascii="Times New Roman" w:hAnsi="Times New Roman" w:cs="Times New Roman"/>
          <w:bCs/>
          <w:sz w:val="24"/>
          <w:lang w:eastAsia="zh-CN"/>
        </w:rPr>
        <w:t>。</w:t>
      </w:r>
      <w:bookmarkEnd w:id="443"/>
    </w:p>
    <w:p>
      <w:pPr>
        <w:snapToGrid w:val="0"/>
        <w:spacing w:after="0" w:line="360" w:lineRule="auto"/>
        <w:ind w:firstLine="480"/>
        <w:rPr>
          <w:rFonts w:ascii="Times New Roman" w:hAnsi="Times New Roman" w:cs="Times New Roman"/>
          <w:bCs/>
          <w:sz w:val="24"/>
          <w:lang w:eastAsia="zh-CN"/>
        </w:rPr>
      </w:pPr>
    </w:p>
    <w:p>
      <w:pPr>
        <w:pStyle w:val="2"/>
        <w:snapToGrid w:val="0"/>
        <w:spacing w:before="0" w:after="0"/>
        <w:jc w:val="center"/>
        <w:rPr>
          <w:rFonts w:ascii="Times New Roman" w:hAnsi="Times New Roman" w:cs="Times New Roman"/>
          <w:color w:val="auto"/>
          <w:sz w:val="30"/>
          <w:lang w:eastAsia="zh-CN"/>
        </w:rPr>
      </w:pPr>
      <w:bookmarkStart w:id="444" w:name="_Toc79392641"/>
      <w:bookmarkStart w:id="445" w:name="_Toc123112248"/>
      <w:bookmarkStart w:id="446" w:name="_Toc48649720"/>
      <w:bookmarkStart w:id="447" w:name="_Toc123051466"/>
      <w:bookmarkStart w:id="448" w:name="_Toc123102467"/>
      <w:bookmarkStart w:id="449" w:name="_Toc98560365"/>
      <w:r>
        <w:rPr>
          <w:rFonts w:ascii="Times New Roman" w:hAnsi="Times New Roman" w:cs="Times New Roman"/>
          <w:b w:val="0"/>
          <w:bCs/>
          <w:color w:val="auto"/>
          <w:lang w:eastAsia="zh-CN"/>
        </w:rPr>
        <w:br w:type="page"/>
      </w:r>
      <w:bookmarkStart w:id="450" w:name="_Toc9708"/>
      <w:bookmarkStart w:id="451" w:name="_Toc139991750"/>
      <w:bookmarkStart w:id="452" w:name="_Toc97040620"/>
      <w:bookmarkStart w:id="453" w:name="_Toc21240"/>
      <w:bookmarkStart w:id="454" w:name="_Toc7367"/>
      <w:bookmarkStart w:id="455" w:name="_Toc27058"/>
      <w:bookmarkStart w:id="456" w:name="_Toc141703901"/>
      <w:bookmarkStart w:id="457" w:name="_Toc28549"/>
      <w:bookmarkStart w:id="458" w:name="_Toc13398"/>
      <w:bookmarkStart w:id="459" w:name="_Toc8710"/>
      <w:bookmarkStart w:id="460" w:name="_Toc3723"/>
      <w:bookmarkStart w:id="461" w:name="_Toc12191"/>
      <w:bookmarkStart w:id="462" w:name="_Toc481653691"/>
      <w:bookmarkStart w:id="463" w:name="_Toc30645"/>
      <w:bookmarkStart w:id="464" w:name="_Toc23022"/>
      <w:r>
        <w:rPr>
          <w:rFonts w:ascii="Times New Roman" w:hAnsi="Times New Roman" w:cs="Times New Roman"/>
          <w:color w:val="auto"/>
          <w:sz w:val="30"/>
          <w:lang w:eastAsia="zh-CN"/>
        </w:rPr>
        <w:t>第二十部分 违约责任</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Times New Roman" w:hAnsi="Times New Roman" w:cs="Times New Roman"/>
          <w:bCs/>
          <w:sz w:val="24"/>
          <w:lang w:eastAsia="zh-CN"/>
        </w:rPr>
        <w:t>，一方承担连带责任后有权根据另一方过错程度向另一方追偿</w:t>
      </w:r>
      <w:r>
        <w:rPr>
          <w:rFonts w:ascii="Times New Roman" w:hAnsi="Times New Roman" w:cs="Times New Roman"/>
          <w:bCs/>
          <w:sz w:val="24"/>
          <w:lang w:eastAsia="zh-CN"/>
        </w:rPr>
        <w:t>。但如发生下列情况，当事人免责：</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1、不可抗力；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2、基金管理人和/或基金托管人按照当时有效的法律法规或中国证监会的规定</w:t>
      </w:r>
      <w:r>
        <w:rPr>
          <w:rFonts w:hint="eastAsia" w:ascii="Times New Roman" w:hAnsi="Times New Roman" w:cs="Times New Roman"/>
          <w:bCs/>
          <w:sz w:val="24"/>
          <w:lang w:eastAsia="zh-CN"/>
        </w:rPr>
        <w:t>或市场交易规则</w:t>
      </w:r>
      <w:r>
        <w:rPr>
          <w:rFonts w:ascii="Times New Roman" w:hAnsi="Times New Roman" w:cs="Times New Roman"/>
          <w:bCs/>
          <w:sz w:val="24"/>
          <w:lang w:eastAsia="zh-CN"/>
        </w:rPr>
        <w:t>作为或不作为而造成的损失等；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w:t>
      </w:r>
      <w:r>
        <w:rPr>
          <w:rFonts w:hint="eastAsia" w:ascii="Times New Roman" w:hAnsi="Times New Roman" w:cs="Times New Roman"/>
          <w:bCs/>
          <w:sz w:val="24"/>
          <w:lang w:eastAsia="zh-CN"/>
        </w:rPr>
        <w:t>在没有过错的情况下，</w:t>
      </w:r>
      <w:r>
        <w:rPr>
          <w:rFonts w:ascii="Times New Roman" w:hAnsi="Times New Roman" w:cs="Times New Roman"/>
          <w:bCs/>
          <w:sz w:val="24"/>
          <w:lang w:eastAsia="zh-CN"/>
        </w:rPr>
        <w:t>基金管理人由于按照基金合同规定的投资原则投资或不投资造成的直接损失等。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w:t>
      </w:r>
      <w:r>
        <w:rPr>
          <w:rFonts w:ascii="Times New Roman" w:hAnsi="Times New Roman" w:cs="Times New Roman"/>
          <w:sz w:val="24"/>
          <w:lang w:eastAsia="zh-CN"/>
        </w:rPr>
        <w:t>但是基金管理人和基金托管人应积极采取必要的措施消除或减轻由此造成的影响</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lang w:eastAsia="zh-CN"/>
        </w:rPr>
        <w:br w:type="page"/>
      </w:r>
      <w:bookmarkStart w:id="465" w:name="_Toc25651"/>
      <w:bookmarkStart w:id="466" w:name="_Toc7288"/>
      <w:bookmarkStart w:id="467" w:name="_Toc123112249"/>
      <w:bookmarkStart w:id="468" w:name="_Toc8636"/>
      <w:bookmarkStart w:id="469" w:name="_Toc139991751"/>
      <w:bookmarkStart w:id="470" w:name="_Toc98560366"/>
      <w:bookmarkStart w:id="471" w:name="_Toc30350"/>
      <w:bookmarkStart w:id="472" w:name="_Toc97040621"/>
      <w:bookmarkStart w:id="473" w:name="_Toc24923"/>
      <w:bookmarkStart w:id="474" w:name="_Toc1790"/>
      <w:bookmarkStart w:id="475" w:name="_Toc6202"/>
      <w:bookmarkStart w:id="476" w:name="_Toc21983"/>
      <w:bookmarkStart w:id="477" w:name="_Toc23999"/>
      <w:bookmarkStart w:id="478" w:name="_Toc123102468"/>
      <w:bookmarkStart w:id="479" w:name="_Toc141703902"/>
      <w:bookmarkStart w:id="480" w:name="_Toc8769"/>
      <w:bookmarkStart w:id="481" w:name="_Toc123051467"/>
      <w:bookmarkStart w:id="482" w:name="_Toc3319"/>
      <w:bookmarkStart w:id="483" w:name="_Toc481653692"/>
      <w:bookmarkStart w:id="484" w:name="_Hlk86319448"/>
      <w:r>
        <w:rPr>
          <w:rFonts w:ascii="Times New Roman" w:hAnsi="Times New Roman" w:cs="Times New Roman"/>
          <w:color w:val="auto"/>
          <w:sz w:val="30"/>
          <w:lang w:eastAsia="zh-CN"/>
        </w:rPr>
        <w:t>第二十一部分 争议的处理和适用的法律</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各方当事人同意，因《基金合同》而产生的或与《基金合同》有关的一切争议，如经友好协商</w:t>
      </w:r>
      <w:r>
        <w:rPr>
          <w:rFonts w:hint="eastAsia" w:ascii="Times New Roman" w:hAnsi="Times New Roman" w:cs="Times New Roman"/>
          <w:bCs/>
          <w:sz w:val="24"/>
          <w:lang w:eastAsia="zh-CN"/>
        </w:rPr>
        <w:t>、调解</w:t>
      </w:r>
      <w:r>
        <w:rPr>
          <w:rFonts w:ascii="Times New Roman" w:hAnsi="Times New Roman" w:cs="Times New Roman"/>
          <w:bCs/>
          <w:sz w:val="24"/>
          <w:lang w:eastAsia="zh-CN"/>
        </w:rPr>
        <w:t>未能解决的，</w:t>
      </w:r>
      <w:r>
        <w:rPr>
          <w:rFonts w:ascii="Times New Roman" w:hAnsi="Times New Roman" w:cs="Times New Roman"/>
          <w:sz w:val="24"/>
          <w:lang w:eastAsia="zh-CN"/>
        </w:rPr>
        <w:t>任何一方</w:t>
      </w:r>
      <w:r>
        <w:rPr>
          <w:rFonts w:hint="eastAsia" w:ascii="Times New Roman" w:hAnsi="Times New Roman" w:cs="Times New Roman"/>
          <w:sz w:val="24"/>
          <w:lang w:eastAsia="zh-CN"/>
        </w:rPr>
        <w:t>均有权</w:t>
      </w:r>
      <w:r>
        <w:rPr>
          <w:rFonts w:ascii="Times New Roman" w:hAnsi="Times New Roman" w:cs="Times New Roman"/>
          <w:sz w:val="24"/>
          <w:lang w:eastAsia="zh-CN"/>
        </w:rPr>
        <w:t>将争议提交</w:t>
      </w:r>
      <w:r>
        <w:rPr>
          <w:rFonts w:hint="eastAsia" w:ascii="Times New Roman" w:hAnsi="Times New Roman" w:cs="Times New Roman"/>
          <w:sz w:val="24"/>
          <w:lang w:eastAsia="zh-CN"/>
        </w:rPr>
        <w:t>中国国际经济贸易仲裁委员会</w:t>
      </w:r>
      <w:r>
        <w:rPr>
          <w:rFonts w:ascii="Times New Roman" w:hAnsi="Times New Roman" w:cs="Times New Roman"/>
          <w:sz w:val="24"/>
          <w:lang w:eastAsia="zh-CN"/>
        </w:rPr>
        <w:t>，</w:t>
      </w:r>
      <w:r>
        <w:rPr>
          <w:rFonts w:ascii="Times New Roman" w:hAnsi="Times New Roman" w:cs="Times New Roman"/>
          <w:bCs/>
          <w:sz w:val="24"/>
          <w:szCs w:val="24"/>
          <w:lang w:eastAsia="zh-CN"/>
        </w:rPr>
        <w:t>根据其</w:t>
      </w:r>
      <w:r>
        <w:rPr>
          <w:rFonts w:hint="eastAsia" w:ascii="Times New Roman" w:hAnsi="Times New Roman" w:cs="Times New Roman"/>
          <w:bCs/>
          <w:sz w:val="24"/>
          <w:szCs w:val="24"/>
          <w:lang w:eastAsia="zh-CN"/>
        </w:rPr>
        <w:t>届</w:t>
      </w:r>
      <w:r>
        <w:rPr>
          <w:rFonts w:ascii="Times New Roman" w:hAnsi="Times New Roman" w:cs="Times New Roman"/>
          <w:bCs/>
          <w:sz w:val="24"/>
          <w:szCs w:val="24"/>
          <w:lang w:eastAsia="zh-CN"/>
        </w:rPr>
        <w:t>时有效的仲裁规则进行仲裁。仲裁地点为</w:t>
      </w:r>
      <w:r>
        <w:rPr>
          <w:rFonts w:hint="eastAsia" w:ascii="Times New Roman" w:hAnsi="Times New Roman" w:cs="Times New Roman"/>
          <w:bCs/>
          <w:sz w:val="24"/>
          <w:szCs w:val="24"/>
          <w:lang w:eastAsia="zh-CN"/>
        </w:rPr>
        <w:t>北京</w:t>
      </w:r>
      <w:r>
        <w:rPr>
          <w:rFonts w:ascii="Times New Roman" w:hAnsi="Times New Roman" w:cs="Times New Roman"/>
          <w:bCs/>
          <w:sz w:val="24"/>
          <w:lang w:eastAsia="zh-CN"/>
        </w:rPr>
        <w:t>市</w:t>
      </w:r>
      <w:r>
        <w:rPr>
          <w:rFonts w:ascii="Times New Roman" w:hAnsi="Times New Roman" w:cs="Times New Roman"/>
          <w:bCs/>
          <w:sz w:val="24"/>
          <w:szCs w:val="24"/>
          <w:lang w:eastAsia="zh-CN"/>
        </w:rPr>
        <w:t>，</w:t>
      </w:r>
      <w:r>
        <w:rPr>
          <w:rFonts w:ascii="Times New Roman" w:hAnsi="Times New Roman" w:cs="Times New Roman"/>
          <w:sz w:val="24"/>
          <w:lang w:eastAsia="zh-CN"/>
        </w:rPr>
        <w:t>仲裁裁决是终局的，对当事人均有约束力。除非仲裁裁决另有决定，仲裁费用由败诉方承担。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sz w:val="24"/>
          <w:lang w:eastAsia="zh-CN"/>
        </w:rPr>
        <w:t>争议处理期间，基金合同当事人应恪守各自的职责，继续忠实、勤勉、尽责地履行基金合同规定的义务，维护基金份额持有人的合法权益。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《基金合同》受中国法律（为本基金基金合同之目的，不包括香港特别行政区、澳门特别行政区和台湾地区法律）管辖并从其解释。</w:t>
      </w:r>
      <w:bookmarkEnd w:id="484"/>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br w:type="page"/>
      </w:r>
    </w:p>
    <w:p>
      <w:pPr>
        <w:pStyle w:val="2"/>
        <w:snapToGrid w:val="0"/>
        <w:spacing w:before="0" w:after="0"/>
        <w:jc w:val="center"/>
        <w:rPr>
          <w:rFonts w:ascii="Times New Roman" w:hAnsi="Times New Roman" w:cs="Times New Roman"/>
          <w:color w:val="auto"/>
          <w:sz w:val="30"/>
          <w:lang w:eastAsia="zh-CN"/>
        </w:rPr>
      </w:pPr>
      <w:bookmarkStart w:id="485" w:name="_Toc23991"/>
      <w:bookmarkStart w:id="486" w:name="_Toc481653693"/>
      <w:bookmarkStart w:id="487" w:name="_Toc26461"/>
      <w:bookmarkStart w:id="488" w:name="_Toc123112250"/>
      <w:bookmarkStart w:id="489" w:name="_Toc15"/>
      <w:bookmarkStart w:id="490" w:name="_Toc8454"/>
      <w:bookmarkStart w:id="491" w:name="_Toc139991752"/>
      <w:bookmarkStart w:id="492" w:name="_Toc8703"/>
      <w:bookmarkStart w:id="493" w:name="_Toc97040622"/>
      <w:bookmarkStart w:id="494" w:name="_Toc29505"/>
      <w:bookmarkStart w:id="495" w:name="_Toc484"/>
      <w:bookmarkStart w:id="496" w:name="_Toc2532"/>
      <w:bookmarkStart w:id="497" w:name="_Toc141703903"/>
      <w:bookmarkStart w:id="498" w:name="_Toc123051468"/>
      <w:bookmarkStart w:id="499" w:name="_Toc20350"/>
      <w:bookmarkStart w:id="500" w:name="_Toc31966"/>
      <w:bookmarkStart w:id="501" w:name="_Toc11618"/>
      <w:bookmarkStart w:id="502" w:name="_Toc123102469"/>
      <w:r>
        <w:rPr>
          <w:rFonts w:ascii="Times New Roman" w:hAnsi="Times New Roman" w:cs="Times New Roman"/>
          <w:color w:val="auto"/>
          <w:sz w:val="30"/>
          <w:lang w:eastAsia="zh-CN"/>
        </w:rPr>
        <w:t>第二十二部分 基金合同的效力</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《基金合同》是约定基金合同当事人之间、基金与基金合同当事人之间权利义务关系的法律文件。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合同》经基金管理人、基金托管人双方加盖公章或合同专用章以及双方法定代表人或授权代表签字或盖章并在募集结束后经基金管理人向中国证监会办理基金备案手续，并经中国证监会书面确认后生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2、《基金合同》的有效期自其生效之日起至基金财产清算结果报中国证监会备案并公告之日止。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3、《基金合同》自生效之日起对包括基金管理人、基金托管人和基金份额持有人在内的《基金合同》各方当事人具有同等的法律约束力。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4、《基金合同》正本一式</w:t>
      </w:r>
      <w:r>
        <w:rPr>
          <w:rFonts w:hint="eastAsia" w:ascii="Times New Roman" w:hAnsi="Times New Roman" w:cs="Times New Roman"/>
          <w:bCs/>
          <w:sz w:val="24"/>
          <w:lang w:eastAsia="zh-CN"/>
        </w:rPr>
        <w:t>三</w:t>
      </w:r>
      <w:r>
        <w:rPr>
          <w:rFonts w:ascii="Times New Roman" w:hAnsi="Times New Roman" w:cs="Times New Roman"/>
          <w:bCs/>
          <w:sz w:val="24"/>
          <w:lang w:eastAsia="zh-CN"/>
        </w:rPr>
        <w:t>份，除上报有关监管机构</w:t>
      </w:r>
      <w:r>
        <w:rPr>
          <w:rFonts w:hint="eastAsia" w:ascii="Times New Roman" w:hAnsi="Times New Roman" w:cs="Times New Roman"/>
          <w:bCs/>
          <w:sz w:val="24"/>
          <w:lang w:eastAsia="zh-CN"/>
        </w:rPr>
        <w:t>一</w:t>
      </w:r>
      <w:r>
        <w:rPr>
          <w:rFonts w:ascii="Times New Roman" w:hAnsi="Times New Roman" w:cs="Times New Roman"/>
          <w:bCs/>
          <w:sz w:val="24"/>
          <w:lang w:eastAsia="zh-CN"/>
        </w:rPr>
        <w:t>份外，基金管理人、基金托管人各持有一份，每份具有同等的法律效力。</w:t>
      </w:r>
    </w:p>
    <w:p>
      <w:pPr>
        <w:snapToGrid w:val="0"/>
        <w:spacing w:after="0" w:line="360" w:lineRule="auto"/>
        <w:ind w:firstLine="480"/>
        <w:rPr>
          <w:rFonts w:ascii="Times New Roman" w:hAnsi="Times New Roman" w:cs="Times New Roman"/>
          <w:bCs/>
          <w:sz w:val="24"/>
          <w:lang w:eastAsia="zh-CN"/>
        </w:rPr>
      </w:pPr>
      <w:bookmarkStart w:id="503" w:name="_Hlk86319455"/>
      <w:r>
        <w:rPr>
          <w:rFonts w:ascii="Times New Roman" w:hAnsi="Times New Roman" w:cs="Times New Roman"/>
          <w:bCs/>
          <w:sz w:val="24"/>
          <w:lang w:eastAsia="zh-CN"/>
        </w:rPr>
        <w:t>5、《基金合同》可印制成册，供投资者在基金管理人、基金托管人、销售机构的办公场所和营业场所查阅。</w:t>
      </w:r>
      <w:bookmarkEnd w:id="503"/>
    </w:p>
    <w:p>
      <w:pPr>
        <w:pStyle w:val="2"/>
        <w:snapToGrid w:val="0"/>
        <w:spacing w:before="0" w:after="0"/>
        <w:jc w:val="center"/>
        <w:rPr>
          <w:rFonts w:ascii="Times New Roman" w:hAnsi="Times New Roman" w:cs="Times New Roman"/>
          <w:color w:val="auto"/>
          <w:sz w:val="30"/>
          <w:lang w:eastAsia="zh-CN"/>
        </w:rPr>
      </w:pPr>
      <w:r>
        <w:rPr>
          <w:rFonts w:ascii="Times New Roman" w:hAnsi="Times New Roman" w:cs="Times New Roman"/>
          <w:b w:val="0"/>
          <w:bCs/>
          <w:color w:val="auto"/>
          <w:lang w:eastAsia="zh-CN"/>
        </w:rPr>
        <w:br w:type="page"/>
      </w:r>
      <w:bookmarkStart w:id="504" w:name="_Toc481653694"/>
      <w:bookmarkStart w:id="505" w:name="_Toc21726"/>
      <w:bookmarkStart w:id="506" w:name="_Toc73"/>
      <w:bookmarkStart w:id="507" w:name="_Toc97040623"/>
      <w:r>
        <w:rPr>
          <w:rFonts w:ascii="Times New Roman" w:hAnsi="Times New Roman" w:cs="Times New Roman"/>
          <w:color w:val="auto"/>
          <w:sz w:val="30"/>
          <w:lang w:eastAsia="zh-CN"/>
        </w:rPr>
        <w:t>第二十三部分 其他事项</w:t>
      </w:r>
      <w:bookmarkEnd w:id="504"/>
      <w:bookmarkEnd w:id="505"/>
      <w:bookmarkEnd w:id="506"/>
      <w:bookmarkEnd w:id="507"/>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《基金合同》如有未尽事宜，由《基金合同》当事人各方按有关法律法规协商解决。</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br w:type="page"/>
      </w:r>
    </w:p>
    <w:p>
      <w:pPr>
        <w:pStyle w:val="2"/>
        <w:snapToGrid w:val="0"/>
        <w:spacing w:before="0" w:after="0"/>
        <w:jc w:val="center"/>
        <w:rPr>
          <w:rFonts w:ascii="Times New Roman" w:hAnsi="Times New Roman" w:cs="Times New Roman"/>
          <w:color w:val="auto"/>
          <w:sz w:val="30"/>
          <w:lang w:eastAsia="zh-CN"/>
        </w:rPr>
      </w:pPr>
      <w:bookmarkStart w:id="508" w:name="_Toc17263"/>
      <w:bookmarkStart w:id="509" w:name="_Toc17757"/>
      <w:bookmarkStart w:id="510" w:name="_Toc1360"/>
      <w:bookmarkStart w:id="511" w:name="_Toc97040624"/>
      <w:bookmarkStart w:id="512" w:name="_Toc21122"/>
      <w:bookmarkStart w:id="513" w:name="_Toc15664"/>
      <w:bookmarkStart w:id="514" w:name="_Toc12499"/>
      <w:bookmarkStart w:id="515" w:name="_Toc9054"/>
      <w:bookmarkStart w:id="516" w:name="_Toc481653695"/>
      <w:bookmarkStart w:id="517" w:name="_Toc5108"/>
      <w:bookmarkStart w:id="518" w:name="_Toc32355"/>
      <w:bookmarkStart w:id="519" w:name="_Toc141703905"/>
      <w:bookmarkStart w:id="520" w:name="_Toc7437"/>
      <w:bookmarkStart w:id="521" w:name="_Toc20098"/>
      <w:bookmarkStart w:id="522" w:name="_Hlk86319155"/>
      <w:r>
        <w:rPr>
          <w:rFonts w:ascii="Times New Roman" w:hAnsi="Times New Roman" w:cs="Times New Roman"/>
          <w:color w:val="auto"/>
          <w:sz w:val="30"/>
          <w:lang w:eastAsia="zh-CN"/>
        </w:rPr>
        <w:t>第二十四部分 基金合同内容摘要</w:t>
      </w:r>
      <w:bookmarkEnd w:id="66"/>
      <w:bookmarkEnd w:id="6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snapToGrid w:val="0"/>
        <w:spacing w:after="0" w:line="360" w:lineRule="auto"/>
        <w:ind w:firstLine="482"/>
        <w:rPr>
          <w:rFonts w:ascii="Times New Roman" w:hAnsi="Times New Roman" w:cs="Times New Roman"/>
          <w:b/>
          <w:sz w:val="24"/>
          <w:lang w:eastAsia="zh-CN"/>
        </w:rPr>
      </w:pPr>
    </w:p>
    <w:p>
      <w:pPr>
        <w:snapToGrid w:val="0"/>
        <w:spacing w:after="0" w:line="360" w:lineRule="auto"/>
        <w:ind w:firstLine="482"/>
        <w:rPr>
          <w:rFonts w:ascii="Times New Roman" w:hAnsi="Times New Roman" w:cs="Times New Roman"/>
          <w:sz w:val="24"/>
          <w:lang w:eastAsia="zh-CN"/>
        </w:rPr>
      </w:pPr>
      <w:bookmarkStart w:id="523" w:name="_Hlk207700155"/>
      <w:r>
        <w:rPr>
          <w:rFonts w:ascii="Times New Roman" w:hAnsi="Times New Roman" w:cs="Times New Roman"/>
          <w:b/>
          <w:bCs/>
          <w:sz w:val="24"/>
          <w:lang w:eastAsia="zh-CN"/>
        </w:rPr>
        <w:t>第一节  基金份额持有人、基金管理人和基金托管人的权利、义务</w:t>
      </w: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一、基金份额持有人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1、根据《基金法》、《运作办法》及其他有关规定，基金份额持有人的权利包括但不限于：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（1）分享基金财产收益；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（2）参与分配清算后的剩余基金财产；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（3）依法转让或者申请赎回其持有的基金份额；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（4）按照规定要求召开基金份额持有人大会或者召集基金份额持有人大会；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（5）出席或者委派代表出席基金份额持有人大会，对基金份额持有人大会审议事项行使表决权；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（6）查阅或者复制公开披露的基金信息资料；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（7）监督基金管理人的投资运作；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（8）对基金管理人、基金托管人、基金服务机构损害其合法权益的行为依法提起诉讼或仲裁；</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（9）法律法规及中国证监会规定的和《基金合同》约定的其他权利。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2、根据《基金法》、《运作办法》及其他有关规定，基金份额持有人的义务包括但不限于：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（1）认真阅读并遵守《基金合同》、招募说明书等信息披露文件；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（2）了解所投资基金产品，了解自身风险承受能力，自主判断基金的投资价值，自主做出投资决策，自行承担投资风险；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（3）关注基金信息披露，及时行使权利和履行义务；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（4）交纳基金认购、申购款项及法律法规和《基金合同》所规定的费用；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（5）在其持有的基金份额范围内，承担基金亏损或者《基金合同》终止的有限责任；</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（6）不从事任何有损基金及其他《基金合同》当事人合法权益的活动；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（7）执行生效的基金份额持有人大会的决议；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（8）返还在基金交易过程中因任何原因获得的不当得利；</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（9）</w:t>
      </w:r>
      <w:r>
        <w:rPr>
          <w:rFonts w:ascii="Times New Roman" w:hAnsi="Times New Roman" w:cs="Times New Roman"/>
          <w:bCs/>
          <w:sz w:val="24"/>
          <w:lang w:eastAsia="zh-CN"/>
        </w:rPr>
        <w:t>法律法规及中国证监会规定的和《基金合同》约定的其他义务。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二、基金管理人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1、根据《基金法》、《运作办法》及其他有关规定，基金管理人的权利包括但不限于：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（1）依法募集资金；</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（2）自《</w:t>
      </w:r>
      <w:r>
        <w:rPr>
          <w:rFonts w:ascii="Times New Roman" w:hAnsi="Times New Roman" w:cs="Times New Roman"/>
          <w:sz w:val="24"/>
          <w:lang w:eastAsia="zh-CN"/>
        </w:rPr>
        <w:t>基金合同</w:t>
      </w:r>
      <w:r>
        <w:rPr>
          <w:rFonts w:ascii="Times New Roman" w:hAnsi="Times New Roman" w:cs="Times New Roman"/>
          <w:bCs/>
          <w:sz w:val="24"/>
          <w:lang w:eastAsia="zh-CN"/>
        </w:rPr>
        <w:t>》生效之日起，根据法律法规和《基金合同》独立运用并管理基金财产；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（3）依照《基金合同》收取基金管理费以及法律法规规定或中国证监会批准的其他费用；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（4）销售基金份额；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（5）按照规定召集基金份额持有人大会；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（6）依据《基金合同》及有关法律规定监督基金托管人，如认为基金托管人违反了《基金合同》及国家有关法律规定，应呈报中国证监会和其他监管部门，并采取必要措施保护基金投资者的利益；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（7）在基金托管人更换时，提名新的基金托管人；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（8）选择、更换基金销售机构，对基金销售机构的相关行为进行监督和处理；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（9）担任或委托其他符合条件的机构担任基金登记机构办理基金登记业务并获得《基金合同》规定的费用；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（10）依据《基金合同》及有关法律规定决定基金收益的分配方案；</w:t>
      </w:r>
      <w:r>
        <w:rPr>
          <w:rFonts w:ascii="Times New Roman" w:hAnsi="Times New Roman" w:cs="Times New Roman"/>
          <w:bCs/>
          <w:sz w:val="24"/>
          <w:lang w:eastAsia="zh-CN"/>
        </w:rPr>
        <w:tab/>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（11）在《基金合同》约定的范围内，拒绝或暂停受理申购、赎回和转换申请；</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（12）依照法律法规为基金的利益对被投资公司行使股东权利，为基金的利益行使因基金财产投资于证券</w:t>
      </w:r>
      <w:r>
        <w:rPr>
          <w:rFonts w:hint="eastAsia"/>
          <w:bCs/>
          <w:sz w:val="24"/>
          <w:lang w:eastAsia="zh-CN"/>
        </w:rPr>
        <w:t>、基金</w:t>
      </w:r>
      <w:r>
        <w:rPr>
          <w:rFonts w:ascii="Times New Roman" w:hAnsi="Times New Roman" w:cs="Times New Roman"/>
          <w:bCs/>
          <w:sz w:val="24"/>
          <w:lang w:eastAsia="zh-CN"/>
        </w:rPr>
        <w:t>所产生的权利；</w:t>
      </w:r>
      <w:r>
        <w:rPr>
          <w:rFonts w:hint="eastAsia" w:ascii="Times New Roman" w:hAnsi="Times New Roman" w:cs="Times New Roman"/>
          <w:bCs/>
          <w:sz w:val="24"/>
          <w:lang w:eastAsia="zh-CN"/>
        </w:rPr>
        <w:t>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规定的除外；</w:t>
      </w:r>
      <w:r>
        <w:rPr>
          <w:rFonts w:ascii="Times New Roman" w:hAnsi="Times New Roman" w:cs="Times New Roman"/>
          <w:bCs/>
          <w:sz w:val="24"/>
          <w:lang w:eastAsia="zh-CN"/>
        </w:rPr>
        <w:tab/>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13</w:t>
      </w:r>
      <w:r>
        <w:rPr>
          <w:rFonts w:ascii="Times New Roman" w:hAnsi="Times New Roman" w:cs="Times New Roman"/>
          <w:bCs/>
          <w:sz w:val="24"/>
          <w:lang w:eastAsia="zh-CN"/>
        </w:rPr>
        <w:t>）在法律法规允许的前提下，为基金的利益依法为基金进行融资；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4</w:t>
      </w:r>
      <w:r>
        <w:rPr>
          <w:rFonts w:ascii="Times New Roman" w:hAnsi="Times New Roman" w:cs="Times New Roman"/>
          <w:bCs/>
          <w:sz w:val="24"/>
          <w:lang w:eastAsia="zh-CN"/>
        </w:rPr>
        <w:t>）以基金管理人的名义，代表基金份额持有人的利益行使诉讼权利或者实施其他法律行为；</w:t>
      </w:r>
      <w:r>
        <w:rPr>
          <w:rFonts w:ascii="Times New Roman" w:hAnsi="Times New Roman" w:cs="Times New Roman"/>
          <w:bCs/>
          <w:sz w:val="24"/>
          <w:lang w:eastAsia="zh-CN"/>
        </w:rPr>
        <w:tab/>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5</w:t>
      </w:r>
      <w:r>
        <w:rPr>
          <w:rFonts w:ascii="Times New Roman" w:hAnsi="Times New Roman" w:cs="Times New Roman"/>
          <w:bCs/>
          <w:sz w:val="24"/>
          <w:lang w:eastAsia="zh-CN"/>
        </w:rPr>
        <w:t>）选择、更换律师事务所、会计师事务所、证券、期货经纪商或其他为基金提供服务的外部机构；</w:t>
      </w:r>
      <w:r>
        <w:rPr>
          <w:rFonts w:ascii="Times New Roman" w:hAnsi="Times New Roman" w:cs="Times New Roman"/>
          <w:bCs/>
          <w:sz w:val="24"/>
          <w:lang w:eastAsia="zh-CN"/>
        </w:rPr>
        <w:tab/>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6</w:t>
      </w:r>
      <w:r>
        <w:rPr>
          <w:rFonts w:ascii="Times New Roman" w:hAnsi="Times New Roman" w:cs="Times New Roman"/>
          <w:bCs/>
          <w:sz w:val="24"/>
          <w:lang w:eastAsia="zh-CN"/>
        </w:rPr>
        <w:t>）在符合有关法律、法规的前提下，制订和调整有关基金认购、申购、赎回、转换</w:t>
      </w:r>
      <w:r>
        <w:rPr>
          <w:rFonts w:hint="eastAsia" w:ascii="Times New Roman" w:hAnsi="Times New Roman" w:cs="Times New Roman"/>
          <w:bCs/>
          <w:sz w:val="24"/>
          <w:lang w:eastAsia="zh-CN"/>
        </w:rPr>
        <w:t>、转托管、</w:t>
      </w:r>
      <w:r>
        <w:rPr>
          <w:rFonts w:ascii="Times New Roman" w:hAnsi="Times New Roman" w:cs="Times New Roman"/>
          <w:bCs/>
          <w:sz w:val="24"/>
          <w:lang w:eastAsia="zh-CN"/>
        </w:rPr>
        <w:t>非交易过户</w:t>
      </w:r>
      <w:r>
        <w:rPr>
          <w:rFonts w:hint="eastAsia" w:ascii="Times New Roman" w:hAnsi="Times New Roman" w:cs="Times New Roman"/>
          <w:bCs/>
          <w:sz w:val="24"/>
          <w:lang w:eastAsia="zh-CN"/>
        </w:rPr>
        <w:t>、定期定额投资、收益分配</w:t>
      </w:r>
      <w:r>
        <w:rPr>
          <w:rFonts w:ascii="Times New Roman" w:hAnsi="Times New Roman" w:cs="Times New Roman"/>
          <w:bCs/>
          <w:sz w:val="24"/>
          <w:lang w:eastAsia="zh-CN"/>
        </w:rPr>
        <w:t>等</w:t>
      </w:r>
      <w:r>
        <w:rPr>
          <w:rFonts w:hint="eastAsia" w:ascii="Times New Roman" w:hAnsi="Times New Roman" w:cs="Times New Roman"/>
          <w:bCs/>
          <w:sz w:val="24"/>
          <w:lang w:eastAsia="zh-CN"/>
        </w:rPr>
        <w:t>方面</w:t>
      </w:r>
      <w:r>
        <w:rPr>
          <w:rFonts w:ascii="Times New Roman" w:hAnsi="Times New Roman" w:cs="Times New Roman"/>
          <w:bCs/>
          <w:sz w:val="24"/>
          <w:lang w:eastAsia="zh-CN"/>
        </w:rPr>
        <w:t>的业务规则</w:t>
      </w:r>
      <w:r>
        <w:rPr>
          <w:rFonts w:hint="eastAsia" w:ascii="Times New Roman" w:hAnsi="Times New Roman" w:cs="Times New Roman"/>
          <w:bCs/>
          <w:sz w:val="24"/>
          <w:lang w:eastAsia="zh-CN"/>
        </w:rPr>
        <w:t>，在法律法规和本基金合同规定的范围内决定和调整基金的相关费率结构和收费方式</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7</w:t>
      </w:r>
      <w:r>
        <w:rPr>
          <w:rFonts w:ascii="Times New Roman" w:hAnsi="Times New Roman" w:cs="Times New Roman"/>
          <w:bCs/>
          <w:sz w:val="24"/>
          <w:lang w:eastAsia="zh-CN"/>
        </w:rPr>
        <w:t>）法律法规及中国证监会规定的和《基金合同》约定的其他权利。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2、根据《基金法》、《运作办法》及其他有关规定，基金管理人的义务包括但不限于：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（1）依法募集资金，办理或者委托经中国证监会认定的其他机构代为办理基金份额的发售、申购、赎回和登记事宜；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（2）办理基金备案手续；</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（3）自《基金合同》生效之日起，以诚实信用、谨慎勤勉的原则管理和运用基金财产；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（4）配备足够的具有专业资格的人员进行基金投资分析、决策，以专业化的经营方式管理和运作基金财产；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（5）建立健全内部风险控制、监察与稽核、财务管理及人事管理等制度，保证所管理的基金财产和基金管理人的财产相互独立，对所管理的不同基金分别管理，分别记账，进行证券</w:t>
      </w:r>
      <w:r>
        <w:rPr>
          <w:rFonts w:hint="eastAsia" w:ascii="Times New Roman" w:hAnsi="Times New Roman" w:cs="Times New Roman"/>
          <w:bCs/>
          <w:sz w:val="24"/>
          <w:lang w:eastAsia="zh-CN"/>
        </w:rPr>
        <w:t>、基金</w:t>
      </w:r>
      <w:r>
        <w:rPr>
          <w:rFonts w:ascii="Times New Roman" w:hAnsi="Times New Roman" w:cs="Times New Roman"/>
          <w:bCs/>
          <w:sz w:val="24"/>
          <w:lang w:eastAsia="zh-CN"/>
        </w:rPr>
        <w:t>投资；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（6）除依据《基金法》、《基金合同》及其他有关规定外，不得利用基金财产为自己及任何第三人谋取利益，不得委托第三人运作基金财产；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（7）依法接受基金托管人的监督；</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（8）采取适当合理的措施使计算基金份额认购、申购、赎回和注销价格的方法符合《基金合同》等法律文件的规定，按有关规定计算并公告基金净值信息，确定</w:t>
      </w:r>
      <w:r>
        <w:rPr>
          <w:rFonts w:hint="eastAsia" w:ascii="Times New Roman" w:hAnsi="Times New Roman" w:cs="Times New Roman"/>
          <w:bCs/>
          <w:sz w:val="24"/>
          <w:lang w:eastAsia="zh-CN"/>
        </w:rPr>
        <w:t>各类</w:t>
      </w:r>
      <w:r>
        <w:rPr>
          <w:rFonts w:ascii="Times New Roman" w:hAnsi="Times New Roman" w:cs="Times New Roman"/>
          <w:bCs/>
          <w:sz w:val="24"/>
          <w:lang w:eastAsia="zh-CN"/>
        </w:rPr>
        <w:t>基金份额申购、赎回的价格；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（9）进行基金会计核算并编制基金财务会计报告；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（10）编制季度报告、中期报告和年度报告；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（11）严格按照《基金法》、《基金合同》及其他有关规定，履行信息披露及报告义务；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（12）保守基金商业秘密，不泄露基金投资计划、投资意向等。除《基金法》、《基金合同》及其他有关规定另有规定外，在基金信息公开披露前应予保密，不向他人泄露</w:t>
      </w:r>
      <w:r>
        <w:rPr>
          <w:rFonts w:ascii="Times New Roman" w:hAnsi="Times New Roman" w:cs="Times New Roman"/>
          <w:sz w:val="24"/>
          <w:lang w:eastAsia="zh-CN"/>
        </w:rPr>
        <w:t>，但向监管机构、司法机构提供或因审计、法律等外部专业顾问提供服务而向其提供的情况除外</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（13）按《基金合同》的约定确定基金收益分配方案，及时向基金份额持有人分配基金收益；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（14）按规定受理申购与赎回申请，及时、足额支付赎回款项；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（15）依据《基金法》、《基金合同》及其他有关规定召集基金份额持有人大会或配合基金托管人、基金份额持有人依法召集基金份额持有人大会；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（16）按规定保存基金财产管理业务活动的会计账册、报表、记录和其他相关资料不低于法律法规规定的</w:t>
      </w:r>
      <w:r>
        <w:rPr>
          <w:rFonts w:hint="eastAsia" w:ascii="Times New Roman" w:hAnsi="Times New Roman" w:cs="Times New Roman"/>
          <w:bCs/>
          <w:sz w:val="24"/>
          <w:lang w:eastAsia="zh-CN"/>
        </w:rPr>
        <w:t>最低</w:t>
      </w:r>
      <w:r>
        <w:rPr>
          <w:rFonts w:ascii="Times New Roman" w:hAnsi="Times New Roman" w:cs="Times New Roman"/>
          <w:bCs/>
          <w:sz w:val="24"/>
          <w:lang w:eastAsia="zh-CN"/>
        </w:rPr>
        <w:t>期限；</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（18）组织并参加基金财产清算小组，参与基金财产的保管、清理、估价、变现和分配；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（19）面临解散、依法被撤销或者被依法宣告破产时，及时报告中国证监会并通知基金托管人；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（20）因违反《基金合同》导致基金财产的损失或损害基金份额持有人合法权益时，应当承担赔偿责任，其赔偿责任不因其退任而免除；</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（21）监督基金托管人按法律法规和《基金合同》规定履行自己的义务，基金托管人违反《基金合同》造成基金财产损失时，基金管理人应为基金份额持有人利益向基金托管人追偿；</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（22）当基金管理人将其义务委托第三方处理时，应当对第三方处理有关基金事务的行为承担责任；</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（23）以基金管理人名义，代表基金份额持有人利益行使诉讼权利或实施其他法律行为；</w:t>
      </w:r>
      <w:r>
        <w:rPr>
          <w:rFonts w:ascii="Times New Roman" w:hAnsi="Times New Roman" w:cs="Times New Roman"/>
          <w:bCs/>
          <w:sz w:val="24"/>
          <w:lang w:eastAsia="zh-CN"/>
        </w:rPr>
        <w:tab/>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（24）基金管理人在募集期间未能达到基金的备案条件，《基金合同》不能生效，基金管理人承担全部募集费用，将已募集资金并加计银行同期活期存款利息（税后）在基金募集期结束后30日内退还基金认购人；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（25）执行生效的基金份额持有人大会的决议；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（26）建立并保存基金份额持有人名册；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（27）法律法规及中国证监会规定的和《基金合同》约定的其他义务。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三、基金托管人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1、根据《基金法》、《运作办法》及其他有关规定，基金托管人的权利包括但不限于：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（1）自《基金合同》生效之日起，依法律法规和《基金合同》的规定安全保管基金财产；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（2）依《基金合同》约定获得基金托管费以及法律法规规定或监管部门批准的其他费用；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（4）根据相关市场规则，为基金开设资金账户、证券账户等投资所需账户，为基金办理证券、期货交易资金清算；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（5）提议召开或召集基金份额持有人大会；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（6）在基金管理人更换时，提名新的基金管理人；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（7）法律法规及中国证监会规定的和《基金合同》约定的其他权利。</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2、根据《基金法》、《运作办法》及其他有关规定，基金托管人的义务包括但不限于：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（1）以诚实信用、勤勉尽责的原则持有并安全保管基金财产；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（2）设立专门的基金托管部门，具有符合要求的营业场所，配备足够的、合格的熟悉基金托管业务的专职人员，负责基金财产托管事宜；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（4）除依据《基金法》、《基金合同》及其他有关规定外，不得利用基金财产为自己及任何第三人谋取利益，不得委托第三人托管基金财产；</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（5）保管由基金管理人代表基金签订的与基金有关的重大合同及有关凭证；</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（6）按规定开设基金财产的资金账户、证券账户等投资所需账户,按照《基金合同》的约定，根据基金管理人的投资指令，及时办理清算、交割事宜；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（7）保守基金商业秘密，除《基金法》、《基金合同》及其他有关规定另有规定外，在基金信息公开披露前予以保密，不得向他人泄露</w:t>
      </w:r>
      <w:r>
        <w:rPr>
          <w:rFonts w:ascii="Times New Roman" w:hAnsi="Times New Roman" w:cs="Times New Roman"/>
          <w:sz w:val="24"/>
          <w:lang w:eastAsia="zh-CN"/>
        </w:rPr>
        <w:t>，但向监管机构、司法机关提供或因审计、法律等外部专业顾问提供服务而向其提供的情况除外</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（8）复核、审查基金管理人计算的基金资产净值、各类基金份额净值、基金份额申购、赎回价格；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（9）办理与基金托管业务活动有关的信息披露事项；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（11）保存基金托管业务活动的记录、账册、报表和其他相关资料不低于法律法规规定的</w:t>
      </w:r>
      <w:r>
        <w:rPr>
          <w:rFonts w:hint="eastAsia" w:ascii="Times New Roman" w:hAnsi="Times New Roman" w:cs="Times New Roman"/>
          <w:bCs/>
          <w:sz w:val="24"/>
          <w:lang w:eastAsia="zh-CN"/>
        </w:rPr>
        <w:t>最低</w:t>
      </w:r>
      <w:r>
        <w:rPr>
          <w:rFonts w:ascii="Times New Roman" w:hAnsi="Times New Roman" w:cs="Times New Roman"/>
          <w:bCs/>
          <w:sz w:val="24"/>
          <w:lang w:eastAsia="zh-CN"/>
        </w:rPr>
        <w:t>期限；</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（12）从基金管理人或其委托的登记机构处接收并保存基金份额持有人名册；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（13）按规定制作相关账册并与基金管理人核对；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（14）依据基金管理人的指令或有关规定向基金份额持有人支付基金收益和赎回款项；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（15）依据《基金法》、《基金合同》及其他有关规定，召集基金份额持有人大会或配合基金管理人、基金份额持有人依法召集基金份额持有人大会；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（16）按照法律法规和《基金合同》的规定监督基金管理人的投资运作；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（17）参加基金财产清算小组，参与基金财产的保管、清理、估价、变现和分配；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（18）面临解散、依法被撤销或者被依法宣告破产时，及时报告中国证监会和银行业监督管理机构，并通知基金管理人；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（19）因违反《基金合同》导致基金财产损失时，应承担赔偿责任，其赔偿责任不因其退任而免除；</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（20）按规定监督基金管理人按法律法规和《基金合同》规定履行自己的义务，基金管理人因违反《基金合同》造成基金财产损失时，应为基金份额持有人利益向基金管理人追偿；</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（21）执行生效的基金份额持有人大会的决议；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（22）法律法规及中国证监会规定的和《基金合同》约定的其他义务。</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2"/>
        <w:rPr>
          <w:rFonts w:ascii="Times New Roman" w:hAnsi="Times New Roman" w:cs="Times New Roman"/>
          <w:sz w:val="24"/>
          <w:lang w:eastAsia="zh-CN"/>
        </w:rPr>
      </w:pPr>
      <w:r>
        <w:rPr>
          <w:rFonts w:ascii="Times New Roman" w:hAnsi="Times New Roman" w:cs="Times New Roman"/>
          <w:b/>
          <w:bCs/>
          <w:sz w:val="24"/>
          <w:lang w:eastAsia="zh-CN"/>
        </w:rPr>
        <w:t>第二节  基金份额持有人大会召集、议事及表决的程序和规则</w:t>
      </w: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本基金基金份额持有人大会不设立日常机构。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一、召开事由</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1、当出现或需要决定下列事由之一的，应当召开基金份额持有人大会，但法律法规、中国证监会或基金合同另有规定的除外：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（1）终止《基金合同》；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（2）更换基金管理人</w:t>
      </w:r>
      <w:r>
        <w:rPr>
          <w:rFonts w:hint="eastAsia" w:ascii="Times New Roman" w:hAnsi="Times New Roman" w:cs="Times New Roman"/>
          <w:bCs/>
          <w:sz w:val="24"/>
          <w:lang w:eastAsia="zh-CN"/>
        </w:rPr>
        <w:t>（基金管理人与其他公开募集证券投资基金管理人合并而发生基金管理人变更时除外，基金管理人职责由合并后的公司承继）</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（3）更换基金托管人；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（4）转换基金运作方式；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（5）调整基金管理人、基金托管人的报酬标准或提高销售服务费率；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（6）变更基金类别；</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（7）本基金与其他基金的合并；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（8）变更基金投资目标、范围或策略；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（9）变更基金份额持有人大会程序；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（10）基金管理人或基金托管人要求召开基金份额持有人大会；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（11）单独或合计持有本基金总份额10%以上（含10%）基金份额的基金份额持有人（以基金管理人收到提议当日的基金份额计算，下同）就同一事项书面要求召开基金份额持有人大会；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（12）对基金合同当事人权利和义务产生重大影响的其他事项；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（13）法律法规、《基金合同》或中国证监会规定的其他应当召开基金份额持有人大会的事项。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2、在法律法规规定和《基金合同》约定的范围内且对基金份额持有人利益无实质性不利影响的前提下，以下情况可由基金管理人和基金托管人协商后修改，不需召开基金份额持有人大会：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（1）法律法规要求增加的基金费用的收取；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（2）调整本基金的申购费率或变更收费方式</w:t>
      </w:r>
      <w:r>
        <w:rPr>
          <w:rFonts w:hint="eastAsia" w:ascii="Times New Roman" w:hAnsi="Times New Roman" w:cs="Times New Roman"/>
          <w:bCs/>
          <w:sz w:val="24"/>
          <w:lang w:eastAsia="zh-CN"/>
        </w:rPr>
        <w:t>、调低销售服务费率</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（3）因相应的法律法规发生变动而应当对《基金合同》进行修改；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（4）对《基金合同》的修改对基金份额持有人利益无实质性不利影响或修改不涉及《基金合同》当事人权利义务关系发生重大变化；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（5）增加、减少或调整基金份额分类办法及规则；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（6）基金管理人、登记机构、基金销售机构调整有关基金申购、赎回、</w:t>
      </w:r>
      <w:r>
        <w:rPr>
          <w:rFonts w:hint="eastAsia" w:ascii="Times New Roman" w:hAnsi="Times New Roman" w:cs="Times New Roman"/>
          <w:bCs/>
          <w:sz w:val="24"/>
          <w:lang w:eastAsia="zh-CN"/>
        </w:rPr>
        <w:t>定期定额投资、转换、</w:t>
      </w:r>
      <w:r>
        <w:rPr>
          <w:rFonts w:ascii="Times New Roman" w:hAnsi="Times New Roman" w:cs="Times New Roman"/>
          <w:bCs/>
          <w:sz w:val="24"/>
          <w:lang w:eastAsia="zh-CN"/>
        </w:rPr>
        <w:t>转托管、基金交易、非交易过户等业务规则；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w:t>
      </w:r>
      <w:r>
        <w:rPr>
          <w:rFonts w:hint="eastAsia" w:ascii="Times New Roman" w:hAnsi="Times New Roman" w:cs="Times New Roman"/>
          <w:bCs/>
          <w:sz w:val="24"/>
          <w:lang w:eastAsia="zh-CN"/>
        </w:rPr>
        <w:t>在履行适当程序后，</w:t>
      </w:r>
      <w:r>
        <w:rPr>
          <w:rFonts w:ascii="Times New Roman" w:hAnsi="Times New Roman" w:cs="Times New Roman"/>
          <w:bCs/>
          <w:sz w:val="24"/>
          <w:lang w:eastAsia="zh-CN"/>
        </w:rPr>
        <w:t>本基金推出新业务或新服务；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w:t>
      </w:r>
      <w:r>
        <w:rPr>
          <w:rFonts w:hint="eastAsia" w:ascii="Times New Roman" w:hAnsi="Times New Roman" w:cs="Times New Roman"/>
          <w:bCs/>
          <w:sz w:val="24"/>
          <w:lang w:eastAsia="zh-CN"/>
        </w:rPr>
        <w:t>）在不违反法律法规的情况下，调整基金的申购赎回方式；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（9）按照法律法规和《基金合同》规定不需召开基金份额持有人大会的其他情形。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二、会议召集人及召集方式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1、除法律法规规定或《基金合同》另有约定外，基金份额持有人大会由基金管理人召集。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2、基金管理人未按规定召集或不能召</w:t>
      </w:r>
      <w:r>
        <w:rPr>
          <w:rFonts w:hint="eastAsia" w:ascii="Times New Roman" w:hAnsi="Times New Roman" w:cs="Times New Roman"/>
          <w:bCs/>
          <w:sz w:val="24"/>
          <w:lang w:eastAsia="zh-CN"/>
        </w:rPr>
        <w:t>集</w:t>
      </w:r>
      <w:r>
        <w:rPr>
          <w:rFonts w:ascii="Times New Roman" w:hAnsi="Times New Roman" w:cs="Times New Roman"/>
          <w:bCs/>
          <w:sz w:val="24"/>
          <w:lang w:eastAsia="zh-CN"/>
        </w:rPr>
        <w:t>时，由基金托管人召集。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6、基金份额持有人会议的召集人负责选择确定开会时间、地点、方式和权益登记日。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三、召开基金份额持有人大会的通知时间、通知内容、通知方式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1、召开基金份额持有人大会，召集人应于会议召开前30日，在规定媒介公告。基金份额持有人大会通知应至少载明以下内容：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（1）会议召开的时间、地点和会议形式；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（2）会议拟审议的事项、议事程序和表决方式；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（3）有权出席基金份额持有人大会的基金份额持有人的权益登记日；</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（4）授权委托证明的内容要求（包括但不限于代理人身份，代理权限和代理有效期限等）、送达时间和地点；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（5）会务常设联系人姓名及联系电话；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（6）出席会议者必须准备的文件和必须履行的手续；</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（7）召集人需要通知的其他事项。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四、基金份额持有人出席会议的方式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基金份额持有人大会可通过现场开会方式、通讯开会方式或法律法规、监管机构允许的其他方式召开，会议的召开方式由会议召集人确定。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在同时符合以下条件时，通讯开会的方式视为有效：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（1）会议召集人按《基金合同》约定公布会议通知后，在2个工作日内连续公布相关提示性公告；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bCs/>
          <w:sz w:val="24"/>
          <w:lang w:eastAsia="zh-CN"/>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ascii="Times New Roman" w:hAnsi="Times New Roman" w:cs="Times New Roman"/>
          <w:sz w:val="24"/>
          <w:lang w:eastAsia="zh-CN"/>
        </w:rPr>
        <w:t>。</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3、在不与法律法规冲突的前提下，基金份额持有人大会可通过网络、电话或其他方式召开，基金份额持有人可以采用</w:t>
      </w:r>
      <w:r>
        <w:rPr>
          <w:rFonts w:hint="eastAsia" w:ascii="Times New Roman" w:hAnsi="Times New Roman" w:cs="Times New Roman"/>
          <w:sz w:val="24"/>
          <w:lang w:eastAsia="zh-CN"/>
        </w:rPr>
        <w:t>纸质</w:t>
      </w:r>
      <w:r>
        <w:rPr>
          <w:rFonts w:ascii="Times New Roman" w:hAnsi="Times New Roman" w:cs="Times New Roman"/>
          <w:sz w:val="24"/>
          <w:lang w:eastAsia="zh-CN"/>
        </w:rPr>
        <w:t>、网络、电话、短信或其他方式进行表决，具体方式由会议召集人确定并在会议通知中列明。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sz w:val="24"/>
          <w:lang w:eastAsia="zh-CN"/>
        </w:rPr>
        <w:t>4、在不与法律法规冲突的前提下，基金份额持有人授权他人代为出席会议并表决的，授权方式可以采用</w:t>
      </w:r>
      <w:r>
        <w:rPr>
          <w:rFonts w:hint="eastAsia" w:ascii="Times New Roman" w:hAnsi="Times New Roman" w:cs="Times New Roman"/>
          <w:sz w:val="24"/>
          <w:lang w:eastAsia="zh-CN"/>
        </w:rPr>
        <w:t>纸质</w:t>
      </w:r>
      <w:r>
        <w:rPr>
          <w:rFonts w:ascii="Times New Roman" w:hAnsi="Times New Roman" w:cs="Times New Roman"/>
          <w:sz w:val="24"/>
          <w:lang w:eastAsia="zh-CN"/>
        </w:rPr>
        <w:t>、网络、电话、短信或其他方式，具体方式在会议通知中列明。</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五、议事内容与程序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1、议事内容及提案权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基金份额持有人大会的召集人发出召集会议的通知后，对原有提案的修改应当在基金份额持有人大会召开前及时公告。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基金份额持有人大会不得对未事先公告的议事内容进行表决。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2、议事程序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（1）现场开会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会议召集人应当制作出席会议人员的签名册。签名册载明参加会议人员姓名（或单位名称）、身份证明文件号码、持有或代表有表决权的基金份额、委托人姓名（或单位名称）和联系方式等事项。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（2）通讯开会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在通讯开会的情况下，首先由召集人提前30日公布提案，在所通知的表决截止日期后2个工作日内在公证机关监督下由召集人统计全部有效表决，在公证机关监督下形成决议。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六、表决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基金份额持有人所持每份基金份额有一票表决权。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基金份额持有人大会决议分为一般决议和特别决议：</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基金份额持有人大会采取记名方式进行投票表决。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基金份额持有人大会的各项提案或同一项提案内并列的各项议题应当分开审议、逐项表决。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七、计票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1、现场开会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（2）监票人应当在基金份额持有人表决后立即进行清点并由大会主持人当场公布计票结果。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（4）计票过程应由公证机关予以公证，基金管理人或基金托管人拒不出席大会的，不影响计票的效力。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2、通讯开会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八、生效与公告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基金份额持有人大会的决议，召集人应当自通过之日起5日内报中国证监会备案。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基金份额持有人大会的决议自表决通过之日起生效。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基金份额持有人大会决议自生效之日</w:t>
      </w:r>
      <w:r>
        <w:rPr>
          <w:rFonts w:ascii="Times New Roman" w:hAnsi="Times New Roman" w:cs="Times New Roman"/>
          <w:sz w:val="24"/>
          <w:lang w:eastAsia="zh-CN"/>
        </w:rPr>
        <w:t>后</w:t>
      </w:r>
      <w:r>
        <w:rPr>
          <w:rFonts w:ascii="Times New Roman" w:hAnsi="Times New Roman" w:cs="Times New Roman"/>
          <w:bCs/>
          <w:sz w:val="24"/>
          <w:lang w:eastAsia="zh-CN"/>
        </w:rPr>
        <w:t>依照《信息披露办法》的有关规定在规定媒介上公告。如果采用通讯方式进行表决，在公告基金份额持有人大会决议时，必须将公证书全文、公证机构、公证员姓名等一同公告。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九、实施侧袋机制期间基金份额持有人大会的特殊约定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1、基金份额持有人行使提议权、召集权、提名权所需单独或合计代表相关基金份额10%以上（含10%）；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2、现场开会的到会者在权益登记日代表的基金份额不少于本基金在权益登记日相关基金份额的二分之一（含二分之一）；</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3、通讯开会的直接出具表决意见或授权他人代表出具表决意见的基金份额持有人所持有的基金份额不小于在权益登记日相关基金份额的二分之一（含二分之一）；</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5、现场开会由出席大会的基金份额持有人和代理人所持表决权的50%以上（含50%）选举产生一名基金份额持有人作为该次基金份额持有人大会的主持人；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6、一般决议须经参加大会的基金份额持有人或其代理人所持表决权的二分之一以上（含二分之一）通过；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7、特别决议应当经参加大会的基金份额持有人或其代理人所持表决权的三分之二以上（含三分之二）通过。</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同一主侧袋账户内的同一类别每份基金份额具有平等的表决权。</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十、本基金持有的基金召开基金份额持有人大会时，本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w:t>
      </w:r>
      <w:r>
        <w:rPr>
          <w:rFonts w:hint="eastAsia"/>
          <w:sz w:val="24"/>
          <w:lang w:eastAsia="zh-CN"/>
        </w:rPr>
        <w:t>投资者持有本基金基金份额的行为即视为同意本基金管理人直接参与本基金持有的基金的基金份额持有人大会并行使相关投票权利。</w:t>
      </w:r>
      <w:r>
        <w:rPr>
          <w:rFonts w:hint="eastAsia" w:ascii="Times New Roman" w:hAnsi="Times New Roman" w:cs="Times New Roman"/>
          <w:bCs/>
          <w:sz w:val="24"/>
          <w:lang w:eastAsia="zh-CN"/>
        </w:rPr>
        <w:t>法律法规对于本基金参与所持有基金的基金份额持有人大会的程序或要求另有规定的，从其规定。</w:t>
      </w: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十</w:t>
      </w:r>
      <w:r>
        <w:rPr>
          <w:rFonts w:hint="eastAsia" w:ascii="Times New Roman" w:hAnsi="Times New Roman" w:cs="Times New Roman"/>
          <w:sz w:val="24"/>
          <w:lang w:eastAsia="zh-CN"/>
        </w:rPr>
        <w:t>一</w:t>
      </w:r>
      <w:r>
        <w:rPr>
          <w:rFonts w:ascii="Times New Roman" w:hAnsi="Times New Roman" w:cs="Times New Roman"/>
          <w:sz w:val="24"/>
          <w:lang w:eastAsia="zh-CN"/>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2"/>
        <w:rPr>
          <w:rFonts w:ascii="Times New Roman" w:hAnsi="Times New Roman" w:cs="Times New Roman"/>
          <w:sz w:val="24"/>
          <w:lang w:eastAsia="zh-CN"/>
        </w:rPr>
      </w:pPr>
      <w:r>
        <w:rPr>
          <w:rFonts w:ascii="Times New Roman" w:hAnsi="Times New Roman" w:cs="Times New Roman"/>
          <w:b/>
          <w:bCs/>
          <w:sz w:val="24"/>
          <w:lang w:eastAsia="zh-CN"/>
        </w:rPr>
        <w:t>第三节  基金收益分配原则、执行方式</w:t>
      </w: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一、基金利润的构成</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基金利润指基金利息收入、投资收益、公允价值变动收益和其他收入扣除相关费用后的余额，基金已实现收益指基金利润减去公允价值变动收益后的余额。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二、基金可供分配利润</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基金可供分配利润指截至收益分配基准日基金未分配利润与未分配利润中已实现收益的孰低数。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三、基金收益分配原则</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本基金每季度对基金的可供分配利润进行评估，在符合有关基金分红条件的前提下，每季度末基金可供分配利润金额大于0元时，本基金管理人可以进行收益分配，具体分配方案以公告为准，若《基金合同》生效不满3个月可不进行收益分配；</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2、本基金收益分配方式分两种：现金分红与红利再投资，投资者可选择现金红利或将现金红利自动转为相应类别的基金份额进行再投资；若投资者不选择，本基金默认的收益分配方式是现金分红；</w:t>
      </w:r>
      <w:r>
        <w:rPr>
          <w:rFonts w:hint="eastAsia"/>
          <w:bCs/>
          <w:sz w:val="24"/>
          <w:lang w:eastAsia="zh-CN"/>
        </w:rPr>
        <w:t>基金份额持有人可对本基金A类基金份额和C类基金份额分别选择不同的分红方式；</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3、基金收益分配后基金份额净值不能低于面值；即基金收益分配基准日的各类基金份额净值减去每单位该类基金份额收益分配金额后不能低于面值；</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4、同一类别内每一基金份额享有同等分配权；</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5、法律法规或监管机关另有规定的，从其规定。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本基金每次收益分配比例详见届时基金管理人发布的公告。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在不违背法律法规及基金合同的规定、且对基金份额持有人利益无实质性不利影响的前提下，基金管理人</w:t>
      </w:r>
      <w:r>
        <w:rPr>
          <w:rFonts w:hint="eastAsia" w:ascii="Times New Roman" w:hAnsi="Times New Roman" w:cs="Times New Roman"/>
          <w:bCs/>
          <w:sz w:val="24"/>
          <w:lang w:eastAsia="zh-CN"/>
        </w:rPr>
        <w:t>在履行适当程序后，</w:t>
      </w:r>
      <w:r>
        <w:rPr>
          <w:rFonts w:ascii="Times New Roman" w:hAnsi="Times New Roman" w:cs="Times New Roman"/>
          <w:bCs/>
          <w:sz w:val="24"/>
          <w:lang w:eastAsia="zh-CN"/>
        </w:rPr>
        <w:t>经与基金托管人协商一致，可调整基金收益的分配原则。</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四、收益分配方案</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基金收益分配方案中应载明截</w:t>
      </w:r>
      <w:r>
        <w:rPr>
          <w:rFonts w:hint="eastAsia" w:ascii="Times New Roman" w:hAnsi="Times New Roman" w:cs="Times New Roman"/>
          <w:bCs/>
          <w:sz w:val="24"/>
          <w:lang w:eastAsia="zh-CN"/>
        </w:rPr>
        <w:t>至</w:t>
      </w:r>
      <w:r>
        <w:rPr>
          <w:rFonts w:ascii="Times New Roman" w:hAnsi="Times New Roman" w:cs="Times New Roman"/>
          <w:bCs/>
          <w:sz w:val="24"/>
          <w:lang w:eastAsia="zh-CN"/>
        </w:rPr>
        <w:t>收益分配基准日的可供分配利润、基金收益分配对象、分配时间、分配数额及比例、分配方式等内容。</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五、收益分配方案的确定、公告与实施</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本基金收益分配方案由基金管理人拟定，并由基金托管人复核，依照《信息披露办法》的有关规定在规定媒介公告。</w:t>
      </w:r>
    </w:p>
    <w:p>
      <w:pPr>
        <w:snapToGrid w:val="0"/>
        <w:spacing w:after="0" w:line="360" w:lineRule="auto"/>
        <w:ind w:firstLine="540"/>
        <w:rPr>
          <w:rFonts w:ascii="Times New Roman" w:hAnsi="Times New Roman" w:cs="Times New Roman"/>
          <w:bCs/>
          <w:sz w:val="24"/>
          <w:lang w:eastAsia="zh-CN"/>
        </w:rPr>
      </w:pPr>
      <w:r>
        <w:rPr>
          <w:rFonts w:ascii="Times New Roman" w:hAnsi="Times New Roman" w:cs="Times New Roman"/>
          <w:bCs/>
          <w:sz w:val="24"/>
          <w:lang w:eastAsia="zh-CN"/>
        </w:rPr>
        <w:t>六、基金收益分配中发生的费用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七、实施侧袋机制期间的收益分配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本基金实施侧袋机制的，侧袋账户不进行收益分配，详见招募说明书的规定</w:t>
      </w:r>
      <w:r>
        <w:rPr>
          <w:rFonts w:hint="eastAsia" w:ascii="Times New Roman" w:hAnsi="Times New Roman" w:cs="Times New Roman"/>
          <w:bCs/>
          <w:sz w:val="24"/>
          <w:lang w:eastAsia="zh-CN"/>
        </w:rPr>
        <w:t>或相关公告</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2"/>
        <w:rPr>
          <w:rFonts w:ascii="Times New Roman" w:hAnsi="Times New Roman" w:cs="Times New Roman"/>
          <w:sz w:val="24"/>
          <w:lang w:eastAsia="zh-CN"/>
        </w:rPr>
      </w:pPr>
      <w:r>
        <w:rPr>
          <w:rFonts w:ascii="Times New Roman" w:hAnsi="Times New Roman" w:cs="Times New Roman"/>
          <w:b/>
          <w:bCs/>
          <w:sz w:val="24"/>
          <w:lang w:eastAsia="zh-CN"/>
        </w:rPr>
        <w:t>第四节  与基金财产管理、运用有关费用的提取、支付方式与比例</w:t>
      </w: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一、基金费用的种类</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1、基金管理人的管理费；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2、基金托管人的托管费；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3、C类基金份额的基金销售服务费；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4、《基金合同》生效后与基金相关的信息披露费用；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5、《基金合同》生效后与基金相关的会计师费、律师费、审计费、仲裁费和诉讼费；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6、基金份额持有人大会费用；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7、基金的证券、期货等交易费用；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8、基金的银行汇划费用；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9、基金的账户开户费用、账户维护费用；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10、因投资港股通标的股票而产生的各项合理费用；</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11、基金投资其他基金产生的其他基金的销售费用，但法律法规、基金合同禁止从基金财产中列支的除外；</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12、按照国家有关规定和《基金合同》约定，可以在基金财产中列支的其他费用。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二、基金费用计提方法、计提标准和支付方式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1、基金管理人的管理费</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本基金基金财产中投资于本基金管理人所发行或运作管理的证券投资基金的部分不收取管理费。本基金的管理费按前一日基金资产净值扣除本基金管理人所发行或运作管理的被投资基金的资产净值的余额（若为负数，则取0）的</w:t>
      </w:r>
      <w:r>
        <w:rPr>
          <w:rFonts w:ascii="Times New Roman" w:hAnsi="Times New Roman" w:cs="Times New Roman"/>
          <w:bCs/>
          <w:sz w:val="24"/>
          <w:lang w:eastAsia="zh-CN"/>
        </w:rPr>
        <w:t>0.</w:t>
      </w:r>
      <w:r>
        <w:rPr>
          <w:rFonts w:hint="eastAsia" w:ascii="Times New Roman" w:hAnsi="Times New Roman" w:cs="Times New Roman"/>
          <w:bCs/>
          <w:sz w:val="24"/>
          <w:lang w:eastAsia="zh-CN"/>
        </w:rPr>
        <w:t>4</w:t>
      </w:r>
      <w:r>
        <w:rPr>
          <w:rFonts w:ascii="Times New Roman" w:hAnsi="Times New Roman" w:cs="Times New Roman"/>
          <w:bCs/>
          <w:sz w:val="24"/>
          <w:lang w:eastAsia="zh-CN"/>
        </w:rPr>
        <w:t>0</w:t>
      </w:r>
      <w:r>
        <w:rPr>
          <w:rFonts w:hint="eastAsia" w:ascii="Times New Roman" w:hAnsi="Times New Roman" w:cs="Times New Roman"/>
          <w:bCs/>
          <w:sz w:val="24"/>
          <w:lang w:eastAsia="zh-CN"/>
        </w:rPr>
        <w:t>%年费率计提。</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H＝E×0.40%÷当年天数</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H为每日应计提的基金管理费</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E为前一日的基金资产净值扣除基金财产中本基金管理人所发行或运作管理的证券投资基金份额所对应资产净值的剩余部分（若为负数，则取0）</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基金管理费每日计提，逐日累计至每月月末，按月支付。由基金托管人根据与基金管理人核对一致的财务数据，自动在月初</w:t>
      </w:r>
      <w:r>
        <w:rPr>
          <w:rFonts w:ascii="Times New Roman" w:hAnsi="Times New Roman" w:cs="Times New Roman"/>
          <w:bCs/>
          <w:sz w:val="24"/>
          <w:lang w:eastAsia="zh-CN"/>
        </w:rPr>
        <w:t>5</w:t>
      </w:r>
      <w:r>
        <w:rPr>
          <w:rFonts w:hint="eastAsia" w:ascii="Times New Roman" w:hAnsi="Times New Roman" w:cs="Times New Roman"/>
          <w:bCs/>
          <w:sz w:val="24"/>
          <w:lang w:eastAsia="zh-CN"/>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2、基金托管人的托管费</w:t>
      </w:r>
    </w:p>
    <w:p>
      <w:pPr>
        <w:snapToGrid w:val="0"/>
        <w:spacing w:after="0" w:line="360" w:lineRule="auto"/>
        <w:ind w:firstLine="480"/>
        <w:rPr>
          <w:rFonts w:ascii="Times New Roman" w:hAnsi="Times New Roman" w:cs="Times New Roman"/>
          <w:bCs/>
          <w:sz w:val="24"/>
          <w:lang w:eastAsia="zh-CN"/>
        </w:rPr>
      </w:pPr>
      <w:r>
        <w:rPr>
          <w:bCs/>
          <w:sz w:val="24"/>
          <w:lang w:eastAsia="zh-CN"/>
        </w:rPr>
        <w:t>本基金基金财产中投资于本基金托管人托管的</w:t>
      </w:r>
      <w:r>
        <w:rPr>
          <w:rFonts w:hint="eastAsia"/>
          <w:bCs/>
          <w:sz w:val="24"/>
          <w:lang w:eastAsia="zh-CN"/>
        </w:rPr>
        <w:t>证券投资</w:t>
      </w:r>
      <w:r>
        <w:rPr>
          <w:bCs/>
          <w:sz w:val="24"/>
          <w:lang w:eastAsia="zh-CN"/>
        </w:rPr>
        <w:t>基金的部分不收取托管费。本基金的托管费按前一日基金资产净值扣除本基金托管人托管的被投资基金的资产净值的余额（若为负数，则取0）</w:t>
      </w:r>
      <w:r>
        <w:rPr>
          <w:rFonts w:ascii="Times New Roman" w:hAnsi="Times New Roman" w:cs="Times New Roman"/>
          <w:bCs/>
          <w:sz w:val="24"/>
          <w:lang w:eastAsia="zh-CN"/>
        </w:rPr>
        <w:t>的0.1</w:t>
      </w:r>
      <w:r>
        <w:rPr>
          <w:rFonts w:hint="eastAsia" w:ascii="Times New Roman" w:hAnsi="Times New Roman" w:cs="Times New Roman"/>
          <w:bCs/>
          <w:sz w:val="24"/>
          <w:lang w:eastAsia="zh-CN"/>
        </w:rPr>
        <w:t>0</w:t>
      </w:r>
      <w:r>
        <w:rPr>
          <w:rFonts w:ascii="Times New Roman" w:hAnsi="Times New Roman" w:cs="Times New Roman"/>
          <w:bCs/>
          <w:sz w:val="24"/>
          <w:lang w:eastAsia="zh-CN"/>
        </w:rPr>
        <w:t>%</w:t>
      </w:r>
      <w:r>
        <w:rPr>
          <w:bCs/>
          <w:sz w:val="24"/>
          <w:lang w:eastAsia="zh-CN"/>
        </w:rPr>
        <w:t>的年费率计提</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H＝E×0.1</w:t>
      </w:r>
      <w:r>
        <w:rPr>
          <w:rFonts w:hint="eastAsia" w:ascii="Times New Roman" w:hAnsi="Times New Roman" w:cs="Times New Roman"/>
          <w:bCs/>
          <w:sz w:val="24"/>
          <w:lang w:eastAsia="zh-CN"/>
        </w:rPr>
        <w:t>0</w:t>
      </w:r>
      <w:r>
        <w:rPr>
          <w:rFonts w:ascii="Times New Roman" w:hAnsi="Times New Roman" w:cs="Times New Roman"/>
          <w:bCs/>
          <w:sz w:val="24"/>
          <w:lang w:eastAsia="zh-CN"/>
        </w:rPr>
        <w:t>%÷当年天数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H为每日应计提的基金托管费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E为</w:t>
      </w:r>
      <w:r>
        <w:rPr>
          <w:rFonts w:hint="eastAsia" w:ascii="Times New Roman" w:hAnsi="Times New Roman" w:cs="Times New Roman"/>
          <w:bCs/>
          <w:sz w:val="24"/>
          <w:lang w:eastAsia="zh-CN"/>
        </w:rPr>
        <w:t>前一日的基金资产净值扣除由本基金托管人所托管的证券投资基金份额所对应的资产净值的剩余部分（若为负数，则取0）</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基金托管费每日计提，逐日累计至每月月末，按月支付。由基金托管人根据与基金管理人核对一致的财务数据，自动在月初</w:t>
      </w:r>
      <w:r>
        <w:rPr>
          <w:rFonts w:ascii="Times New Roman" w:hAnsi="Times New Roman" w:cs="Times New Roman"/>
          <w:bCs/>
          <w:sz w:val="24"/>
          <w:lang w:eastAsia="zh-CN"/>
        </w:rPr>
        <w:t>5</w:t>
      </w:r>
      <w:r>
        <w:rPr>
          <w:rFonts w:hint="eastAsia" w:ascii="Times New Roman" w:hAnsi="Times New Roman" w:cs="Times New Roman"/>
          <w:bCs/>
          <w:sz w:val="24"/>
          <w:lang w:eastAsia="zh-CN"/>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snapToGrid w:val="0"/>
        <w:spacing w:after="0" w:line="360" w:lineRule="auto"/>
        <w:ind w:firstLine="480"/>
        <w:rPr>
          <w:bCs/>
          <w:sz w:val="24"/>
          <w:lang w:eastAsia="zh-CN"/>
        </w:rPr>
      </w:pPr>
      <w:r>
        <w:rPr>
          <w:bCs/>
          <w:sz w:val="24"/>
          <w:lang w:eastAsia="zh-CN"/>
        </w:rPr>
        <w:t>3、C类基金份额的销售服务费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本基金A类基金份额不收取销售服务费，C类基金份额的销售服务费年费率为0.</w:t>
      </w:r>
      <w:r>
        <w:rPr>
          <w:rFonts w:hint="eastAsia" w:ascii="Times New Roman" w:hAnsi="Times New Roman" w:cs="Times New Roman"/>
          <w:bCs/>
          <w:sz w:val="24"/>
          <w:lang w:eastAsia="zh-CN"/>
        </w:rPr>
        <w:t>2</w:t>
      </w:r>
      <w:r>
        <w:rPr>
          <w:rFonts w:ascii="Times New Roman" w:hAnsi="Times New Roman" w:cs="Times New Roman"/>
          <w:bCs/>
          <w:sz w:val="24"/>
          <w:lang w:eastAsia="zh-CN"/>
        </w:rPr>
        <w:t>0%。销售服务费计提的计算公式如下：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H＝E×0.</w:t>
      </w:r>
      <w:r>
        <w:rPr>
          <w:rFonts w:hint="eastAsia" w:ascii="Times New Roman" w:hAnsi="Times New Roman" w:cs="Times New Roman"/>
          <w:bCs/>
          <w:sz w:val="24"/>
          <w:lang w:eastAsia="zh-CN"/>
        </w:rPr>
        <w:t>2</w:t>
      </w:r>
      <w:r>
        <w:rPr>
          <w:rFonts w:ascii="Times New Roman" w:hAnsi="Times New Roman" w:cs="Times New Roman"/>
          <w:bCs/>
          <w:sz w:val="24"/>
          <w:lang w:eastAsia="zh-CN"/>
        </w:rPr>
        <w:t>0%÷当年天数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H为C类基金份额每日应计提的销售服务费</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E为C类基金份额前一日的基金资产净值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基金销售服务费每日计提</w:t>
      </w:r>
      <w:r>
        <w:rPr>
          <w:rFonts w:hint="eastAsia"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（1）直销机构：</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对于C类基金份额计提的销售服务费，在投资者赎回基金份额或基金合同终止时随赎回款或清算款一并返还给投资者。若遇法定节假日、休息日等，支付日期顺延。费用自动扣划后，基金管理人应进行核对，如发现数据不符，及时联系基金托管人协商解决。</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（2）其他销售机构：</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对于投资者持续持有期限未超过一年的C类基金份额计提的销售服务费，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对于持续持有期限超过一年的C类基金份额，超过一年继续计提的销售服务费，在投资者赎回基金份额或基金合同终止时，随赎回款或清算款一并返还给投资者。若遇法定节假日、休息日等，支付日期顺延。费用自动扣划后，基金管理人应进行核对，如发现数据不符，及时联系基金托管人协商解决。</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上述“一、基金费用的种类”中第4－12项费用，根据有关法规及相应协议规定，按费用实际支出金额列入当期费用，由基金托管人从基金财产中支付。基金综合费用水平请参见产品资料概要等文件。</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2"/>
        <w:rPr>
          <w:rFonts w:ascii="Times New Roman" w:hAnsi="Times New Roman" w:cs="Times New Roman"/>
          <w:bCs/>
          <w:sz w:val="24"/>
          <w:lang w:eastAsia="zh-CN"/>
        </w:rPr>
      </w:pPr>
      <w:r>
        <w:rPr>
          <w:rFonts w:ascii="Times New Roman" w:hAnsi="Times New Roman" w:cs="Times New Roman"/>
          <w:b/>
          <w:bCs/>
          <w:sz w:val="24"/>
          <w:lang w:eastAsia="zh-CN"/>
        </w:rPr>
        <w:t>第五节  基金财产的投资方向和投资限制</w:t>
      </w: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一、投资范围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本基金的投资范围为具有良好流动性的金融工具，包括国内依法发行或上市的股票（包括创业板及其他经中国证监会核准或注册上市的股票、存托凭证）、港股通机制下允许投资的规定范围内的香港联合交易所上市的股票（以下简称“港股通标的股票”）、债券（包括国债、地方政府债、</w:t>
      </w:r>
      <w:r>
        <w:rPr>
          <w:rFonts w:hint="eastAsia" w:ascii="Times New Roman" w:hAnsi="Times New Roman" w:cs="Times New Roman"/>
          <w:bCs/>
          <w:sz w:val="24"/>
          <w:lang w:eastAsia="zh-CN"/>
        </w:rPr>
        <w:t>政府支持机构债、政府支持债券、</w:t>
      </w:r>
      <w:r>
        <w:rPr>
          <w:rFonts w:ascii="Times New Roman" w:hAnsi="Times New Roman" w:cs="Times New Roman"/>
          <w:bCs/>
          <w:sz w:val="24"/>
          <w:lang w:eastAsia="zh-CN"/>
        </w:rPr>
        <w:t>央行票据、金融债、企业债、公司债、次级债、可转换债券（含分离交易可转债）、可交换债券、短期融资券、超短期融资券、中期票据等）、资产支持证券、债券回购、银行存款（包括协议存款、定期存款及其他银行存款）、同业存单、货币市场工具、</w:t>
      </w:r>
      <w:r>
        <w:rPr>
          <w:rFonts w:hint="eastAsia" w:ascii="Times New Roman" w:hAnsi="Times New Roman" w:cs="Times New Roman"/>
          <w:bCs/>
          <w:sz w:val="24"/>
          <w:lang w:eastAsia="zh-CN"/>
        </w:rPr>
        <w:t>经中国证监会依法核准或注册的公开募集证券投资基金（以下简称“证券投资基金”，仅包括全市场股票型ETF、全市场公开募集不动产投资信托基金（以下简称“公募REITs”）、基金管理人旗下的股票型基金及计入权益类资产的混合型基金，不包含QDII基金、香港互认基金、货币市场基金、基金中基金、其他可投资基金的基金和本基金基金经理管理的其他基金）、国债期货以及法律法规或中国证监会允许基金投资</w:t>
      </w:r>
      <w:r>
        <w:rPr>
          <w:rFonts w:ascii="Times New Roman" w:hAnsi="Times New Roman" w:cs="Times New Roman"/>
          <w:bCs/>
          <w:sz w:val="24"/>
          <w:lang w:eastAsia="zh-CN"/>
        </w:rPr>
        <w:t>的其他金融工具（但须符合中国证监会相关规定）。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如法律法规或监管机构以后允许基金投资其他品种，基金管理人在履行适当程序后，可以将其纳入投资范围。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基金的投资组合比例为：本基金投资于债券资产的比例不低于基金资产的80%；投资于</w:t>
      </w:r>
      <w:r>
        <w:rPr>
          <w:rFonts w:hint="eastAsia"/>
          <w:bCs/>
          <w:sz w:val="24"/>
          <w:lang w:eastAsia="zh-CN"/>
        </w:rPr>
        <w:t>股票（含存托凭证）、股票型基金、计入权益类资产的混合型基金、</w:t>
      </w:r>
      <w:r>
        <w:rPr>
          <w:rFonts w:ascii="Times New Roman" w:hAnsi="Times New Roman" w:cs="Times New Roman"/>
          <w:bCs/>
          <w:sz w:val="24"/>
          <w:lang w:eastAsia="zh-CN"/>
        </w:rPr>
        <w:t>可转换债券</w:t>
      </w:r>
      <w:r>
        <w:rPr>
          <w:rFonts w:hint="eastAsia" w:ascii="Times New Roman" w:hAnsi="Times New Roman" w:cs="Times New Roman"/>
          <w:bCs/>
          <w:sz w:val="24"/>
          <w:lang w:eastAsia="zh-CN"/>
        </w:rPr>
        <w:t>（不</w:t>
      </w:r>
      <w:r>
        <w:rPr>
          <w:rFonts w:ascii="Times New Roman" w:hAnsi="Times New Roman" w:cs="Times New Roman"/>
          <w:bCs/>
          <w:sz w:val="24"/>
          <w:lang w:eastAsia="zh-CN"/>
        </w:rPr>
        <w:t>含分离交易可转债</w:t>
      </w:r>
      <w:r>
        <w:rPr>
          <w:rFonts w:hint="eastAsia" w:ascii="Times New Roman" w:hAnsi="Times New Roman" w:cs="Times New Roman"/>
          <w:bCs/>
          <w:sz w:val="24"/>
          <w:lang w:eastAsia="zh-CN"/>
        </w:rPr>
        <w:t>的纯债部分）</w:t>
      </w:r>
      <w:r>
        <w:rPr>
          <w:rFonts w:ascii="Times New Roman" w:hAnsi="Times New Roman" w:cs="Times New Roman"/>
          <w:bCs/>
          <w:sz w:val="24"/>
          <w:lang w:eastAsia="zh-CN"/>
        </w:rPr>
        <w:t>、可交换债券的比例</w:t>
      </w:r>
      <w:r>
        <w:rPr>
          <w:rFonts w:hint="eastAsia" w:ascii="Times New Roman" w:hAnsi="Times New Roman" w:cs="Times New Roman"/>
          <w:bCs/>
          <w:sz w:val="24"/>
          <w:lang w:eastAsia="zh-CN"/>
        </w:rPr>
        <w:t>合计占</w:t>
      </w:r>
      <w:r>
        <w:rPr>
          <w:rFonts w:ascii="Times New Roman" w:hAnsi="Times New Roman" w:cs="Times New Roman"/>
          <w:bCs/>
          <w:sz w:val="24"/>
          <w:lang w:eastAsia="zh-CN"/>
        </w:rPr>
        <w:t>基金资产</w:t>
      </w:r>
      <w:r>
        <w:rPr>
          <w:rFonts w:hint="eastAsia" w:ascii="Times New Roman" w:hAnsi="Times New Roman" w:cs="Times New Roman"/>
          <w:bCs/>
          <w:sz w:val="24"/>
          <w:lang w:eastAsia="zh-CN"/>
        </w:rPr>
        <w:t>的5%-</w:t>
      </w:r>
      <w:r>
        <w:rPr>
          <w:rFonts w:ascii="Times New Roman" w:hAnsi="Times New Roman" w:cs="Times New Roman"/>
          <w:bCs/>
          <w:sz w:val="24"/>
          <w:lang w:eastAsia="zh-CN"/>
        </w:rPr>
        <w:t>20%</w:t>
      </w:r>
      <w:r>
        <w:rPr>
          <w:rFonts w:hint="eastAsia" w:ascii="Times New Roman" w:hAnsi="Times New Roman" w:cs="Times New Roman"/>
          <w:bCs/>
          <w:sz w:val="24"/>
          <w:lang w:eastAsia="zh-CN"/>
        </w:rPr>
        <w:t>；其中投资于境内股票(含A股股票型ETF)的比例不低于基金资产的5%，投资于港股通标的股票的比例不超过股票资产的50%</w:t>
      </w:r>
      <w:r>
        <w:rPr>
          <w:rFonts w:ascii="Times New Roman" w:hAnsi="Times New Roman" w:cs="Times New Roman"/>
          <w:bCs/>
          <w:sz w:val="24"/>
          <w:lang w:eastAsia="zh-CN"/>
        </w:rPr>
        <w:t>；</w:t>
      </w:r>
      <w:r>
        <w:rPr>
          <w:rFonts w:hint="eastAsia" w:ascii="Times New Roman" w:hAnsi="Times New Roman" w:cs="Times New Roman"/>
          <w:bCs/>
          <w:sz w:val="24"/>
          <w:lang w:eastAsia="zh-CN"/>
        </w:rPr>
        <w:t>本基金投资于证券投资基金的资产不超过基金资产净值的</w:t>
      </w:r>
      <w:r>
        <w:rPr>
          <w:rFonts w:ascii="Times New Roman" w:hAnsi="Times New Roman" w:cs="Times New Roman"/>
          <w:bCs/>
          <w:sz w:val="24"/>
          <w:lang w:eastAsia="zh-CN"/>
        </w:rPr>
        <w:t>10%</w:t>
      </w:r>
      <w:r>
        <w:rPr>
          <w:rFonts w:hint="eastAsia" w:ascii="Times New Roman" w:hAnsi="Times New Roman" w:cs="Times New Roman"/>
          <w:bCs/>
          <w:sz w:val="24"/>
          <w:lang w:eastAsia="zh-CN"/>
        </w:rPr>
        <w:t>；</w:t>
      </w:r>
      <w:r>
        <w:rPr>
          <w:rFonts w:ascii="Times New Roman" w:hAnsi="Times New Roman" w:cs="Times New Roman"/>
          <w:bCs/>
          <w:sz w:val="24"/>
          <w:lang w:eastAsia="zh-CN"/>
        </w:rPr>
        <w:t>每个交易日日终在扣除国债期货合约需缴纳的交易保证金后，应当保持现金或者到期日在一年以内的政府债券不低于基金资产净值的5%，其中现金不包含结算备付金、存出保证金和应收申购款等。</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其中，</w:t>
      </w:r>
      <w:r>
        <w:rPr>
          <w:rFonts w:hint="eastAsia"/>
          <w:bCs/>
          <w:sz w:val="24"/>
          <w:lang w:eastAsia="zh-CN"/>
        </w:rPr>
        <w:t>计入权益类资产的混合型基金需满足以下条件之一</w:t>
      </w:r>
      <w:r>
        <w:rPr>
          <w:rFonts w:hint="eastAsia" w:ascii="Times New Roman" w:hAnsi="Times New Roman" w:cs="Times New Roman"/>
          <w:bCs/>
          <w:sz w:val="24"/>
          <w:lang w:eastAsia="zh-CN"/>
        </w:rPr>
        <w:t>：（</w:t>
      </w:r>
      <w:r>
        <w:rPr>
          <w:rFonts w:ascii="Times New Roman" w:hAnsi="Times New Roman" w:cs="Times New Roman"/>
          <w:bCs/>
          <w:sz w:val="24"/>
          <w:lang w:eastAsia="zh-CN"/>
        </w:rPr>
        <w:t>1</w:t>
      </w:r>
      <w:r>
        <w:rPr>
          <w:rFonts w:hint="eastAsia" w:ascii="Times New Roman" w:hAnsi="Times New Roman" w:cs="Times New Roman"/>
          <w:bCs/>
          <w:sz w:val="24"/>
          <w:lang w:eastAsia="zh-CN"/>
        </w:rPr>
        <w:t>）基金合同约定投资股票及存托凭证资产占基金资产的比例不低于</w:t>
      </w:r>
      <w:r>
        <w:rPr>
          <w:rFonts w:ascii="Times New Roman" w:hAnsi="Times New Roman" w:cs="Times New Roman"/>
          <w:bCs/>
          <w:sz w:val="24"/>
          <w:lang w:eastAsia="zh-CN"/>
        </w:rPr>
        <w:t>60%</w:t>
      </w:r>
      <w:r>
        <w:rPr>
          <w:rFonts w:hint="eastAsia" w:ascii="Times New Roman" w:hAnsi="Times New Roman" w:cs="Times New Roman"/>
          <w:bCs/>
          <w:sz w:val="24"/>
          <w:lang w:eastAsia="zh-CN"/>
        </w:rPr>
        <w:t>；（</w:t>
      </w:r>
      <w:r>
        <w:rPr>
          <w:rFonts w:ascii="Times New Roman" w:hAnsi="Times New Roman" w:cs="Times New Roman"/>
          <w:bCs/>
          <w:sz w:val="24"/>
          <w:lang w:eastAsia="zh-CN"/>
        </w:rPr>
        <w:t>2</w:t>
      </w:r>
      <w:r>
        <w:rPr>
          <w:rFonts w:hint="eastAsia" w:ascii="Times New Roman" w:hAnsi="Times New Roman" w:cs="Times New Roman"/>
          <w:bCs/>
          <w:sz w:val="24"/>
          <w:lang w:eastAsia="zh-CN"/>
        </w:rPr>
        <w:t>）基金最近</w:t>
      </w:r>
      <w:r>
        <w:rPr>
          <w:rFonts w:ascii="Times New Roman" w:hAnsi="Times New Roman" w:cs="Times New Roman"/>
          <w:bCs/>
          <w:sz w:val="24"/>
          <w:lang w:eastAsia="zh-CN"/>
        </w:rPr>
        <w:t>4</w:t>
      </w:r>
      <w:r>
        <w:rPr>
          <w:rFonts w:hint="eastAsia" w:ascii="Times New Roman" w:hAnsi="Times New Roman" w:cs="Times New Roman"/>
          <w:bCs/>
          <w:sz w:val="24"/>
          <w:lang w:eastAsia="zh-CN"/>
        </w:rPr>
        <w:t>期季度报告中披露的股票及存托凭证资产占基金资产的比例均不低于</w:t>
      </w:r>
      <w:r>
        <w:rPr>
          <w:rFonts w:ascii="Times New Roman" w:hAnsi="Times New Roman" w:cs="Times New Roman"/>
          <w:bCs/>
          <w:sz w:val="24"/>
          <w:lang w:eastAsia="zh-CN"/>
        </w:rPr>
        <w:t>60%</w:t>
      </w:r>
      <w:r>
        <w:rPr>
          <w:rFonts w:hint="eastAsia"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如果法律法规对该比例要求有变更的，基金管理人在履行适当程序后，本基金的投资比例相应调整。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二、投资限制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1、组合限制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基金的投资组合应遵循以下限制：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（1）本基金投资于债券资产的比例不低于基金资产的80%；投资于</w:t>
      </w:r>
      <w:r>
        <w:rPr>
          <w:rFonts w:hint="eastAsia"/>
          <w:bCs/>
          <w:sz w:val="24"/>
          <w:lang w:eastAsia="zh-CN"/>
        </w:rPr>
        <w:t>股票（含存托凭证）、股票型基金、计入权益类资产的混合型基金、</w:t>
      </w:r>
      <w:r>
        <w:rPr>
          <w:rFonts w:ascii="Times New Roman" w:hAnsi="Times New Roman" w:cs="Times New Roman"/>
          <w:bCs/>
          <w:sz w:val="24"/>
          <w:lang w:eastAsia="zh-CN"/>
        </w:rPr>
        <w:t>可转换债券</w:t>
      </w:r>
      <w:r>
        <w:rPr>
          <w:rFonts w:hint="eastAsia" w:ascii="Times New Roman" w:hAnsi="Times New Roman" w:cs="Times New Roman"/>
          <w:bCs/>
          <w:sz w:val="24"/>
          <w:lang w:eastAsia="zh-CN"/>
        </w:rPr>
        <w:t>（不</w:t>
      </w:r>
      <w:r>
        <w:rPr>
          <w:rFonts w:ascii="Times New Roman" w:hAnsi="Times New Roman" w:cs="Times New Roman"/>
          <w:bCs/>
          <w:sz w:val="24"/>
          <w:lang w:eastAsia="zh-CN"/>
        </w:rPr>
        <w:t>含分离交易可转债</w:t>
      </w:r>
      <w:r>
        <w:rPr>
          <w:rFonts w:hint="eastAsia" w:ascii="Times New Roman" w:hAnsi="Times New Roman" w:cs="Times New Roman"/>
          <w:bCs/>
          <w:sz w:val="24"/>
          <w:lang w:eastAsia="zh-CN"/>
        </w:rPr>
        <w:t>的纯债部分）</w:t>
      </w:r>
      <w:r>
        <w:rPr>
          <w:rFonts w:ascii="Times New Roman" w:hAnsi="Times New Roman" w:cs="Times New Roman"/>
          <w:bCs/>
          <w:sz w:val="24"/>
          <w:lang w:eastAsia="zh-CN"/>
        </w:rPr>
        <w:t>、可交换债券的比例</w:t>
      </w:r>
      <w:r>
        <w:rPr>
          <w:rFonts w:hint="eastAsia" w:ascii="Times New Roman" w:hAnsi="Times New Roman" w:cs="Times New Roman"/>
          <w:bCs/>
          <w:sz w:val="24"/>
          <w:lang w:eastAsia="zh-CN"/>
        </w:rPr>
        <w:t>合计占</w:t>
      </w:r>
      <w:r>
        <w:rPr>
          <w:rFonts w:ascii="Times New Roman" w:hAnsi="Times New Roman" w:cs="Times New Roman"/>
          <w:bCs/>
          <w:sz w:val="24"/>
          <w:lang w:eastAsia="zh-CN"/>
        </w:rPr>
        <w:t>基金资产</w:t>
      </w:r>
      <w:r>
        <w:rPr>
          <w:rFonts w:hint="eastAsia" w:ascii="Times New Roman" w:hAnsi="Times New Roman" w:cs="Times New Roman"/>
          <w:bCs/>
          <w:sz w:val="24"/>
          <w:lang w:eastAsia="zh-CN"/>
        </w:rPr>
        <w:t>的5%-</w:t>
      </w:r>
      <w:r>
        <w:rPr>
          <w:rFonts w:ascii="Times New Roman" w:hAnsi="Times New Roman" w:cs="Times New Roman"/>
          <w:bCs/>
          <w:sz w:val="24"/>
          <w:lang w:eastAsia="zh-CN"/>
        </w:rPr>
        <w:t>20%</w:t>
      </w:r>
      <w:r>
        <w:rPr>
          <w:rFonts w:hint="eastAsia" w:ascii="Times New Roman" w:hAnsi="Times New Roman" w:cs="Times New Roman"/>
          <w:bCs/>
          <w:sz w:val="24"/>
          <w:lang w:eastAsia="zh-CN"/>
        </w:rPr>
        <w:t>；其中投资于境内股票(含A股股票型ETF)的比例不低于基金资产的5%，投资于港股通标的股票的比例不超过股票资产的50%</w:t>
      </w:r>
      <w:r>
        <w:rPr>
          <w:rFonts w:ascii="Times New Roman" w:hAnsi="Times New Roman" w:cs="Times New Roman"/>
          <w:bCs/>
          <w:sz w:val="24"/>
          <w:lang w:eastAsia="zh-CN"/>
        </w:rPr>
        <w:t>；本基金投资存托凭证的比例限制依照境内上市交易的股票执行，与境内上市交易的股票合并计算，法律法规或监管部门另有要求的除外；</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（2）本基金投资于证券投资基金的资产不超过基金资产净值的</w:t>
      </w:r>
      <w:r>
        <w:rPr>
          <w:rFonts w:ascii="Times New Roman" w:hAnsi="Times New Roman" w:cs="Times New Roman"/>
          <w:bCs/>
          <w:sz w:val="24"/>
          <w:lang w:eastAsia="zh-CN"/>
        </w:rPr>
        <w:t>10%；</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w:t>
      </w:r>
      <w:r>
        <w:rPr>
          <w:rFonts w:ascii="Times New Roman" w:hAnsi="Times New Roman" w:cs="Times New Roman"/>
          <w:bCs/>
          <w:sz w:val="24"/>
          <w:lang w:eastAsia="zh-CN"/>
        </w:rPr>
        <w:t>3</w:t>
      </w:r>
      <w:r>
        <w:rPr>
          <w:rFonts w:hint="eastAsia" w:ascii="Times New Roman" w:hAnsi="Times New Roman" w:cs="Times New Roman"/>
          <w:bCs/>
          <w:sz w:val="24"/>
          <w:lang w:eastAsia="zh-CN"/>
        </w:rPr>
        <w:t>）本基金每个交易日日终在扣除国债期货合约需缴纳的交易保证金后，保持不低于基金资产净值</w:t>
      </w:r>
      <w:r>
        <w:rPr>
          <w:rFonts w:ascii="Times New Roman" w:hAnsi="Times New Roman" w:cs="Times New Roman"/>
          <w:bCs/>
          <w:sz w:val="24"/>
          <w:lang w:eastAsia="zh-CN"/>
        </w:rPr>
        <w:t>5</w:t>
      </w:r>
      <w:r>
        <w:rPr>
          <w:rFonts w:hint="eastAsia" w:ascii="Times New Roman" w:hAnsi="Times New Roman" w:cs="Times New Roman"/>
          <w:bCs/>
          <w:sz w:val="24"/>
          <w:lang w:eastAsia="zh-CN"/>
        </w:rPr>
        <w:t>％的现金或者到期日在一年以内的政府债券，其中现金不包括结算备付金、存出保证金和应收申购款等；</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4</w:t>
      </w:r>
      <w:r>
        <w:rPr>
          <w:rFonts w:ascii="Times New Roman" w:hAnsi="Times New Roman" w:cs="Times New Roman"/>
          <w:bCs/>
          <w:sz w:val="24"/>
          <w:lang w:eastAsia="zh-CN"/>
        </w:rPr>
        <w:t>）本基金持有一家公司发行的证券（同一家公司在内地和香港同时上市的A+H股合并计算</w:t>
      </w:r>
      <w:r>
        <w:rPr>
          <w:rFonts w:hint="eastAsia" w:ascii="Times New Roman" w:hAnsi="Times New Roman" w:cs="Times New Roman"/>
          <w:bCs/>
          <w:sz w:val="24"/>
          <w:lang w:eastAsia="zh-CN"/>
        </w:rPr>
        <w:t>，但不包括本基金所投资的基金份额</w:t>
      </w:r>
      <w:r>
        <w:rPr>
          <w:rFonts w:ascii="Times New Roman" w:hAnsi="Times New Roman" w:cs="Times New Roman"/>
          <w:bCs/>
          <w:sz w:val="24"/>
          <w:lang w:eastAsia="zh-CN"/>
        </w:rPr>
        <w:t>），其市值不超过基金资产净值的10%；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5</w:t>
      </w:r>
      <w:r>
        <w:rPr>
          <w:rFonts w:ascii="Times New Roman" w:hAnsi="Times New Roman" w:cs="Times New Roman"/>
          <w:bCs/>
          <w:sz w:val="24"/>
          <w:lang w:eastAsia="zh-CN"/>
        </w:rPr>
        <w:t>）本基金管理人管理的全部基金持有一家公司发行的证券（同一家公司在内地和香港同时上市的A+H股合并计算</w:t>
      </w:r>
      <w:r>
        <w:rPr>
          <w:rFonts w:hint="eastAsia" w:ascii="Times New Roman" w:hAnsi="Times New Roman" w:cs="Times New Roman"/>
          <w:bCs/>
          <w:sz w:val="24"/>
          <w:lang w:eastAsia="zh-CN"/>
        </w:rPr>
        <w:t>，但不包括本基金所投资的基金份额</w:t>
      </w:r>
      <w:r>
        <w:rPr>
          <w:rFonts w:ascii="Times New Roman" w:hAnsi="Times New Roman" w:cs="Times New Roman"/>
          <w:bCs/>
          <w:sz w:val="24"/>
          <w:lang w:eastAsia="zh-CN"/>
        </w:rPr>
        <w:t>），不超过该证券的10%，完全按照有关指数的构成比例进行证券投资的基金品种可以不受此条款规定的比例限制；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6</w:t>
      </w:r>
      <w:r>
        <w:rPr>
          <w:rFonts w:ascii="Times New Roman" w:hAnsi="Times New Roman" w:cs="Times New Roman"/>
          <w:bCs/>
          <w:sz w:val="24"/>
          <w:lang w:eastAsia="zh-CN"/>
        </w:rPr>
        <w:t>）本基金投资于同一原始权益人的各类资产支持证券的比例，不得超过基金资产净值的10%；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7</w:t>
      </w:r>
      <w:r>
        <w:rPr>
          <w:rFonts w:ascii="Times New Roman" w:hAnsi="Times New Roman" w:cs="Times New Roman"/>
          <w:bCs/>
          <w:sz w:val="24"/>
          <w:lang w:eastAsia="zh-CN"/>
        </w:rPr>
        <w:t>）本基金持有的全部资产支持证券，其市值不得超过基金资产净值的20%；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8</w:t>
      </w:r>
      <w:r>
        <w:rPr>
          <w:rFonts w:ascii="Times New Roman" w:hAnsi="Times New Roman" w:cs="Times New Roman"/>
          <w:bCs/>
          <w:sz w:val="24"/>
          <w:lang w:eastAsia="zh-CN"/>
        </w:rPr>
        <w:t>）本基金持有的同一(指同一信用级别)资产支持证券的比例，不得超过该资产支持证券规模的10%；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9</w:t>
      </w:r>
      <w:r>
        <w:rPr>
          <w:rFonts w:ascii="Times New Roman" w:hAnsi="Times New Roman" w:cs="Times New Roman"/>
          <w:bCs/>
          <w:sz w:val="24"/>
          <w:lang w:eastAsia="zh-CN"/>
        </w:rPr>
        <w:t>）本基金管理人管理的全部基金投资于同一原始权益人的各类资产支持证券，不得超过其各类资产支持证券合计规模的10%；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10</w:t>
      </w:r>
      <w:r>
        <w:rPr>
          <w:rFonts w:ascii="Times New Roman" w:hAnsi="Times New Roman" w:cs="Times New Roman"/>
          <w:bCs/>
          <w:sz w:val="24"/>
          <w:lang w:eastAsia="zh-CN"/>
        </w:rPr>
        <w:t>）基金财产参与股票发行申购，本基金所申报的金额不超过本基金的总资产，本基金所申报的股票数量不超过拟发行股票公司本次发行股票的总量；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11</w:t>
      </w:r>
      <w:r>
        <w:rPr>
          <w:rFonts w:ascii="Times New Roman" w:hAnsi="Times New Roman" w:cs="Times New Roman"/>
          <w:bCs/>
          <w:sz w:val="24"/>
          <w:lang w:eastAsia="zh-CN"/>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12</w:t>
      </w:r>
      <w:r>
        <w:rPr>
          <w:rFonts w:ascii="Times New Roman" w:hAnsi="Times New Roman" w:cs="Times New Roman"/>
          <w:bCs/>
          <w:sz w:val="24"/>
          <w:lang w:eastAsia="zh-CN"/>
        </w:rPr>
        <w:t>）本基金主动投资于流动性受限资产</w:t>
      </w:r>
      <w:r>
        <w:rPr>
          <w:rFonts w:hint="eastAsia"/>
          <w:sz w:val="23"/>
          <w:szCs w:val="23"/>
          <w:lang w:eastAsia="zh-CN"/>
        </w:rPr>
        <w:t>（含封闭运作基金、定期开放基金等流通受限基金）</w:t>
      </w:r>
      <w:r>
        <w:rPr>
          <w:rFonts w:ascii="Times New Roman" w:hAnsi="Times New Roman" w:cs="Times New Roman"/>
          <w:bCs/>
          <w:sz w:val="24"/>
          <w:lang w:eastAsia="zh-CN"/>
        </w:rPr>
        <w:t>的市值合计不得超过该基金资产净值的15%；因证券市场波动、上市公司股票停牌、基金规模变动等基金管理人之外的因素致使基金不符合该比例限制的，基金管理人不得主动新增流动性受限资产的投资；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3</w:t>
      </w:r>
      <w:r>
        <w:rPr>
          <w:rFonts w:ascii="Times New Roman" w:hAnsi="Times New Roman" w:cs="Times New Roman"/>
          <w:bCs/>
          <w:sz w:val="24"/>
          <w:lang w:eastAsia="zh-CN"/>
        </w:rPr>
        <w:t>）本基金与私募类证券资管产品及中国证监会认定的其他主体为交易对手开展逆回购交易的，可接受质押品的资质要求应当与本基金合同约定的投资范围保持一致；</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4</w:t>
      </w:r>
      <w:r>
        <w:rPr>
          <w:rFonts w:ascii="Times New Roman" w:hAnsi="Times New Roman" w:cs="Times New Roman"/>
          <w:bCs/>
          <w:sz w:val="24"/>
          <w:lang w:eastAsia="zh-CN"/>
        </w:rPr>
        <w:t>）本基金资产总值不超过基金资产净值的140%；</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w:t>
      </w:r>
      <w:r>
        <w:rPr>
          <w:rFonts w:hint="eastAsia" w:ascii="Times New Roman" w:hAnsi="Times New Roman" w:cs="Times New Roman"/>
          <w:bCs/>
          <w:sz w:val="24"/>
          <w:lang w:eastAsia="zh-CN"/>
        </w:rPr>
        <w:t>5</w:t>
      </w:r>
      <w:r>
        <w:rPr>
          <w:rFonts w:ascii="Times New Roman" w:hAnsi="Times New Roman" w:cs="Times New Roman"/>
          <w:bCs/>
          <w:sz w:val="24"/>
          <w:lang w:eastAsia="zh-CN"/>
        </w:rPr>
        <w:t xml:space="preserve">）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（16）本基金不得持有基金中基金；</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（17）除</w:t>
      </w:r>
      <w:r>
        <w:rPr>
          <w:rFonts w:ascii="Times New Roman" w:hAnsi="Times New Roman" w:cs="Times New Roman"/>
          <w:bCs/>
          <w:sz w:val="24"/>
          <w:lang w:eastAsia="zh-CN"/>
        </w:rPr>
        <w:t>ETF</w:t>
      </w:r>
      <w:r>
        <w:rPr>
          <w:rFonts w:hint="eastAsia" w:ascii="Times New Roman" w:hAnsi="Times New Roman" w:cs="Times New Roman"/>
          <w:bCs/>
          <w:sz w:val="24"/>
          <w:lang w:eastAsia="zh-CN"/>
        </w:rPr>
        <w:t>联接基金外，本基金管理人管理的全部基金持有单只基金不得超过被投资基金净资产的</w:t>
      </w:r>
      <w:r>
        <w:rPr>
          <w:rFonts w:ascii="Times New Roman" w:hAnsi="Times New Roman" w:cs="Times New Roman"/>
          <w:bCs/>
          <w:sz w:val="24"/>
          <w:lang w:eastAsia="zh-CN"/>
        </w:rPr>
        <w:t>20%</w:t>
      </w:r>
      <w:r>
        <w:rPr>
          <w:rFonts w:hint="eastAsia" w:ascii="Times New Roman" w:hAnsi="Times New Roman" w:cs="Times New Roman"/>
          <w:bCs/>
          <w:sz w:val="24"/>
          <w:lang w:eastAsia="zh-CN"/>
        </w:rPr>
        <w:t>，被投资基金净资产规模以最近定期报告披露的规模为准；</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（18）本基金不得持有具有复杂、衍生品性质的基金份额，包括分级基金和</w:t>
      </w:r>
      <w:r>
        <w:rPr>
          <w:rFonts w:ascii="Times New Roman" w:hAnsi="Times New Roman" w:cs="Times New Roman"/>
          <w:bCs/>
          <w:sz w:val="24"/>
          <w:lang w:eastAsia="zh-CN"/>
        </w:rPr>
        <w:t>中国证监会认定的其他基金份额；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19）投资于其他基金时，被投资的基金运作期限应当不少于</w:t>
      </w:r>
      <w:r>
        <w:rPr>
          <w:rFonts w:ascii="Times New Roman" w:hAnsi="Times New Roman" w:cs="Times New Roman"/>
          <w:bCs/>
          <w:sz w:val="24"/>
          <w:lang w:eastAsia="zh-CN"/>
        </w:rPr>
        <w:t>1</w:t>
      </w:r>
      <w:r>
        <w:rPr>
          <w:rFonts w:hint="eastAsia" w:ascii="Times New Roman" w:hAnsi="Times New Roman" w:cs="Times New Roman"/>
          <w:bCs/>
          <w:sz w:val="24"/>
          <w:lang w:eastAsia="zh-CN"/>
        </w:rPr>
        <w:t>年，最近定期报告披露的基金净资产应当不低于</w:t>
      </w:r>
      <w:r>
        <w:rPr>
          <w:rFonts w:ascii="Times New Roman" w:hAnsi="Times New Roman" w:cs="Times New Roman"/>
          <w:bCs/>
          <w:sz w:val="24"/>
          <w:lang w:eastAsia="zh-CN"/>
        </w:rPr>
        <w:t>1</w:t>
      </w:r>
      <w:r>
        <w:rPr>
          <w:rFonts w:hint="eastAsia" w:ascii="Times New Roman" w:hAnsi="Times New Roman" w:cs="Times New Roman"/>
          <w:bCs/>
          <w:sz w:val="24"/>
          <w:lang w:eastAsia="zh-CN"/>
        </w:rPr>
        <w:t>亿元；</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w:t>
      </w:r>
      <w:r>
        <w:rPr>
          <w:rFonts w:hint="eastAsia" w:ascii="Times New Roman" w:hAnsi="Times New Roman" w:cs="Times New Roman"/>
          <w:bCs/>
          <w:sz w:val="24"/>
          <w:lang w:eastAsia="zh-CN"/>
        </w:rPr>
        <w:t>20</w:t>
      </w:r>
      <w:r>
        <w:rPr>
          <w:rFonts w:ascii="Times New Roman" w:hAnsi="Times New Roman" w:cs="Times New Roman"/>
          <w:bCs/>
          <w:sz w:val="24"/>
          <w:lang w:eastAsia="zh-CN"/>
        </w:rPr>
        <w:t>）法律法规及中国证监会规定的和《基金合同》约定的其他投资限制。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除上述第（</w:t>
      </w:r>
      <w:r>
        <w:rPr>
          <w:rFonts w:hint="eastAsia" w:ascii="Times New Roman" w:hAnsi="Times New Roman" w:cs="Times New Roman"/>
          <w:bCs/>
          <w:sz w:val="24"/>
          <w:lang w:eastAsia="zh-CN"/>
        </w:rPr>
        <w:t>3</w:t>
      </w:r>
      <w:r>
        <w:rPr>
          <w:rFonts w:ascii="Times New Roman" w:hAnsi="Times New Roman" w:cs="Times New Roman"/>
          <w:bCs/>
          <w:sz w:val="24"/>
          <w:lang w:eastAsia="zh-CN"/>
        </w:rPr>
        <w:t>）、（</w:t>
      </w:r>
      <w:r>
        <w:rPr>
          <w:rFonts w:hint="eastAsia" w:ascii="Times New Roman" w:hAnsi="Times New Roman" w:cs="Times New Roman"/>
          <w:bCs/>
          <w:sz w:val="24"/>
          <w:lang w:eastAsia="zh-CN"/>
        </w:rPr>
        <w:t>12</w:t>
      </w:r>
      <w:r>
        <w:rPr>
          <w:rFonts w:ascii="Times New Roman" w:hAnsi="Times New Roman" w:cs="Times New Roman"/>
          <w:bCs/>
          <w:sz w:val="24"/>
          <w:lang w:eastAsia="zh-CN"/>
        </w:rPr>
        <w:t>）、（</w:t>
      </w:r>
      <w:r>
        <w:rPr>
          <w:rFonts w:hint="eastAsia" w:ascii="Times New Roman" w:hAnsi="Times New Roman" w:cs="Times New Roman"/>
          <w:bCs/>
          <w:sz w:val="24"/>
          <w:lang w:eastAsia="zh-CN"/>
        </w:rPr>
        <w:t>13</w:t>
      </w:r>
      <w:r>
        <w:rPr>
          <w:rFonts w:ascii="Times New Roman" w:hAnsi="Times New Roman" w:cs="Times New Roman"/>
          <w:bCs/>
          <w:sz w:val="24"/>
          <w:lang w:eastAsia="zh-CN"/>
        </w:rPr>
        <w:t>）</w:t>
      </w:r>
      <w:r>
        <w:rPr>
          <w:rFonts w:hint="eastAsia" w:ascii="Times New Roman" w:hAnsi="Times New Roman" w:cs="Times New Roman"/>
          <w:bCs/>
          <w:sz w:val="24"/>
          <w:lang w:eastAsia="zh-CN"/>
        </w:rPr>
        <w:t>、（17）</w:t>
      </w:r>
      <w:r>
        <w:rPr>
          <w:rFonts w:ascii="Times New Roman" w:hAnsi="Times New Roman" w:cs="Times New Roman"/>
          <w:bCs/>
          <w:sz w:val="24"/>
          <w:lang w:eastAsia="zh-CN"/>
        </w:rPr>
        <w:t>项情形之外，因证券、期货市场波动、证券发行人合并、基金规模变动等基金管理人之外的因素致使基金投资比例不符合上述规定投资比例的，基金管理人应当在10个交易日内进行调整。因证券、期货市场波动、证券发行人合并、基金规模变动等基金管理人之外的因素致使基金投资比例不符合上述</w:t>
      </w:r>
      <w:r>
        <w:rPr>
          <w:rFonts w:hint="eastAsia" w:ascii="Times New Roman" w:hAnsi="Times New Roman" w:cs="Times New Roman"/>
          <w:bCs/>
          <w:sz w:val="24"/>
          <w:lang w:eastAsia="zh-CN"/>
        </w:rPr>
        <w:t>第（17）</w:t>
      </w:r>
      <w:r>
        <w:rPr>
          <w:rFonts w:ascii="Times New Roman" w:hAnsi="Times New Roman" w:cs="Times New Roman"/>
          <w:bCs/>
          <w:sz w:val="24"/>
          <w:lang w:eastAsia="zh-CN"/>
        </w:rPr>
        <w:t>规定投资比例的，基金管理人应当在</w:t>
      </w:r>
      <w:r>
        <w:rPr>
          <w:rFonts w:hint="eastAsia" w:ascii="Times New Roman" w:hAnsi="Times New Roman" w:cs="Times New Roman"/>
          <w:bCs/>
          <w:sz w:val="24"/>
          <w:lang w:eastAsia="zh-CN"/>
        </w:rPr>
        <w:t>被投资基金可交易或可赎回之日起2</w:t>
      </w:r>
      <w:r>
        <w:rPr>
          <w:rFonts w:ascii="Times New Roman" w:hAnsi="Times New Roman" w:cs="Times New Roman"/>
          <w:bCs/>
          <w:sz w:val="24"/>
          <w:lang w:eastAsia="zh-CN"/>
        </w:rPr>
        <w:t>0个交易日内进行调整。但中国证监会规定的特殊情形除外。</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法律法规或监管部门取消或变更上述限制，如适用于本基金，基金管理人在履行适当程序后，则本基金投资不再受相关限制或以变更后的规定为准。</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2、禁止行为</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为维护基金份额持有人的合法权益，基金财产不得用于下列投资或者活动：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（1）承销证券；</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（2）违反规定向他人贷款或者提供担保；</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（3）从事承担无限责任的投资；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（4）向其基金管理人、基金托管人出资；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（5）从事内幕交易、操纵证券交易价格及其他不正当的证券交易活动；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w:t>
      </w:r>
      <w:r>
        <w:rPr>
          <w:rFonts w:ascii="Times New Roman" w:hAnsi="Times New Roman" w:cs="Times New Roman"/>
          <w:color w:val="000000"/>
          <w:sz w:val="24"/>
          <w:lang w:eastAsia="zh-CN"/>
        </w:rPr>
        <w:t>法律、行政法规和</w:t>
      </w:r>
      <w:r>
        <w:rPr>
          <w:rFonts w:ascii="Times New Roman" w:hAnsi="Times New Roman" w:cs="Times New Roman"/>
          <w:bCs/>
          <w:sz w:val="24"/>
          <w:lang w:eastAsia="zh-CN"/>
        </w:rPr>
        <w:t>中国证监会规定禁止的其他活动。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本基金投资基金管理人、基金托管人及其关联方管理或托管的基金的情况，不属于前述重大关联交易，但是应当按照法律法规或监管规定的要求履行信息披露义务。</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法律、行政法规或监管部门取消或变更上述规定，如适用于本基金，基金管理人在履行适当程序后，则本基金投资不再受相关限制或以变更后的规定为准。</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2"/>
        <w:rPr>
          <w:rFonts w:ascii="Times New Roman" w:hAnsi="Times New Roman" w:cs="Times New Roman"/>
          <w:bCs/>
          <w:sz w:val="24"/>
          <w:lang w:eastAsia="zh-CN"/>
        </w:rPr>
      </w:pPr>
      <w:r>
        <w:rPr>
          <w:rFonts w:ascii="Times New Roman" w:hAnsi="Times New Roman" w:cs="Times New Roman"/>
          <w:b/>
          <w:bCs/>
          <w:sz w:val="24"/>
          <w:lang w:eastAsia="zh-CN"/>
        </w:rPr>
        <w:t>第六节  基金净值信息的计算方法和公告方式</w:t>
      </w: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0"/>
        <w:rPr>
          <w:rFonts w:ascii="Times New Roman" w:hAnsi="Times New Roman" w:cs="Times New Roman"/>
          <w:bCs/>
          <w:sz w:val="24"/>
          <w:lang w:eastAsia="zh-CN"/>
        </w:rPr>
      </w:pPr>
      <w:bookmarkStart w:id="524" w:name="_Hlk105760060"/>
      <w:r>
        <w:rPr>
          <w:rFonts w:ascii="Times New Roman" w:hAnsi="Times New Roman" w:cs="Times New Roman"/>
          <w:bCs/>
          <w:sz w:val="24"/>
          <w:lang w:eastAsia="zh-CN"/>
        </w:rPr>
        <w:t>一、计算方法</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各类基金份额净值是按照每个估值日闭市后，各类基金资产净值除以当日该类基金份额的余额数量计算，均精确到</w:t>
      </w:r>
      <w:r>
        <w:rPr>
          <w:rFonts w:ascii="Times New Roman" w:hAnsi="Times New Roman" w:cs="Times New Roman"/>
          <w:bCs/>
          <w:sz w:val="24"/>
          <w:lang w:eastAsia="zh-CN"/>
        </w:rPr>
        <w:t>0.0001</w:t>
      </w:r>
      <w:r>
        <w:rPr>
          <w:rFonts w:hint="eastAsia" w:ascii="Times New Roman" w:hAnsi="Times New Roman" w:cs="Times New Roman"/>
          <w:bCs/>
          <w:sz w:val="24"/>
          <w:lang w:eastAsia="zh-CN"/>
        </w:rPr>
        <w:t>元，小数点后第</w:t>
      </w:r>
      <w:r>
        <w:rPr>
          <w:rFonts w:ascii="Times New Roman" w:hAnsi="Times New Roman" w:cs="Times New Roman"/>
          <w:bCs/>
          <w:sz w:val="24"/>
          <w:lang w:eastAsia="zh-CN"/>
        </w:rPr>
        <w:t>5</w:t>
      </w:r>
      <w:r>
        <w:rPr>
          <w:rFonts w:hint="eastAsia" w:ascii="Times New Roman" w:hAnsi="Times New Roman" w:cs="Times New Roman"/>
          <w:bCs/>
          <w:sz w:val="24"/>
          <w:lang w:eastAsia="zh-CN"/>
        </w:rPr>
        <w:t>位四舍五入。基金管理人可以设立大额赎回情形下的净值精度应急调整机制。国家另有规定的，从其规定。</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二、公告方式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《基金合同》生效后，在开始办理基金份额申购或者赎回前，基金管理人应当至少每周在规定网站披露一次各类基金份额净值和基金份额累计净值。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在开始办理基金份额申购或者赎回后，基金管理人应当在不晚于每个开放日的次日，通过规定网站、基金销售机构网站或营业网点披露开放日的各类基金份额净值和基金份额累计净值。</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基金管理人应在不晚于半年度和年度最后一日的次日，在规定网站披露半年度和年度最后一日的各类基金份额净值和基金份额累计净值。</w:t>
      </w:r>
      <w:bookmarkEnd w:id="524"/>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2"/>
        <w:rPr>
          <w:rFonts w:ascii="Times New Roman" w:hAnsi="Times New Roman" w:cs="Times New Roman"/>
          <w:sz w:val="24"/>
          <w:lang w:eastAsia="zh-CN"/>
        </w:rPr>
      </w:pPr>
      <w:r>
        <w:rPr>
          <w:rFonts w:ascii="Times New Roman" w:hAnsi="Times New Roman" w:cs="Times New Roman"/>
          <w:b/>
          <w:bCs/>
          <w:sz w:val="24"/>
          <w:lang w:eastAsia="zh-CN"/>
        </w:rPr>
        <w:t>第七节  基金合同解除和终止的事由、程序以及基金财产清算方式</w:t>
      </w: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一、《基金合同》的变更</w:t>
      </w:r>
    </w:p>
    <w:p>
      <w:pPr>
        <w:snapToGrid w:val="0"/>
        <w:spacing w:after="0" w:line="360" w:lineRule="auto"/>
        <w:ind w:firstLine="480"/>
        <w:jc w:val="left"/>
        <w:rPr>
          <w:rFonts w:ascii="Times New Roman" w:hAnsi="Times New Roman" w:cs="Times New Roman"/>
          <w:bCs/>
          <w:sz w:val="24"/>
          <w:lang w:eastAsia="zh-CN"/>
        </w:rPr>
      </w:pPr>
      <w:r>
        <w:rPr>
          <w:rFonts w:ascii="Times New Roman" w:hAnsi="Times New Roman" w:cs="Times New Roman"/>
          <w:bCs/>
          <w:sz w:val="24"/>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2、关于《基金合同》变更的基金份额持有人大会决议须报中国证监会备案，并自表决通过之日起生效，决议生效后依照《信息披露办法》的有关规定在规定媒介公告。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二、《基金合同》的终止事由</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有下列情形之一的，经履行相关程序后，《基金合同》应当终止：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1、基金份额持有人大会决定终止的；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2、基金管理人、基金托管人职责终止，在6个月内没有新基金管理人、新基金托管人承接的；</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w:t>
      </w:r>
      <w:r>
        <w:rPr>
          <w:rFonts w:hint="eastAsia" w:ascii="Times New Roman" w:hAnsi="Times New Roman" w:cs="Times New Roman"/>
          <w:bCs/>
          <w:sz w:val="24"/>
          <w:lang w:eastAsia="zh-CN"/>
        </w:rPr>
        <w:t>《基金合同》</w:t>
      </w:r>
      <w:r>
        <w:rPr>
          <w:rFonts w:ascii="Times New Roman" w:hAnsi="Times New Roman" w:cs="Times New Roman"/>
          <w:bCs/>
          <w:sz w:val="24"/>
          <w:lang w:eastAsia="zh-CN"/>
        </w:rPr>
        <w:t>约定的其他情形；</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4、相关法律法规和中国证监会规定的其他情况。</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三、基金财产的清算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1、基金财产清算小组：自出现《基金合同》终止事由之日起30个工作日内成立基金财产清算小组，基金管理人组织基金财产清算小组并在中国证监会的监督下进行基金清算。</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3、基金财产清算小组职责：基金财产清算小组负责基金财产的保管、清理、估价、变现和分配。基金财产清算小组可以依法进行必要的民事活动。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4、基金财产清算程序：</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（1）《基金合同》终止情形出现时，由基金财产清算小组统一接管基金</w:t>
      </w:r>
      <w:r>
        <w:rPr>
          <w:rFonts w:hint="eastAsia" w:ascii="Times New Roman" w:hAnsi="Times New Roman" w:cs="Times New Roman"/>
          <w:bCs/>
          <w:sz w:val="24"/>
          <w:lang w:eastAsia="zh-CN"/>
        </w:rPr>
        <w:t>财产</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（2）对基金财产和债权债务进行清理和确认；</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（3）对基金财产进行估值和变现；</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（4）制作清算报告；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（5）聘请会计师事务所对清算报告进行外部审计，聘请律师事务所对清算报告出具法律意见书；</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（6）将清算报告报中国证监会备案并公告；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（7）对基金剩余财产进行分配。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5、基金财产清算的期限为6个月，但因本基金所持证券、基金的流动性受到限制而不能及时变现的，清算期限相应顺延。</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四、清算费用</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清算费用是指基金财产清算小组在进行基金清算过程中发生的所有合理费用，清算费用由基金财产清算小组优先从基金</w:t>
      </w:r>
      <w:r>
        <w:rPr>
          <w:rFonts w:hint="eastAsia" w:ascii="Times New Roman" w:hAnsi="Times New Roman" w:cs="Times New Roman"/>
          <w:bCs/>
          <w:sz w:val="24"/>
          <w:lang w:eastAsia="zh-CN"/>
        </w:rPr>
        <w:t>剩余</w:t>
      </w:r>
      <w:r>
        <w:rPr>
          <w:rFonts w:ascii="Times New Roman" w:hAnsi="Times New Roman" w:cs="Times New Roman"/>
          <w:bCs/>
          <w:sz w:val="24"/>
          <w:lang w:eastAsia="zh-CN"/>
        </w:rPr>
        <w:t>财产中支付。</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五、基金财产清算剩余资产的分配</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依据基金财产清算的分配方案，将基金财产清算后的全部剩余资产扣除基金财产清算费用、交纳所欠税款并清偿基金债务后，按基金份额持有人持有的各类基金份额比例进行分配。</w:t>
      </w:r>
    </w:p>
    <w:p>
      <w:pPr>
        <w:snapToGrid w:val="0"/>
        <w:spacing w:after="0" w:line="360" w:lineRule="auto"/>
        <w:ind w:firstLine="480"/>
        <w:rPr>
          <w:rFonts w:ascii="Times New Roman" w:hAnsi="Times New Roman" w:cs="Times New Roman"/>
          <w:bCs/>
          <w:sz w:val="24"/>
          <w:lang w:eastAsia="zh-CN"/>
        </w:rPr>
      </w:pPr>
      <w:r>
        <w:rPr>
          <w:rFonts w:hint="eastAsia" w:ascii="Times New Roman" w:hAnsi="Times New Roman" w:cs="Times New Roman"/>
          <w:bCs/>
          <w:sz w:val="24"/>
          <w:lang w:eastAsia="zh-CN"/>
        </w:rPr>
        <w:t>其中，对于投资者通过直销机构认购或申购的C类基金份额，计提的销售服务费（如有）将在基金合同终止时随剩余资产分配款项一并返还给投资者，对于投资者通过其他销售机构认购或申购且持续持有期限超过一年的C类基金份额，超过一年继续计提的销售服务费（如有）将在基金合同终止时随剩余资产分配款项一并返还给投资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六、基金财产清算的公告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清算过程中的有关重大事项须及时公告；基金财产清算报告经过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七、基金财产清算账册及文件的保存</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基金财产清算账册及有关文件由基金托管人</w:t>
      </w:r>
      <w:r>
        <w:rPr>
          <w:rFonts w:hint="eastAsia" w:ascii="Times New Roman" w:hAnsi="Times New Roman" w:cs="Times New Roman"/>
          <w:bCs/>
          <w:sz w:val="24"/>
          <w:lang w:eastAsia="zh-CN"/>
        </w:rPr>
        <w:t>保存，保存期限按照法律法规的规定执行</w:t>
      </w:r>
      <w:r>
        <w:rPr>
          <w:rFonts w:ascii="Times New Roman" w:hAnsi="Times New Roman" w:cs="Times New Roman"/>
          <w:bCs/>
          <w:sz w:val="24"/>
          <w:lang w:eastAsia="zh-CN"/>
        </w:rPr>
        <w:t>。</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2"/>
        <w:rPr>
          <w:rFonts w:ascii="Times New Roman" w:hAnsi="Times New Roman" w:cs="Times New Roman"/>
          <w:b/>
          <w:bCs/>
          <w:sz w:val="24"/>
          <w:lang w:eastAsia="zh-CN"/>
        </w:rPr>
      </w:pPr>
      <w:r>
        <w:rPr>
          <w:rFonts w:ascii="Times New Roman" w:hAnsi="Times New Roman" w:cs="Times New Roman"/>
          <w:b/>
          <w:bCs/>
          <w:sz w:val="24"/>
          <w:lang w:eastAsia="zh-CN"/>
        </w:rPr>
        <w:t>第八节  争议解决方式</w:t>
      </w: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各方当事人同意，因《基金合同》而产生的或与《基金合同》有关的一切争议，如经友好协商、调解未能解决的，任何一方</w:t>
      </w:r>
      <w:r>
        <w:rPr>
          <w:rFonts w:hint="eastAsia" w:ascii="Times New Roman" w:hAnsi="Times New Roman" w:cs="Times New Roman"/>
          <w:bCs/>
          <w:sz w:val="24"/>
          <w:lang w:eastAsia="zh-CN"/>
        </w:rPr>
        <w:t>均有权</w:t>
      </w:r>
      <w:r>
        <w:rPr>
          <w:rFonts w:ascii="Times New Roman" w:hAnsi="Times New Roman" w:cs="Times New Roman"/>
          <w:bCs/>
          <w:sz w:val="24"/>
          <w:lang w:eastAsia="zh-CN"/>
        </w:rPr>
        <w:t>将争议提交</w:t>
      </w:r>
      <w:r>
        <w:rPr>
          <w:rFonts w:hint="eastAsia" w:ascii="Times New Roman" w:hAnsi="Times New Roman" w:cs="Times New Roman"/>
          <w:bCs/>
          <w:sz w:val="24"/>
          <w:lang w:eastAsia="zh-CN"/>
        </w:rPr>
        <w:t>中国国际经济贸易仲裁委员会</w:t>
      </w:r>
      <w:r>
        <w:rPr>
          <w:rFonts w:ascii="Times New Roman" w:hAnsi="Times New Roman" w:cs="Times New Roman"/>
          <w:bCs/>
          <w:sz w:val="24"/>
          <w:lang w:eastAsia="zh-CN"/>
        </w:rPr>
        <w:t>，根据其届时有效的仲裁规则进行仲裁。仲裁地点为</w:t>
      </w:r>
      <w:r>
        <w:rPr>
          <w:rFonts w:hint="eastAsia" w:ascii="Times New Roman" w:hAnsi="Times New Roman" w:cs="Times New Roman"/>
          <w:bCs/>
          <w:sz w:val="24"/>
          <w:lang w:eastAsia="zh-CN"/>
        </w:rPr>
        <w:t>北京</w:t>
      </w:r>
      <w:r>
        <w:rPr>
          <w:rFonts w:ascii="Times New Roman" w:hAnsi="Times New Roman" w:cs="Times New Roman"/>
          <w:bCs/>
          <w:sz w:val="24"/>
          <w:lang w:eastAsia="zh-CN"/>
        </w:rPr>
        <w:t>市，仲裁裁决是终局的，对当事人均有约束力。除非仲裁裁决另有决定，仲裁费用由败诉方承担。</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争议处理期间，基金合同当事人应恪守各自的职责，继续忠实、勤勉、尽责地履行基金合同规定的义务，维护基金份额持有人的合法权益。</w:t>
      </w:r>
    </w:p>
    <w:p>
      <w:pPr>
        <w:snapToGrid w:val="0"/>
        <w:spacing w:after="0" w:line="360" w:lineRule="auto"/>
        <w:ind w:firstLine="480"/>
        <w:rPr>
          <w:rFonts w:ascii="Times New Roman" w:hAnsi="Times New Roman" w:cs="Times New Roman"/>
          <w:bCs/>
          <w:sz w:val="24"/>
          <w:lang w:eastAsia="zh-CN"/>
        </w:rPr>
      </w:pPr>
      <w:r>
        <w:rPr>
          <w:rFonts w:ascii="Times New Roman" w:hAnsi="Times New Roman" w:cs="Times New Roman"/>
          <w:bCs/>
          <w:sz w:val="24"/>
          <w:lang w:eastAsia="zh-CN"/>
        </w:rPr>
        <w:t>《基金合同》受中国法律（为本基金基金合同之目的，不包括香港特别行政区、澳门特别行政区和台湾地区法律）管辖并从其解释。</w:t>
      </w:r>
    </w:p>
    <w:p>
      <w:pPr>
        <w:snapToGrid w:val="0"/>
        <w:spacing w:after="0" w:line="360" w:lineRule="auto"/>
        <w:ind w:firstLine="480"/>
        <w:rPr>
          <w:rFonts w:ascii="Times New Roman" w:hAnsi="Times New Roman" w:cs="Times New Roman"/>
          <w:bCs/>
          <w:sz w:val="24"/>
          <w:lang w:eastAsia="zh-CN"/>
        </w:rPr>
      </w:pP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2"/>
        <w:rPr>
          <w:rFonts w:ascii="Times New Roman" w:hAnsi="Times New Roman" w:cs="Times New Roman"/>
          <w:b/>
          <w:bCs/>
          <w:sz w:val="24"/>
          <w:lang w:eastAsia="zh-CN"/>
        </w:rPr>
      </w:pPr>
      <w:r>
        <w:rPr>
          <w:rFonts w:ascii="Times New Roman" w:hAnsi="Times New Roman" w:cs="Times New Roman"/>
          <w:b/>
          <w:bCs/>
          <w:sz w:val="24"/>
          <w:lang w:eastAsia="zh-CN"/>
        </w:rPr>
        <w:t>第九节  基金合同存放地和投资人取得基金合同的方式</w:t>
      </w:r>
    </w:p>
    <w:p>
      <w:pPr>
        <w:snapToGrid w:val="0"/>
        <w:spacing w:after="0" w:line="360" w:lineRule="auto"/>
        <w:ind w:firstLine="480"/>
        <w:rPr>
          <w:rFonts w:ascii="Times New Roman" w:hAnsi="Times New Roman" w:cs="Times New Roman"/>
          <w:sz w:val="24"/>
          <w:lang w:eastAsia="zh-CN"/>
        </w:rPr>
      </w:pPr>
    </w:p>
    <w:p>
      <w:pPr>
        <w:snapToGrid w:val="0"/>
        <w:spacing w:after="0" w:line="360" w:lineRule="auto"/>
        <w:ind w:firstLine="480"/>
        <w:rPr>
          <w:rFonts w:ascii="Times New Roman" w:hAnsi="Times New Roman" w:cs="Times New Roman"/>
          <w:sz w:val="24"/>
          <w:lang w:eastAsia="zh-CN"/>
        </w:rPr>
      </w:pPr>
      <w:r>
        <w:rPr>
          <w:rFonts w:ascii="Times New Roman" w:hAnsi="Times New Roman" w:cs="Times New Roman"/>
          <w:sz w:val="24"/>
          <w:lang w:eastAsia="zh-CN"/>
        </w:rPr>
        <w:t>《基金合同》可印制成册，供投资者在基金管理人、基金托管人、销售机构的办公场所</w:t>
      </w:r>
      <w:bookmarkEnd w:id="522"/>
      <w:r>
        <w:rPr>
          <w:rFonts w:ascii="Times New Roman" w:hAnsi="Times New Roman" w:cs="Times New Roman"/>
          <w:bCs/>
          <w:sz w:val="24"/>
          <w:lang w:eastAsia="zh-CN"/>
        </w:rPr>
        <w:t>和营业场所查阅。</w:t>
      </w:r>
    </w:p>
    <w:bookmarkEnd w:id="523"/>
    <w:p>
      <w:pPr>
        <w:snapToGrid w:val="0"/>
        <w:spacing w:line="360" w:lineRule="auto"/>
        <w:ind w:right="26"/>
        <w:rPr>
          <w:rFonts w:hint="eastAsia" w:ascii="宋体" w:hAnsi="宋体"/>
          <w:sz w:val="24"/>
          <w:lang w:eastAsia="zh-CN"/>
        </w:rPr>
        <w:sectPr>
          <w:headerReference r:id="rId12" w:type="default"/>
          <w:footerReference r:id="rId13" w:type="default"/>
          <w:pgSz w:w="11906" w:h="16838"/>
          <w:pgMar w:top="1440" w:right="1800" w:bottom="1440" w:left="1800" w:header="851" w:footer="992" w:gutter="0"/>
          <w:cols w:space="720" w:num="1"/>
          <w:docGrid w:type="lines" w:linePitch="312" w:charSpace="0"/>
        </w:sectPr>
      </w:pPr>
    </w:p>
    <w:p>
      <w:pPr>
        <w:snapToGrid w:val="0"/>
        <w:spacing w:line="360" w:lineRule="auto"/>
        <w:ind w:right="26"/>
        <w:rPr>
          <w:rFonts w:ascii="宋体" w:hAnsi="宋体"/>
          <w:sz w:val="24"/>
          <w:lang w:eastAsia="zh-CN"/>
        </w:rPr>
      </w:pPr>
      <w:r>
        <w:rPr>
          <w:rFonts w:hint="eastAsia" w:ascii="宋体" w:hAnsi="宋体"/>
          <w:sz w:val="24"/>
          <w:lang w:eastAsia="zh-CN"/>
        </w:rPr>
        <w:t>（本页为《华安沣利债券型证券投资基金基金合同》签署页，无正文）</w:t>
      </w:r>
    </w:p>
    <w:p>
      <w:pPr>
        <w:snapToGrid w:val="0"/>
        <w:spacing w:line="360" w:lineRule="auto"/>
        <w:rPr>
          <w:rFonts w:ascii="宋体" w:hAnsi="宋体"/>
          <w:sz w:val="24"/>
          <w:lang w:eastAsia="zh-CN"/>
        </w:rPr>
      </w:pPr>
    </w:p>
    <w:p>
      <w:pPr>
        <w:snapToGrid w:val="0"/>
        <w:spacing w:line="360" w:lineRule="auto"/>
        <w:ind w:right="26"/>
        <w:rPr>
          <w:rFonts w:ascii="宋体" w:hAnsi="宋体"/>
          <w:sz w:val="24"/>
          <w:lang w:eastAsia="zh-CN"/>
        </w:rPr>
      </w:pPr>
      <w:r>
        <w:rPr>
          <w:rFonts w:hint="eastAsia" w:ascii="宋体" w:hAnsi="宋体"/>
          <w:sz w:val="24"/>
          <w:lang w:eastAsia="zh-CN"/>
        </w:rPr>
        <w:t>基金管理人：华安基金管理有限公司（盖章）</w:t>
      </w:r>
    </w:p>
    <w:p>
      <w:pPr>
        <w:snapToGrid w:val="0"/>
        <w:spacing w:line="360" w:lineRule="auto"/>
        <w:ind w:right="26"/>
        <w:rPr>
          <w:rFonts w:ascii="宋体" w:hAnsi="宋体"/>
          <w:sz w:val="24"/>
          <w:lang w:eastAsia="zh-CN"/>
        </w:rPr>
      </w:pPr>
    </w:p>
    <w:p>
      <w:pPr>
        <w:snapToGrid w:val="0"/>
        <w:spacing w:line="360" w:lineRule="auto"/>
        <w:ind w:right="26"/>
        <w:rPr>
          <w:rFonts w:ascii="宋体" w:hAnsi="宋体"/>
          <w:sz w:val="24"/>
          <w:lang w:eastAsia="zh-CN"/>
        </w:rPr>
      </w:pPr>
    </w:p>
    <w:p>
      <w:pPr>
        <w:snapToGrid w:val="0"/>
        <w:spacing w:line="360" w:lineRule="auto"/>
        <w:ind w:right="26"/>
        <w:rPr>
          <w:rFonts w:ascii="宋体" w:hAnsi="宋体"/>
          <w:sz w:val="24"/>
          <w:lang w:eastAsia="zh-CN"/>
        </w:rPr>
      </w:pPr>
      <w:r>
        <w:rPr>
          <w:rFonts w:hint="eastAsia" w:ascii="宋体" w:hAnsi="宋体"/>
          <w:sz w:val="24"/>
          <w:lang w:eastAsia="zh-CN"/>
        </w:rPr>
        <w:t xml:space="preserve">法定代表人或授权代表（签字或签章）：                   </w:t>
      </w:r>
    </w:p>
    <w:p>
      <w:pPr>
        <w:snapToGrid w:val="0"/>
        <w:spacing w:line="360" w:lineRule="auto"/>
        <w:ind w:right="26"/>
        <w:rPr>
          <w:rFonts w:ascii="宋体" w:hAnsi="宋体"/>
          <w:sz w:val="24"/>
          <w:lang w:eastAsia="zh-CN"/>
        </w:rPr>
      </w:pPr>
    </w:p>
    <w:p>
      <w:pPr>
        <w:snapToGrid w:val="0"/>
        <w:spacing w:line="360" w:lineRule="auto"/>
        <w:ind w:right="26"/>
        <w:rPr>
          <w:rFonts w:ascii="宋体" w:hAnsi="宋体"/>
          <w:sz w:val="24"/>
          <w:lang w:eastAsia="zh-CN"/>
        </w:rPr>
      </w:pPr>
    </w:p>
    <w:p>
      <w:pPr>
        <w:snapToGrid w:val="0"/>
        <w:spacing w:line="360" w:lineRule="auto"/>
        <w:ind w:right="26"/>
        <w:rPr>
          <w:rFonts w:ascii="宋体" w:hAnsi="宋体"/>
          <w:sz w:val="24"/>
          <w:lang w:eastAsia="zh-CN"/>
        </w:rPr>
      </w:pPr>
    </w:p>
    <w:p>
      <w:pPr>
        <w:snapToGrid w:val="0"/>
        <w:spacing w:line="360" w:lineRule="auto"/>
        <w:ind w:right="26"/>
        <w:rPr>
          <w:rFonts w:ascii="宋体" w:hAnsi="宋体"/>
          <w:sz w:val="24"/>
          <w:lang w:eastAsia="zh-CN"/>
        </w:rPr>
      </w:pPr>
    </w:p>
    <w:p>
      <w:pPr>
        <w:snapToGrid w:val="0"/>
        <w:spacing w:line="360" w:lineRule="auto"/>
        <w:ind w:right="26"/>
        <w:rPr>
          <w:rFonts w:ascii="宋体" w:hAnsi="宋体"/>
          <w:sz w:val="24"/>
          <w:lang w:eastAsia="zh-CN"/>
        </w:rPr>
      </w:pPr>
      <w:r>
        <w:rPr>
          <w:rFonts w:hint="eastAsia" w:ascii="宋体" w:hAnsi="宋体"/>
          <w:sz w:val="24"/>
          <w:lang w:eastAsia="zh-CN"/>
        </w:rPr>
        <w:t>基金托管人：中国建设银行股份有限公司（盖章）</w:t>
      </w:r>
    </w:p>
    <w:p>
      <w:pPr>
        <w:snapToGrid w:val="0"/>
        <w:spacing w:line="360" w:lineRule="auto"/>
        <w:ind w:right="26"/>
        <w:rPr>
          <w:rFonts w:ascii="宋体" w:hAnsi="宋体"/>
          <w:sz w:val="24"/>
          <w:lang w:eastAsia="zh-CN"/>
        </w:rPr>
      </w:pPr>
    </w:p>
    <w:p>
      <w:pPr>
        <w:snapToGrid w:val="0"/>
        <w:spacing w:line="360" w:lineRule="auto"/>
        <w:ind w:right="26"/>
        <w:rPr>
          <w:rFonts w:ascii="宋体" w:hAnsi="宋体"/>
          <w:sz w:val="24"/>
          <w:lang w:eastAsia="zh-CN"/>
        </w:rPr>
      </w:pPr>
    </w:p>
    <w:p>
      <w:pPr>
        <w:snapToGrid w:val="0"/>
        <w:spacing w:line="360" w:lineRule="auto"/>
        <w:ind w:right="26"/>
        <w:rPr>
          <w:rFonts w:ascii="宋体" w:hAnsi="宋体"/>
          <w:sz w:val="24"/>
          <w:lang w:eastAsia="zh-CN"/>
        </w:rPr>
      </w:pPr>
      <w:r>
        <w:rPr>
          <w:rFonts w:hint="eastAsia" w:ascii="宋体" w:hAnsi="宋体"/>
          <w:sz w:val="24"/>
          <w:lang w:eastAsia="zh-CN"/>
        </w:rPr>
        <w:t xml:space="preserve">法定代表人或授权代表（签字或签章）：                   </w:t>
      </w:r>
    </w:p>
    <w:p>
      <w:pPr>
        <w:snapToGrid w:val="0"/>
        <w:spacing w:line="360" w:lineRule="auto"/>
        <w:ind w:right="26"/>
        <w:rPr>
          <w:rFonts w:ascii="宋体" w:hAnsi="宋体"/>
          <w:b/>
          <w:sz w:val="24"/>
          <w:lang w:eastAsia="zh-CN"/>
        </w:rPr>
      </w:pPr>
    </w:p>
    <w:p>
      <w:pPr>
        <w:snapToGrid w:val="0"/>
        <w:spacing w:line="360" w:lineRule="auto"/>
        <w:ind w:right="26"/>
        <w:rPr>
          <w:rFonts w:ascii="宋体" w:hAnsi="宋体"/>
          <w:b/>
          <w:sz w:val="24"/>
          <w:lang w:eastAsia="zh-CN"/>
        </w:rPr>
      </w:pPr>
    </w:p>
    <w:p>
      <w:pPr>
        <w:snapToGrid w:val="0"/>
        <w:spacing w:line="360" w:lineRule="auto"/>
        <w:ind w:right="26"/>
        <w:rPr>
          <w:rFonts w:ascii="宋体" w:hAnsi="宋体"/>
          <w:b/>
          <w:sz w:val="24"/>
          <w:lang w:eastAsia="zh-CN"/>
        </w:rPr>
      </w:pPr>
    </w:p>
    <w:p>
      <w:pPr>
        <w:snapToGrid w:val="0"/>
        <w:spacing w:line="360" w:lineRule="auto"/>
        <w:ind w:right="26"/>
        <w:rPr>
          <w:rFonts w:ascii="宋体" w:hAnsi="宋体"/>
          <w:sz w:val="24"/>
          <w:lang w:eastAsia="zh-CN"/>
        </w:rPr>
      </w:pPr>
      <w:r>
        <w:rPr>
          <w:rFonts w:hint="eastAsia" w:ascii="宋体" w:hAnsi="宋体"/>
          <w:sz w:val="24"/>
          <w:lang w:eastAsia="zh-CN"/>
        </w:rPr>
        <w:t>签订地点：</w:t>
      </w:r>
      <w:r>
        <w:rPr>
          <w:rFonts w:ascii="宋体" w:hAnsi="宋体"/>
          <w:sz w:val="24"/>
          <w:lang w:eastAsia="zh-CN"/>
        </w:rPr>
        <w:t xml:space="preserve"> </w:t>
      </w:r>
      <w:r>
        <w:rPr>
          <w:rFonts w:hint="eastAsia" w:ascii="宋体" w:hAnsi="宋体"/>
          <w:sz w:val="24"/>
          <w:lang w:eastAsia="zh-CN"/>
        </w:rPr>
        <w:t>中国北京</w:t>
      </w:r>
    </w:p>
    <w:p>
      <w:pPr>
        <w:snapToGrid w:val="0"/>
        <w:spacing w:line="360" w:lineRule="auto"/>
        <w:ind w:right="26"/>
        <w:rPr>
          <w:lang w:eastAsia="zh-CN"/>
        </w:rPr>
      </w:pPr>
      <w:r>
        <w:rPr>
          <w:rFonts w:hint="eastAsia" w:ascii="宋体" w:hAnsi="宋体"/>
          <w:sz w:val="24"/>
          <w:lang w:eastAsia="zh-CN"/>
        </w:rPr>
        <w:t>签</w:t>
      </w:r>
      <w:r>
        <w:rPr>
          <w:rFonts w:ascii="宋体" w:hAnsi="宋体"/>
          <w:sz w:val="24"/>
          <w:lang w:eastAsia="zh-CN"/>
        </w:rPr>
        <w:t xml:space="preserve"> </w:t>
      </w:r>
      <w:r>
        <w:rPr>
          <w:rFonts w:hint="eastAsia" w:ascii="宋体" w:hAnsi="宋体"/>
          <w:sz w:val="24"/>
          <w:lang w:eastAsia="zh-CN"/>
        </w:rPr>
        <w:t>订</w:t>
      </w:r>
      <w:r>
        <w:rPr>
          <w:rFonts w:ascii="宋体" w:hAnsi="宋体"/>
          <w:sz w:val="24"/>
          <w:lang w:eastAsia="zh-CN"/>
        </w:rPr>
        <w:t xml:space="preserve"> </w:t>
      </w:r>
      <w:r>
        <w:rPr>
          <w:rFonts w:hint="eastAsia" w:ascii="宋体" w:hAnsi="宋体"/>
          <w:sz w:val="24"/>
          <w:lang w:eastAsia="zh-CN"/>
        </w:rPr>
        <w:t>日：</w:t>
      </w:r>
      <w:r>
        <w:rPr>
          <w:rFonts w:ascii="宋体" w:hAnsi="宋体"/>
          <w:sz w:val="24"/>
          <w:lang w:eastAsia="zh-CN"/>
        </w:rPr>
        <w:t xml:space="preserve">  年     </w:t>
      </w:r>
      <w:r>
        <w:rPr>
          <w:rFonts w:hint="eastAsia" w:ascii="宋体" w:hAnsi="宋体"/>
          <w:sz w:val="24"/>
          <w:lang w:eastAsia="zh-CN"/>
        </w:rPr>
        <w:t>月</w:t>
      </w:r>
      <w:r>
        <w:rPr>
          <w:rFonts w:ascii="宋体" w:hAnsi="宋体"/>
          <w:sz w:val="24"/>
          <w:lang w:eastAsia="zh-CN"/>
        </w:rPr>
        <w:t xml:space="preserve">    </w:t>
      </w:r>
      <w:r>
        <w:rPr>
          <w:rFonts w:hint="eastAsia" w:ascii="宋体" w:hAnsi="宋体"/>
          <w:sz w:val="24"/>
          <w:lang w:eastAsia="zh-CN"/>
        </w:rPr>
        <w:t>日</w:t>
      </w:r>
    </w:p>
    <w:bookmarkEnd w:id="0"/>
    <w:bookmarkEnd w:id="1"/>
    <w:p>
      <w:pPr>
        <w:snapToGrid w:val="0"/>
        <w:spacing w:after="0" w:line="360" w:lineRule="auto"/>
        <w:rPr>
          <w:rFonts w:ascii="Times New Roman" w:hAnsi="Times New Roman" w:cs="Times New Roman"/>
          <w:sz w:val="24"/>
          <w:lang w:eastAsia="zh-CN"/>
        </w:rPr>
      </w:pPr>
    </w:p>
    <w:sectPr>
      <w:footerReference r:id="rId14"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pPr>
  </w:p>
  <w:p>
    <w:pPr>
      <w:pStyle w:val="25"/>
      <w:snapToGri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pPr>
  </w:p>
  <w:p>
    <w:pPr>
      <w:pStyle w:val="25"/>
      <w:snapToGrid/>
    </w:pPr>
  </w:p>
  <w:p>
    <w:pPr>
      <w:pStyle w:val="25"/>
      <w:snapToGr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72363319"/>
                          </w:sdtPr>
                          <w:sdtContent>
                            <w:p>
                              <w:pPr>
                                <w:pStyle w:val="25"/>
                                <w:snapToGrid/>
                                <w:jc w:val="center"/>
                              </w:pPr>
                              <w:r>
                                <w:fldChar w:fldCharType="begin"/>
                              </w:r>
                              <w:r>
                                <w:instrText xml:space="preserve">PAGE   \* MERGEFORMAT</w:instrText>
                              </w:r>
                              <w:r>
                                <w:fldChar w:fldCharType="separate"/>
                              </w:r>
                              <w:r>
                                <w:rPr>
                                  <w:lang w:val="zh-CN"/>
                                </w:rPr>
                                <w:t>58</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772363319"/>
                    </w:sdtPr>
                    <w:sdtContent>
                      <w:p>
                        <w:pPr>
                          <w:pStyle w:val="25"/>
                          <w:snapToGrid/>
                          <w:jc w:val="center"/>
                        </w:pPr>
                        <w:r>
                          <w:fldChar w:fldCharType="begin"/>
                        </w:r>
                        <w:r>
                          <w:instrText xml:space="preserve">PAGE   \* MERGEFORMAT</w:instrText>
                        </w:r>
                        <w:r>
                          <w:fldChar w:fldCharType="separate"/>
                        </w:r>
                        <w:r>
                          <w:rPr>
                            <w:lang w:val="zh-CN"/>
                          </w:rPr>
                          <w:t>58</w:t>
                        </w:r>
                        <w:r>
                          <w:fldChar w:fldCharType="end"/>
                        </w:r>
                      </w:p>
                    </w:sdtContent>
                  </w:sd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63</w:t>
                    </w:r>
                    <w:r>
                      <w:fldChar w:fldCharType="end"/>
                    </w:r>
                  </w:p>
                </w:txbxContent>
              </v:textbox>
            </v:shape>
          </w:pict>
        </mc:Fallback>
      </mc:AlternateContent>
    </w:r>
    <w:sdt>
      <w:sdtPr>
        <w:id w:val="1705527736"/>
        <w:showingPlcHdr/>
      </w:sdtPr>
      <w:sdtContent>
        <w:r>
          <w:t xml:space="preserve">     </w:t>
        </w:r>
      </w:sdtContent>
    </w:sdt>
  </w:p>
  <w:p>
    <w:pPr>
      <w:pStyle w:val="25"/>
      <w:snapToGrid/>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jc w:val="center"/>
    </w:pPr>
    <w:sdt>
      <w:sdtPr>
        <w:id w:val="1705527736"/>
        <w:showingPlcHdr/>
      </w:sdtPr>
      <w:sdtContent>
        <w:r>
          <w:t xml:space="preserve">     </w:t>
        </w:r>
      </w:sdtContent>
    </w:sdt>
  </w:p>
  <w:p>
    <w:pPr>
      <w:pStyle w:val="25"/>
      <w:snapToGri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24" w:space="10"/>
      </w:pBdr>
      <w:tabs>
        <w:tab w:val="right" w:pos="8280"/>
      </w:tabs>
      <w:snapToGrid/>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EF"/>
    <w:rsid w:val="00000D65"/>
    <w:rsid w:val="000159DB"/>
    <w:rsid w:val="000216E0"/>
    <w:rsid w:val="00035864"/>
    <w:rsid w:val="000366A5"/>
    <w:rsid w:val="00085032"/>
    <w:rsid w:val="00097702"/>
    <w:rsid w:val="000A2BA0"/>
    <w:rsid w:val="000A5BB6"/>
    <w:rsid w:val="000B5884"/>
    <w:rsid w:val="000D6180"/>
    <w:rsid w:val="00101DA3"/>
    <w:rsid w:val="0011335C"/>
    <w:rsid w:val="00130AA1"/>
    <w:rsid w:val="001326C6"/>
    <w:rsid w:val="001354C7"/>
    <w:rsid w:val="00145581"/>
    <w:rsid w:val="00160B52"/>
    <w:rsid w:val="00193DCC"/>
    <w:rsid w:val="001B3090"/>
    <w:rsid w:val="001C1C70"/>
    <w:rsid w:val="001C47D9"/>
    <w:rsid w:val="001D6F8A"/>
    <w:rsid w:val="001E2FBA"/>
    <w:rsid w:val="001E39C0"/>
    <w:rsid w:val="001F146E"/>
    <w:rsid w:val="001F2E52"/>
    <w:rsid w:val="002033FB"/>
    <w:rsid w:val="002157EA"/>
    <w:rsid w:val="0022743B"/>
    <w:rsid w:val="002469D0"/>
    <w:rsid w:val="00254022"/>
    <w:rsid w:val="00280BA6"/>
    <w:rsid w:val="00284429"/>
    <w:rsid w:val="002A2AE5"/>
    <w:rsid w:val="002C16C6"/>
    <w:rsid w:val="002C56AA"/>
    <w:rsid w:val="002F4A0E"/>
    <w:rsid w:val="003230B6"/>
    <w:rsid w:val="00335D1D"/>
    <w:rsid w:val="00397CF6"/>
    <w:rsid w:val="003A3A6E"/>
    <w:rsid w:val="003D4137"/>
    <w:rsid w:val="003E1741"/>
    <w:rsid w:val="003F7D9A"/>
    <w:rsid w:val="00420B4A"/>
    <w:rsid w:val="00434000"/>
    <w:rsid w:val="00462F2C"/>
    <w:rsid w:val="00465CC7"/>
    <w:rsid w:val="00476834"/>
    <w:rsid w:val="00476D73"/>
    <w:rsid w:val="004A75D0"/>
    <w:rsid w:val="004B104C"/>
    <w:rsid w:val="004F67DA"/>
    <w:rsid w:val="005105C7"/>
    <w:rsid w:val="005418CD"/>
    <w:rsid w:val="00541EE8"/>
    <w:rsid w:val="005513EA"/>
    <w:rsid w:val="005713F2"/>
    <w:rsid w:val="005716F1"/>
    <w:rsid w:val="00573999"/>
    <w:rsid w:val="005860CA"/>
    <w:rsid w:val="005A77BF"/>
    <w:rsid w:val="005D0EAE"/>
    <w:rsid w:val="005E2AF9"/>
    <w:rsid w:val="00614FC5"/>
    <w:rsid w:val="0065129C"/>
    <w:rsid w:val="006512B4"/>
    <w:rsid w:val="00656DDB"/>
    <w:rsid w:val="00660498"/>
    <w:rsid w:val="006627D3"/>
    <w:rsid w:val="00673285"/>
    <w:rsid w:val="00691A2F"/>
    <w:rsid w:val="00693371"/>
    <w:rsid w:val="006937E4"/>
    <w:rsid w:val="006C5295"/>
    <w:rsid w:val="006D092F"/>
    <w:rsid w:val="006D2E45"/>
    <w:rsid w:val="006E0552"/>
    <w:rsid w:val="006E3D61"/>
    <w:rsid w:val="006E5AA0"/>
    <w:rsid w:val="006E5B8C"/>
    <w:rsid w:val="006E7A3D"/>
    <w:rsid w:val="00705080"/>
    <w:rsid w:val="00732141"/>
    <w:rsid w:val="0073496A"/>
    <w:rsid w:val="007468E5"/>
    <w:rsid w:val="00755819"/>
    <w:rsid w:val="00763AE0"/>
    <w:rsid w:val="00766A69"/>
    <w:rsid w:val="007852F5"/>
    <w:rsid w:val="00785315"/>
    <w:rsid w:val="00792FC0"/>
    <w:rsid w:val="007C7731"/>
    <w:rsid w:val="007E1F61"/>
    <w:rsid w:val="007E2C46"/>
    <w:rsid w:val="007E3632"/>
    <w:rsid w:val="00836404"/>
    <w:rsid w:val="00841F24"/>
    <w:rsid w:val="008770AF"/>
    <w:rsid w:val="00881C93"/>
    <w:rsid w:val="00891C87"/>
    <w:rsid w:val="00895933"/>
    <w:rsid w:val="00896214"/>
    <w:rsid w:val="008A2D96"/>
    <w:rsid w:val="008A2DA4"/>
    <w:rsid w:val="008D5538"/>
    <w:rsid w:val="008E649D"/>
    <w:rsid w:val="008F452B"/>
    <w:rsid w:val="009056B2"/>
    <w:rsid w:val="00937E9E"/>
    <w:rsid w:val="00950B31"/>
    <w:rsid w:val="0099095F"/>
    <w:rsid w:val="0099391E"/>
    <w:rsid w:val="009A337D"/>
    <w:rsid w:val="009A62F2"/>
    <w:rsid w:val="009B2ADE"/>
    <w:rsid w:val="009B5619"/>
    <w:rsid w:val="009C5E34"/>
    <w:rsid w:val="009D0160"/>
    <w:rsid w:val="009E0639"/>
    <w:rsid w:val="009F10C1"/>
    <w:rsid w:val="00A30842"/>
    <w:rsid w:val="00A35E63"/>
    <w:rsid w:val="00A5117D"/>
    <w:rsid w:val="00A6694F"/>
    <w:rsid w:val="00A878BF"/>
    <w:rsid w:val="00A9106D"/>
    <w:rsid w:val="00AA4191"/>
    <w:rsid w:val="00AA7E6B"/>
    <w:rsid w:val="00AD20FE"/>
    <w:rsid w:val="00AD529F"/>
    <w:rsid w:val="00AD6CCA"/>
    <w:rsid w:val="00AE5399"/>
    <w:rsid w:val="00B253CE"/>
    <w:rsid w:val="00B3225D"/>
    <w:rsid w:val="00B614B9"/>
    <w:rsid w:val="00B62996"/>
    <w:rsid w:val="00BA45FF"/>
    <w:rsid w:val="00BA6D0D"/>
    <w:rsid w:val="00BB37CC"/>
    <w:rsid w:val="00BB7DE1"/>
    <w:rsid w:val="00BE282A"/>
    <w:rsid w:val="00C07308"/>
    <w:rsid w:val="00C23A54"/>
    <w:rsid w:val="00C33C83"/>
    <w:rsid w:val="00C44F1F"/>
    <w:rsid w:val="00C521F0"/>
    <w:rsid w:val="00C534AC"/>
    <w:rsid w:val="00C86BDB"/>
    <w:rsid w:val="00C903B5"/>
    <w:rsid w:val="00C9682E"/>
    <w:rsid w:val="00CB69E6"/>
    <w:rsid w:val="00CC6809"/>
    <w:rsid w:val="00CE361B"/>
    <w:rsid w:val="00CF629B"/>
    <w:rsid w:val="00D455D7"/>
    <w:rsid w:val="00D625A5"/>
    <w:rsid w:val="00D6651B"/>
    <w:rsid w:val="00D67D27"/>
    <w:rsid w:val="00D67F98"/>
    <w:rsid w:val="00D7457E"/>
    <w:rsid w:val="00D92BE0"/>
    <w:rsid w:val="00DB0033"/>
    <w:rsid w:val="00DB1A4B"/>
    <w:rsid w:val="00DC6FD5"/>
    <w:rsid w:val="00DD5D5E"/>
    <w:rsid w:val="00DD5F62"/>
    <w:rsid w:val="00DE20D5"/>
    <w:rsid w:val="00E174EE"/>
    <w:rsid w:val="00E34694"/>
    <w:rsid w:val="00E76D39"/>
    <w:rsid w:val="00E803E9"/>
    <w:rsid w:val="00E80F37"/>
    <w:rsid w:val="00EC3128"/>
    <w:rsid w:val="00EC592E"/>
    <w:rsid w:val="00F12B8B"/>
    <w:rsid w:val="00F21FD9"/>
    <w:rsid w:val="00F31430"/>
    <w:rsid w:val="00F35B7B"/>
    <w:rsid w:val="00F41DEF"/>
    <w:rsid w:val="00F57527"/>
    <w:rsid w:val="00F90739"/>
    <w:rsid w:val="00F978C6"/>
    <w:rsid w:val="00FA3806"/>
    <w:rsid w:val="00FA4289"/>
    <w:rsid w:val="00FC438C"/>
    <w:rsid w:val="00FE3A4C"/>
    <w:rsid w:val="01A24D88"/>
    <w:rsid w:val="030671D3"/>
    <w:rsid w:val="033A6D46"/>
    <w:rsid w:val="03745B2A"/>
    <w:rsid w:val="039D3C9B"/>
    <w:rsid w:val="0CDC40B8"/>
    <w:rsid w:val="0DE301E5"/>
    <w:rsid w:val="10A34A6C"/>
    <w:rsid w:val="11C234F3"/>
    <w:rsid w:val="139F70A3"/>
    <w:rsid w:val="13DF0D09"/>
    <w:rsid w:val="142C2E58"/>
    <w:rsid w:val="15274D76"/>
    <w:rsid w:val="17FD3304"/>
    <w:rsid w:val="1A1928E2"/>
    <w:rsid w:val="1A9578CE"/>
    <w:rsid w:val="1B0C41FA"/>
    <w:rsid w:val="1B66268D"/>
    <w:rsid w:val="1C142791"/>
    <w:rsid w:val="1D465639"/>
    <w:rsid w:val="1D492719"/>
    <w:rsid w:val="21DB6E0A"/>
    <w:rsid w:val="248F6622"/>
    <w:rsid w:val="25D45E8A"/>
    <w:rsid w:val="277A3B68"/>
    <w:rsid w:val="2A511AEE"/>
    <w:rsid w:val="2A6C3B3E"/>
    <w:rsid w:val="2A932366"/>
    <w:rsid w:val="2B2A09DC"/>
    <w:rsid w:val="2B495955"/>
    <w:rsid w:val="2B812AB7"/>
    <w:rsid w:val="2BBA7BCA"/>
    <w:rsid w:val="31464D18"/>
    <w:rsid w:val="31797244"/>
    <w:rsid w:val="34914DCA"/>
    <w:rsid w:val="3B6E37D7"/>
    <w:rsid w:val="3E495293"/>
    <w:rsid w:val="3E9A47EA"/>
    <w:rsid w:val="430A1EA5"/>
    <w:rsid w:val="44372257"/>
    <w:rsid w:val="447C3123"/>
    <w:rsid w:val="453A5729"/>
    <w:rsid w:val="4AA01E33"/>
    <w:rsid w:val="4DA34F8D"/>
    <w:rsid w:val="50FC6A15"/>
    <w:rsid w:val="5C2B264E"/>
    <w:rsid w:val="5EB86AF5"/>
    <w:rsid w:val="5F240FA2"/>
    <w:rsid w:val="62B13CC5"/>
    <w:rsid w:val="6364711E"/>
    <w:rsid w:val="63B13148"/>
    <w:rsid w:val="6565100B"/>
    <w:rsid w:val="65950ED3"/>
    <w:rsid w:val="67A62214"/>
    <w:rsid w:val="68112897"/>
    <w:rsid w:val="686027BA"/>
    <w:rsid w:val="69901F73"/>
    <w:rsid w:val="6A3E512D"/>
    <w:rsid w:val="6D165C6D"/>
    <w:rsid w:val="6ED76777"/>
    <w:rsid w:val="71834994"/>
    <w:rsid w:val="73771C95"/>
    <w:rsid w:val="75D501C9"/>
    <w:rsid w:val="75DE284A"/>
    <w:rsid w:val="781637A5"/>
    <w:rsid w:val="7C9A0F6B"/>
    <w:rsid w:val="7DC36AD5"/>
    <w:rsid w:val="7F633C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mbria" w:eastAsia="宋体" w:cs="Calibri"/>
      <w:sz w:val="21"/>
      <w:szCs w:val="22"/>
      <w:lang w:val="en-US" w:eastAsia="en-US" w:bidi="ar-SA"/>
    </w:rPr>
  </w:style>
  <w:style w:type="paragraph" w:styleId="2">
    <w:name w:val="heading 1"/>
    <w:basedOn w:val="1"/>
    <w:next w:val="1"/>
    <w:link w:val="82"/>
    <w:qFormat/>
    <w:uiPriority w:val="0"/>
    <w:pPr>
      <w:keepNext/>
      <w:keepLines/>
      <w:spacing w:before="120" w:after="120" w:line="360" w:lineRule="auto"/>
      <w:outlineLvl w:val="0"/>
    </w:pPr>
    <w:rPr>
      <w:rFonts w:ascii="宋体"/>
      <w:b/>
      <w:color w:val="000000"/>
      <w:sz w:val="24"/>
    </w:rPr>
  </w:style>
  <w:style w:type="paragraph" w:styleId="3">
    <w:name w:val="heading 2"/>
    <w:basedOn w:val="1"/>
    <w:next w:val="1"/>
    <w:link w:val="4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83"/>
    <w:qFormat/>
    <w:uiPriority w:val="0"/>
    <w:pPr>
      <w:keepNext/>
      <w:keepLines/>
      <w:spacing w:before="260" w:after="260" w:line="413" w:lineRule="auto"/>
      <w:outlineLvl w:val="2"/>
    </w:pPr>
    <w:rPr>
      <w:b/>
      <w:sz w:val="32"/>
    </w:rPr>
  </w:style>
  <w:style w:type="paragraph" w:styleId="5">
    <w:name w:val="heading 4"/>
    <w:basedOn w:val="1"/>
    <w:next w:val="1"/>
    <w:link w:val="84"/>
    <w:unhideWhenUsed/>
    <w:qFormat/>
    <w:uiPriority w:val="9"/>
    <w:pPr>
      <w:keepNext/>
      <w:keepLines/>
      <w:spacing w:before="320"/>
      <w:outlineLvl w:val="3"/>
    </w:pPr>
    <w:rPr>
      <w:rFonts w:ascii="Arial" w:hAnsi="Arial" w:cs="Arial"/>
      <w:b/>
      <w:bCs/>
      <w:sz w:val="26"/>
      <w:szCs w:val="26"/>
    </w:rPr>
  </w:style>
  <w:style w:type="paragraph" w:styleId="6">
    <w:name w:val="heading 5"/>
    <w:basedOn w:val="1"/>
    <w:next w:val="1"/>
    <w:link w:val="85"/>
    <w:unhideWhenUsed/>
    <w:qFormat/>
    <w:uiPriority w:val="9"/>
    <w:pPr>
      <w:keepNext/>
      <w:keepLines/>
      <w:spacing w:before="320"/>
      <w:outlineLvl w:val="4"/>
    </w:pPr>
    <w:rPr>
      <w:rFonts w:ascii="Arial" w:hAnsi="Arial" w:cs="Arial"/>
      <w:b/>
      <w:bCs/>
      <w:sz w:val="24"/>
      <w:szCs w:val="24"/>
    </w:rPr>
  </w:style>
  <w:style w:type="paragraph" w:styleId="7">
    <w:name w:val="heading 6"/>
    <w:basedOn w:val="1"/>
    <w:next w:val="1"/>
    <w:link w:val="86"/>
    <w:unhideWhenUsed/>
    <w:qFormat/>
    <w:uiPriority w:val="9"/>
    <w:pPr>
      <w:keepNext/>
      <w:keepLines/>
      <w:spacing w:before="320"/>
      <w:outlineLvl w:val="5"/>
    </w:pPr>
    <w:rPr>
      <w:rFonts w:ascii="Arial" w:hAnsi="Arial" w:cs="Arial"/>
      <w:b/>
      <w:bCs/>
      <w:sz w:val="22"/>
    </w:rPr>
  </w:style>
  <w:style w:type="paragraph" w:styleId="8">
    <w:name w:val="heading 7"/>
    <w:basedOn w:val="1"/>
    <w:next w:val="1"/>
    <w:link w:val="87"/>
    <w:unhideWhenUsed/>
    <w:qFormat/>
    <w:uiPriority w:val="9"/>
    <w:pPr>
      <w:keepNext/>
      <w:keepLines/>
      <w:spacing w:before="320"/>
      <w:outlineLvl w:val="6"/>
    </w:pPr>
    <w:rPr>
      <w:rFonts w:ascii="Arial" w:hAnsi="Arial" w:cs="Arial"/>
      <w:b/>
      <w:bCs/>
      <w:i/>
      <w:iCs/>
      <w:sz w:val="22"/>
    </w:rPr>
  </w:style>
  <w:style w:type="paragraph" w:styleId="9">
    <w:name w:val="heading 8"/>
    <w:basedOn w:val="1"/>
    <w:next w:val="1"/>
    <w:link w:val="88"/>
    <w:unhideWhenUsed/>
    <w:qFormat/>
    <w:uiPriority w:val="9"/>
    <w:pPr>
      <w:keepNext/>
      <w:keepLines/>
      <w:spacing w:before="320"/>
      <w:outlineLvl w:val="7"/>
    </w:pPr>
    <w:rPr>
      <w:rFonts w:ascii="Arial" w:hAnsi="Arial" w:cs="Arial"/>
      <w:i/>
      <w:iCs/>
      <w:sz w:val="22"/>
    </w:rPr>
  </w:style>
  <w:style w:type="paragraph" w:styleId="10">
    <w:name w:val="heading 9"/>
    <w:basedOn w:val="1"/>
    <w:next w:val="1"/>
    <w:link w:val="89"/>
    <w:unhideWhenUsed/>
    <w:qFormat/>
    <w:uiPriority w:val="9"/>
    <w:pPr>
      <w:keepNext/>
      <w:keepLines/>
      <w:spacing w:before="320"/>
      <w:outlineLvl w:val="8"/>
    </w:pPr>
    <w:rPr>
      <w:rFonts w:ascii="Arial" w:hAnsi="Arial" w:cs="Arial"/>
      <w:i/>
      <w:iCs/>
      <w:szCs w:val="21"/>
    </w:rPr>
  </w:style>
  <w:style w:type="character" w:default="1" w:styleId="41">
    <w:name w:val="Default Paragraph Font"/>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0"/>
    <w:pPr>
      <w:ind w:firstLine="420"/>
    </w:pPr>
  </w:style>
  <w:style w:type="paragraph" w:styleId="13">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14">
    <w:name w:val="Document Map"/>
    <w:basedOn w:val="1"/>
    <w:qFormat/>
    <w:uiPriority w:val="0"/>
    <w:pPr>
      <w:shd w:val="clear" w:color="000080" w:fill="000080"/>
    </w:pPr>
  </w:style>
  <w:style w:type="paragraph" w:styleId="15">
    <w:name w:val="annotation text"/>
    <w:basedOn w:val="1"/>
    <w:link w:val="248"/>
    <w:qFormat/>
    <w:uiPriority w:val="99"/>
    <w:pPr>
      <w:spacing w:after="0"/>
      <w:jc w:val="left"/>
    </w:pPr>
    <w:rPr>
      <w:rFonts w:ascii="Times New Roman" w:hAnsi="Times New Roman" w:cs="Times New Roman"/>
      <w:kern w:val="2"/>
      <w:szCs w:val="20"/>
      <w:lang w:eastAsia="zh-CN"/>
    </w:rPr>
  </w:style>
  <w:style w:type="paragraph" w:styleId="16">
    <w:name w:val="Body Text"/>
    <w:basedOn w:val="1"/>
    <w:link w:val="229"/>
    <w:qFormat/>
    <w:uiPriority w:val="0"/>
    <w:pPr>
      <w:spacing w:line="360" w:lineRule="auto"/>
      <w:jc w:val="left"/>
    </w:pPr>
    <w:rPr>
      <w:rFonts w:ascii="宋体"/>
      <w:sz w:val="20"/>
    </w:rPr>
  </w:style>
  <w:style w:type="paragraph" w:styleId="17">
    <w:name w:val="Body Text Indent"/>
    <w:basedOn w:val="1"/>
    <w:link w:val="259"/>
    <w:unhideWhenUsed/>
    <w:qFormat/>
    <w:uiPriority w:val="99"/>
    <w:pPr>
      <w:spacing w:after="120"/>
      <w:ind w:left="420"/>
    </w:pPr>
  </w:style>
  <w:style w:type="paragraph" w:styleId="18">
    <w:name w:val="toc 5"/>
    <w:basedOn w:val="1"/>
    <w:next w:val="1"/>
    <w:unhideWhenUsed/>
    <w:qFormat/>
    <w:uiPriority w:val="39"/>
    <w:pPr>
      <w:spacing w:after="57"/>
      <w:ind w:left="1134"/>
    </w:pPr>
  </w:style>
  <w:style w:type="paragraph" w:styleId="19">
    <w:name w:val="toc 3"/>
    <w:basedOn w:val="1"/>
    <w:next w:val="1"/>
    <w:qFormat/>
    <w:uiPriority w:val="0"/>
    <w:pPr>
      <w:ind w:left="840"/>
    </w:pPr>
  </w:style>
  <w:style w:type="paragraph" w:styleId="20">
    <w:name w:val="Plain Text"/>
    <w:basedOn w:val="1"/>
    <w:qFormat/>
    <w:uiPriority w:val="0"/>
    <w:pPr>
      <w:spacing w:line="312" w:lineRule="atLeast"/>
    </w:pPr>
    <w:rPr>
      <w:rFonts w:ascii="宋体" w:hAnsi="Courier New"/>
    </w:rPr>
  </w:style>
  <w:style w:type="paragraph" w:styleId="21">
    <w:name w:val="toc 8"/>
    <w:basedOn w:val="1"/>
    <w:next w:val="1"/>
    <w:unhideWhenUsed/>
    <w:qFormat/>
    <w:uiPriority w:val="39"/>
    <w:pPr>
      <w:spacing w:after="57"/>
      <w:ind w:left="1984"/>
    </w:pPr>
  </w:style>
  <w:style w:type="paragraph" w:styleId="22">
    <w:name w:val="Body Text Indent 2"/>
    <w:basedOn w:val="1"/>
    <w:qFormat/>
    <w:uiPriority w:val="0"/>
    <w:pPr>
      <w:spacing w:line="360" w:lineRule="auto"/>
      <w:ind w:firstLine="425"/>
    </w:pPr>
    <w:rPr>
      <w:rFonts w:ascii="仿宋_GB2312" w:eastAsia="仿宋_GB2312"/>
      <w:sz w:val="28"/>
    </w:rPr>
  </w:style>
  <w:style w:type="paragraph" w:styleId="23">
    <w:name w:val="endnote text"/>
    <w:basedOn w:val="1"/>
    <w:link w:val="227"/>
    <w:semiHidden/>
    <w:unhideWhenUsed/>
    <w:qFormat/>
    <w:uiPriority w:val="99"/>
    <w:pPr>
      <w:spacing w:after="0" w:line="240" w:lineRule="auto"/>
    </w:pPr>
    <w:rPr>
      <w:sz w:val="20"/>
    </w:rPr>
  </w:style>
  <w:style w:type="paragraph" w:styleId="24">
    <w:name w:val="Balloon Text"/>
    <w:basedOn w:val="1"/>
    <w:qFormat/>
    <w:uiPriority w:val="0"/>
    <w:rPr>
      <w:sz w:val="18"/>
    </w:rPr>
  </w:style>
  <w:style w:type="paragraph" w:styleId="25">
    <w:name w:val="footer"/>
    <w:basedOn w:val="1"/>
    <w:link w:val="256"/>
    <w:qFormat/>
    <w:uiPriority w:val="99"/>
    <w:pPr>
      <w:tabs>
        <w:tab w:val="center" w:pos="4153"/>
        <w:tab w:val="right" w:pos="8306"/>
      </w:tabs>
      <w:snapToGrid w:val="0"/>
      <w:jc w:val="left"/>
    </w:pPr>
    <w:rPr>
      <w:sz w:val="18"/>
    </w:rPr>
  </w:style>
  <w:style w:type="paragraph" w:styleId="26">
    <w:name w:val="header"/>
    <w:basedOn w:val="1"/>
    <w:link w:val="232"/>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39"/>
    <w:pPr>
      <w:tabs>
        <w:tab w:val="right" w:leader="dot" w:pos="8296"/>
      </w:tabs>
      <w:spacing w:line="360" w:lineRule="auto"/>
    </w:pPr>
  </w:style>
  <w:style w:type="paragraph" w:styleId="28">
    <w:name w:val="toc 4"/>
    <w:basedOn w:val="1"/>
    <w:next w:val="1"/>
    <w:unhideWhenUsed/>
    <w:qFormat/>
    <w:uiPriority w:val="39"/>
    <w:pPr>
      <w:spacing w:after="57"/>
      <w:ind w:left="850"/>
    </w:pPr>
  </w:style>
  <w:style w:type="paragraph" w:styleId="29">
    <w:name w:val="Subtitle"/>
    <w:basedOn w:val="1"/>
    <w:next w:val="1"/>
    <w:link w:val="93"/>
    <w:qFormat/>
    <w:uiPriority w:val="11"/>
    <w:pPr>
      <w:spacing w:before="200"/>
    </w:pPr>
    <w:rPr>
      <w:sz w:val="24"/>
      <w:szCs w:val="24"/>
    </w:rPr>
  </w:style>
  <w:style w:type="paragraph" w:styleId="30">
    <w:name w:val="footnote text"/>
    <w:basedOn w:val="1"/>
    <w:link w:val="226"/>
    <w:qFormat/>
    <w:uiPriority w:val="0"/>
    <w:pPr>
      <w:snapToGrid w:val="0"/>
      <w:jc w:val="left"/>
    </w:pPr>
    <w:rPr>
      <w:sz w:val="18"/>
    </w:rPr>
  </w:style>
  <w:style w:type="paragraph" w:styleId="31">
    <w:name w:val="toc 6"/>
    <w:basedOn w:val="1"/>
    <w:next w:val="1"/>
    <w:unhideWhenUsed/>
    <w:qFormat/>
    <w:uiPriority w:val="39"/>
    <w:pPr>
      <w:spacing w:after="57"/>
      <w:ind w:left="1417"/>
    </w:pPr>
  </w:style>
  <w:style w:type="paragraph" w:styleId="32">
    <w:name w:val="Body Text Indent 3"/>
    <w:basedOn w:val="1"/>
    <w:qFormat/>
    <w:uiPriority w:val="0"/>
    <w:pPr>
      <w:spacing w:line="360" w:lineRule="auto"/>
      <w:ind w:left="420" w:firstLine="435"/>
    </w:pPr>
    <w:rPr>
      <w:color w:val="0000FF"/>
    </w:rPr>
  </w:style>
  <w:style w:type="paragraph" w:styleId="33">
    <w:name w:val="table of figures"/>
    <w:basedOn w:val="1"/>
    <w:next w:val="1"/>
    <w:unhideWhenUsed/>
    <w:qFormat/>
    <w:uiPriority w:val="99"/>
    <w:pPr>
      <w:spacing w:after="0"/>
    </w:pPr>
  </w:style>
  <w:style w:type="paragraph" w:styleId="34">
    <w:name w:val="toc 2"/>
    <w:basedOn w:val="1"/>
    <w:next w:val="1"/>
    <w:unhideWhenUsed/>
    <w:qFormat/>
    <w:uiPriority w:val="39"/>
    <w:pPr>
      <w:spacing w:after="57"/>
      <w:ind w:left="283"/>
    </w:pPr>
  </w:style>
  <w:style w:type="paragraph" w:styleId="35">
    <w:name w:val="toc 9"/>
    <w:basedOn w:val="1"/>
    <w:next w:val="1"/>
    <w:unhideWhenUsed/>
    <w:qFormat/>
    <w:uiPriority w:val="39"/>
    <w:pPr>
      <w:spacing w:after="57"/>
      <w:ind w:left="2268"/>
    </w:pPr>
  </w:style>
  <w:style w:type="paragraph" w:styleId="36">
    <w:name w:val="Normal (Web)"/>
    <w:basedOn w:val="1"/>
    <w:semiHidden/>
    <w:unhideWhenUsed/>
    <w:qFormat/>
    <w:uiPriority w:val="99"/>
    <w:rPr>
      <w:sz w:val="24"/>
    </w:rPr>
  </w:style>
  <w:style w:type="paragraph" w:styleId="37">
    <w:name w:val="Title"/>
    <w:basedOn w:val="1"/>
    <w:next w:val="1"/>
    <w:link w:val="231"/>
    <w:qFormat/>
    <w:uiPriority w:val="0"/>
    <w:pPr>
      <w:spacing w:before="240" w:after="60"/>
      <w:jc w:val="center"/>
      <w:outlineLvl w:val="0"/>
    </w:pPr>
    <w:rPr>
      <w:rFonts w:ascii="Cambria"/>
      <w:b/>
      <w:sz w:val="32"/>
    </w:rPr>
  </w:style>
  <w:style w:type="paragraph" w:styleId="38">
    <w:name w:val="annotation subject"/>
    <w:basedOn w:val="15"/>
    <w:next w:val="15"/>
    <w:qFormat/>
    <w:uiPriority w:val="0"/>
    <w:rPr>
      <w:b/>
    </w:rPr>
  </w:style>
  <w:style w:type="table" w:styleId="40">
    <w:name w:val="Table Grid"/>
    <w:basedOn w:val="3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42">
    <w:name w:val="endnote reference"/>
    <w:basedOn w:val="41"/>
    <w:semiHidden/>
    <w:unhideWhenUsed/>
    <w:qFormat/>
    <w:uiPriority w:val="99"/>
    <w:rPr>
      <w:vertAlign w:val="superscript"/>
    </w:rPr>
  </w:style>
  <w:style w:type="character" w:styleId="43">
    <w:name w:val="page number"/>
    <w:basedOn w:val="41"/>
    <w:qFormat/>
    <w:uiPriority w:val="0"/>
  </w:style>
  <w:style w:type="character" w:styleId="44">
    <w:name w:val="Hyperlink"/>
    <w:basedOn w:val="41"/>
    <w:qFormat/>
    <w:uiPriority w:val="99"/>
    <w:rPr>
      <w:color w:val="0000FF"/>
      <w:u w:val="single"/>
    </w:rPr>
  </w:style>
  <w:style w:type="character" w:styleId="45">
    <w:name w:val="annotation reference"/>
    <w:basedOn w:val="41"/>
    <w:qFormat/>
    <w:uiPriority w:val="0"/>
    <w:rPr>
      <w:sz w:val="21"/>
    </w:rPr>
  </w:style>
  <w:style w:type="character" w:styleId="46">
    <w:name w:val="footnote reference"/>
    <w:qFormat/>
    <w:uiPriority w:val="0"/>
    <w:rPr>
      <w:vertAlign w:val="superscript"/>
    </w:rPr>
  </w:style>
  <w:style w:type="character" w:customStyle="1" w:styleId="47">
    <w:name w:val="标题 2 Char"/>
    <w:basedOn w:val="41"/>
    <w:link w:val="3"/>
    <w:qFormat/>
    <w:uiPriority w:val="9"/>
    <w:rPr>
      <w:rFonts w:ascii="Arial" w:hAnsi="Arial" w:cs="Arial"/>
      <w:sz w:val="34"/>
    </w:rPr>
  </w:style>
  <w:style w:type="character" w:customStyle="1" w:styleId="48">
    <w:name w:val="Heading 1 Char"/>
    <w:basedOn w:val="41"/>
    <w:qFormat/>
    <w:uiPriority w:val="9"/>
    <w:rPr>
      <w:rFonts w:ascii="Arial" w:hAnsi="Arial" w:eastAsia="Arial" w:cs="Arial"/>
      <w:sz w:val="40"/>
      <w:szCs w:val="40"/>
    </w:rPr>
  </w:style>
  <w:style w:type="character" w:customStyle="1" w:styleId="49">
    <w:name w:val="Heading 2 Char"/>
    <w:basedOn w:val="41"/>
    <w:qFormat/>
    <w:uiPriority w:val="9"/>
    <w:rPr>
      <w:rFonts w:ascii="Arial" w:hAnsi="Arial" w:eastAsia="Arial" w:cs="Arial"/>
      <w:sz w:val="34"/>
    </w:rPr>
  </w:style>
  <w:style w:type="character" w:customStyle="1" w:styleId="50">
    <w:name w:val="Heading 3 Char"/>
    <w:basedOn w:val="41"/>
    <w:qFormat/>
    <w:uiPriority w:val="9"/>
    <w:rPr>
      <w:rFonts w:ascii="Arial" w:hAnsi="Arial" w:eastAsia="Arial" w:cs="Arial"/>
      <w:sz w:val="30"/>
      <w:szCs w:val="30"/>
    </w:rPr>
  </w:style>
  <w:style w:type="character" w:customStyle="1" w:styleId="51">
    <w:name w:val="Heading 4 Char"/>
    <w:basedOn w:val="41"/>
    <w:qFormat/>
    <w:uiPriority w:val="9"/>
    <w:rPr>
      <w:rFonts w:ascii="Arial" w:hAnsi="Arial" w:eastAsia="Arial" w:cs="Arial"/>
      <w:b/>
      <w:bCs/>
      <w:sz w:val="26"/>
      <w:szCs w:val="26"/>
    </w:rPr>
  </w:style>
  <w:style w:type="character" w:customStyle="1" w:styleId="52">
    <w:name w:val="Heading 5 Char"/>
    <w:basedOn w:val="41"/>
    <w:qFormat/>
    <w:uiPriority w:val="9"/>
    <w:rPr>
      <w:rFonts w:ascii="Arial" w:hAnsi="Arial" w:eastAsia="Arial" w:cs="Arial"/>
      <w:b/>
      <w:bCs/>
      <w:sz w:val="24"/>
      <w:szCs w:val="24"/>
    </w:rPr>
  </w:style>
  <w:style w:type="character" w:customStyle="1" w:styleId="53">
    <w:name w:val="Heading 6 Char"/>
    <w:basedOn w:val="41"/>
    <w:qFormat/>
    <w:uiPriority w:val="9"/>
    <w:rPr>
      <w:rFonts w:ascii="Arial" w:hAnsi="Arial" w:eastAsia="Arial" w:cs="Arial"/>
      <w:b/>
      <w:bCs/>
      <w:sz w:val="22"/>
      <w:szCs w:val="22"/>
    </w:rPr>
  </w:style>
  <w:style w:type="character" w:customStyle="1" w:styleId="54">
    <w:name w:val="Heading 7 Char"/>
    <w:basedOn w:val="41"/>
    <w:qFormat/>
    <w:uiPriority w:val="9"/>
    <w:rPr>
      <w:rFonts w:ascii="Arial" w:hAnsi="Arial" w:eastAsia="Arial" w:cs="Arial"/>
      <w:b/>
      <w:bCs/>
      <w:i/>
      <w:iCs/>
      <w:sz w:val="22"/>
      <w:szCs w:val="22"/>
    </w:rPr>
  </w:style>
  <w:style w:type="character" w:customStyle="1" w:styleId="55">
    <w:name w:val="Heading 8 Char"/>
    <w:basedOn w:val="41"/>
    <w:qFormat/>
    <w:uiPriority w:val="9"/>
    <w:rPr>
      <w:rFonts w:ascii="Arial" w:hAnsi="Arial" w:eastAsia="Arial" w:cs="Arial"/>
      <w:i/>
      <w:iCs/>
      <w:sz w:val="22"/>
      <w:szCs w:val="22"/>
    </w:rPr>
  </w:style>
  <w:style w:type="character" w:customStyle="1" w:styleId="56">
    <w:name w:val="Heading 9 Char"/>
    <w:basedOn w:val="41"/>
    <w:qFormat/>
    <w:uiPriority w:val="9"/>
    <w:rPr>
      <w:rFonts w:ascii="Arial" w:hAnsi="Arial" w:eastAsia="Arial" w:cs="Arial"/>
      <w:i/>
      <w:iCs/>
      <w:sz w:val="21"/>
      <w:szCs w:val="21"/>
    </w:rPr>
  </w:style>
  <w:style w:type="character" w:customStyle="1" w:styleId="57">
    <w:name w:val="Subtitle Char"/>
    <w:basedOn w:val="41"/>
    <w:qFormat/>
    <w:uiPriority w:val="11"/>
    <w:rPr>
      <w:sz w:val="24"/>
      <w:szCs w:val="24"/>
    </w:rPr>
  </w:style>
  <w:style w:type="character" w:customStyle="1" w:styleId="58">
    <w:name w:val="Quote Char"/>
    <w:qFormat/>
    <w:uiPriority w:val="29"/>
    <w:rPr>
      <w:i/>
    </w:rPr>
  </w:style>
  <w:style w:type="character" w:customStyle="1" w:styleId="59">
    <w:name w:val="Intense Quote Char"/>
    <w:qFormat/>
    <w:uiPriority w:val="30"/>
    <w:rPr>
      <w:i/>
    </w:rPr>
  </w:style>
  <w:style w:type="table" w:customStyle="1" w:styleId="60">
    <w:name w:val="无格式表格 11"/>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FFFFFF" w:fill="F1F1F1" w:themeFill="text1" w:themeFillTint="0D"/>
      </w:tcPr>
    </w:tblStylePr>
    <w:tblStylePr w:type="band2Vert">
      <w:pPr>
        <w:snapToGrid/>
      </w:pPr>
    </w:tblStylePr>
    <w:tblStylePr w:type="band1Horz">
      <w:pPr>
        <w:snapToGrid/>
      </w:pPr>
      <w:tcPr>
        <w:shd w:val="clear" w:color="FFFFFF"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无格式表格 21"/>
    <w:basedOn w:val="3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2">
    <w:name w:val="无格式表格 31"/>
    <w:basedOn w:val="39"/>
    <w:qFormat/>
    <w:uiPriority w:val="99"/>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FFFFFF" w:fill="F1F1F1" w:themeFill="text1" w:themeFillTint="0D"/>
      </w:tcPr>
    </w:tblStylePr>
    <w:tblStylePr w:type="band2Vert">
      <w:pPr>
        <w:snapToGrid/>
      </w:pPr>
    </w:tblStylePr>
    <w:tblStylePr w:type="band1Horz">
      <w:pPr>
        <w:snapToGrid/>
      </w:pPr>
      <w:rPr>
        <w:rFonts w:ascii="Arial" w:hAnsi="Arial"/>
        <w:color w:val="404040"/>
        <w:sz w:val="22"/>
      </w:rPr>
      <w:tcPr>
        <w:shd w:val="clear" w:color="FFFFFF"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3">
    <w:name w:val="无格式表格 41"/>
    <w:basedOn w:val="39"/>
    <w:qFormat/>
    <w:uiPriority w:val="99"/>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1F1F1" w:themeFill="text1" w:themeFillTint="0D"/>
      </w:tcPr>
    </w:tblStylePr>
    <w:tblStylePr w:type="band2Vert">
      <w:pPr>
        <w:snapToGrid/>
      </w:pPr>
    </w:tblStylePr>
    <w:tblStylePr w:type="band1Horz">
      <w:pPr>
        <w:snapToGrid/>
      </w:pPr>
      <w:rPr>
        <w:rFonts w:ascii="Arial" w:hAnsi="Arial"/>
        <w:color w:val="404040"/>
        <w:sz w:val="22"/>
      </w:rPr>
      <w:tcPr>
        <w:shd w:val="clear" w:color="FFFFFF"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4">
    <w:name w:val="无格式表格 51"/>
    <w:basedOn w:val="39"/>
    <w:qFormat/>
    <w:uiPriority w:val="99"/>
    <w:tblStylePr w:type="firstRow">
      <w:pPr>
        <w:snapToGrid/>
      </w:pPr>
      <w:rPr>
        <w:i/>
        <w:color w:val="404040"/>
      </w:rPr>
      <w:tcPr>
        <w:tcBorders>
          <w:left w:val="nil"/>
          <w:bottom w:val="single" w:color="404040" w:sz="4" w:space="0"/>
          <w:right w:val="nil"/>
        </w:tcBorders>
        <w:shd w:val="clear" w:color="FFFFFF" w:fill="FFFFFF"/>
      </w:tcPr>
    </w:tblStylePr>
    <w:tblStylePr w:type="lastRow">
      <w:pPr>
        <w:snapToGrid/>
      </w:pPr>
      <w:rPr>
        <w:i/>
        <w:color w:val="404040"/>
      </w:rPr>
      <w:tcPr>
        <w:tcBorders>
          <w:top w:val="single" w:color="404040" w:sz="4" w:space="0"/>
          <w:left w:val="nil"/>
          <w:right w:val="nil"/>
        </w:tcBorders>
        <w:shd w:val="clear" w:color="FFFFFF" w:fill="FFFFFF"/>
      </w:tcPr>
    </w:tblStylePr>
    <w:tblStylePr w:type="firstCol">
      <w:pPr>
        <w:snapToGrid/>
        <w:jc w:val="right"/>
      </w:pPr>
      <w:rPr>
        <w:i/>
        <w:color w:val="404040"/>
      </w:rPr>
      <w:tcPr>
        <w:tcBorders>
          <w:right w:val="single" w:color="404040" w:sz="4" w:space="0"/>
        </w:tcBorders>
        <w:shd w:val="clear" w:color="FFFFFF" w:fill="FFFFFF"/>
      </w:tcPr>
    </w:tblStylePr>
    <w:tblStylePr w:type="lastCol">
      <w:pPr>
        <w:snapToGrid/>
      </w:pPr>
      <w:rPr>
        <w:i/>
        <w:color w:val="404040"/>
      </w:rPr>
      <w:tcPr>
        <w:tcBorders>
          <w:left w:val="single" w:color="404040" w:sz="4" w:space="0"/>
        </w:tcBorders>
        <w:shd w:val="clear" w:color="FFFFFF" w:fill="FFFFFF"/>
      </w:tcPr>
    </w:tblStylePr>
    <w:tblStylePr w:type="band1Vert">
      <w:pPr>
        <w:snapToGrid/>
      </w:pPr>
      <w:rPr>
        <w:rFonts w:ascii="Arial" w:hAnsi="Arial"/>
        <w:color w:val="404040"/>
        <w:sz w:val="22"/>
      </w:rPr>
      <w:tcPr>
        <w:shd w:val="clear" w:color="FFFFFF" w:fill="F1F1F1" w:themeFill="text1" w:themeFillTint="0D"/>
      </w:tcPr>
    </w:tblStylePr>
    <w:tblStylePr w:type="band2Vert">
      <w:pPr>
        <w:snapToGrid/>
      </w:pPr>
    </w:tblStylePr>
    <w:tblStylePr w:type="band1Horz">
      <w:pPr>
        <w:snapToGrid/>
      </w:pPr>
      <w:rPr>
        <w:rFonts w:ascii="Arial" w:hAnsi="Arial"/>
        <w:color w:val="404040"/>
        <w:sz w:val="22"/>
      </w:rPr>
      <w:tcPr>
        <w:shd w:val="clear" w:color="FFFFFF"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5">
    <w:name w:val="网格表 1 浅色1"/>
    <w:basedOn w:val="3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6">
    <w:name w:val="网格表 21"/>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single" w:color="696969" w:themeColor="text1" w:themeTint="95" w:sz="12" w:space="0"/>
          <w:right w:val="nil"/>
        </w:tcBorders>
        <w:shd w:val="clear" w:color="FFFFFF" w:fill="FFFFFF"/>
      </w:tcPr>
    </w:tblStylePr>
    <w:tblStylePr w:type="lastRow">
      <w:pPr>
        <w:snapToGrid/>
      </w:pPr>
      <w:rPr>
        <w:b/>
        <w:color w:val="404040"/>
      </w:rPr>
      <w:tcPr>
        <w:tcBorders>
          <w:top w:val="single" w:color="696969" w:themeColor="text1" w:themeTint="9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CACACA" w:themeFill="text1" w:themeFillTint="34"/>
      </w:tcPr>
    </w:tblStylePr>
    <w:tblStylePr w:type="band2Vert">
      <w:pPr>
        <w:snapToGrid/>
      </w:pPr>
    </w:tblStylePr>
    <w:tblStylePr w:type="band1Horz">
      <w:pPr>
        <w:snapToGrid/>
      </w:pPr>
      <w:rPr>
        <w:rFonts w:ascii="Arial" w:hAnsi="Arial"/>
        <w:color w:val="404040"/>
        <w:sz w:val="22"/>
      </w:rPr>
      <w:tcPr>
        <w:shd w:val="clear" w:color="FFFFFF"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7">
    <w:name w:val="网格表 31"/>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CACACA" w:themeFill="text1" w:themeFillTint="34"/>
      </w:tcPr>
    </w:tblStylePr>
    <w:tblStylePr w:type="band2Vert">
      <w:pPr>
        <w:snapToGrid/>
      </w:pPr>
    </w:tblStylePr>
    <w:tblStylePr w:type="band1Horz">
      <w:pPr>
        <w:snapToGrid/>
      </w:pPr>
      <w:rPr>
        <w:rFonts w:ascii="Arial" w:hAnsi="Arial"/>
        <w:color w:val="404040"/>
        <w:sz w:val="22"/>
      </w:rPr>
      <w:tcPr>
        <w:shd w:val="clear" w:color="FFFFFF"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8">
    <w:name w:val="网格表 41"/>
    <w:basedOn w:val="3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CACACA" w:themeFill="text1" w:themeFillTint="34"/>
      </w:tcPr>
    </w:tblStylePr>
    <w:tblStylePr w:type="band2Vert">
      <w:pPr>
        <w:snapToGrid/>
      </w:pPr>
    </w:tblStylePr>
    <w:tblStylePr w:type="band1Horz">
      <w:pPr>
        <w:snapToGrid/>
      </w:pPr>
      <w:rPr>
        <w:rFonts w:ascii="Arial" w:hAnsi="Arial"/>
        <w:color w:val="404040"/>
        <w:sz w:val="22"/>
      </w:rPr>
      <w:tcPr>
        <w:shd w:val="clear" w:color="FFFFFF"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9">
    <w:name w:val="网格表 5 深色1"/>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FFFFF" w:fill="000000" w:themeFill="text1"/>
      </w:tcPr>
    </w:tblStylePr>
    <w:tblStylePr w:type="lastRow">
      <w:pPr>
        <w:snapToGrid/>
      </w:pPr>
      <w:rPr>
        <w:rFonts w:ascii="Arial" w:hAnsi="Arial"/>
        <w:b/>
        <w:color w:val="FFFFFF"/>
        <w:sz w:val="22"/>
      </w:rPr>
      <w:tcPr>
        <w:tcBorders>
          <w:top w:val="single" w:color="FFFFFF" w:themeColor="light1" w:sz="4" w:space="0"/>
        </w:tcBorders>
        <w:shd w:val="clear" w:color="FFFFFF" w:fill="000000" w:themeFill="text1"/>
      </w:tcPr>
    </w:tblStylePr>
    <w:tblStylePr w:type="firstCol">
      <w:pPr>
        <w:snapToGrid/>
      </w:pPr>
      <w:rPr>
        <w:rFonts w:ascii="Arial" w:hAnsi="Arial"/>
        <w:b/>
        <w:color w:val="FFFFFF"/>
        <w:sz w:val="22"/>
      </w:rPr>
      <w:tcPr>
        <w:shd w:val="clear" w:color="FFFFFF" w:fill="000000" w:themeFill="text1"/>
      </w:tcPr>
    </w:tblStylePr>
    <w:tblStylePr w:type="lastCol">
      <w:pPr>
        <w:snapToGrid/>
      </w:pPr>
      <w:rPr>
        <w:rFonts w:ascii="Arial" w:hAnsi="Arial"/>
        <w:b/>
        <w:color w:val="FFFFFF"/>
        <w:sz w:val="22"/>
      </w:rPr>
      <w:tcPr>
        <w:shd w:val="clear" w:color="FFFFFF" w:fill="000000" w:themeFill="text1"/>
      </w:tcPr>
    </w:tblStylePr>
    <w:tblStylePr w:type="band1Vert">
      <w:pPr>
        <w:snapToGrid/>
      </w:pPr>
      <w:tcPr>
        <w:shd w:val="clear" w:color="FFFFFF" w:fill="898989" w:themeFill="text1" w:themeFillTint="75"/>
      </w:tcPr>
    </w:tblStylePr>
    <w:tblStylePr w:type="band2Vert">
      <w:pPr>
        <w:snapToGrid/>
      </w:pPr>
    </w:tblStylePr>
    <w:tblStylePr w:type="band1Horz">
      <w:pPr>
        <w:snapToGrid/>
      </w:pPr>
      <w:tcPr>
        <w:shd w:val="clear" w:color="FFFFFF"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0">
    <w:name w:val="网格表 6 彩色1"/>
    <w:basedOn w:val="3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FFFFFF"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FFFFF"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3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FFFFFF"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FFFFF"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2">
    <w:name w:val="清单表 1 浅色1"/>
    <w:basedOn w:val="39"/>
    <w:qFormat/>
    <w:uiPriority w:val="99"/>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BEBEBE" w:themeFill="text1" w:themeFillTint="40"/>
      </w:tcPr>
    </w:tblStylePr>
    <w:tblStylePr w:type="band2Vert">
      <w:pPr>
        <w:snapToGrid/>
      </w:pPr>
    </w:tblStylePr>
    <w:tblStylePr w:type="band1Horz">
      <w:pPr>
        <w:snapToGrid/>
      </w:pPr>
      <w:tcPr>
        <w:shd w:val="clear" w:color="FFFFF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3">
    <w:name w:val="清单表 21"/>
    <w:basedOn w:val="3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BEBEBE" w:themeFill="text1" w:themeFillTint="40"/>
      </w:tcPr>
    </w:tblStylePr>
    <w:tblStylePr w:type="band2Vert">
      <w:pPr>
        <w:snapToGrid/>
      </w:pPr>
    </w:tblStylePr>
    <w:tblStylePr w:type="band1Horz">
      <w:pPr>
        <w:snapToGrid/>
      </w:pPr>
      <w:rPr>
        <w:rFonts w:ascii="Arial" w:hAnsi="Arial"/>
        <w:color w:val="404040"/>
        <w:sz w:val="22"/>
      </w:rPr>
      <w:tcPr>
        <w:shd w:val="clear" w:color="FFFFF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4">
    <w:name w:val="清单表 31"/>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pPr>
        <w:snapToGrid/>
      </w:pPr>
      <w:rPr>
        <w:rFonts w:ascii="Arial" w:hAnsi="Arial"/>
        <w:b/>
        <w:color w:val="FFFFFF"/>
        <w:sz w:val="22"/>
      </w:r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5">
    <w:name w:val="清单表 41"/>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pPr>
        <w:snapToGrid/>
      </w:pPr>
      <w:rPr>
        <w:rFonts w:ascii="Arial" w:hAnsi="Arial"/>
        <w:b/>
        <w:color w:val="FFFFFF"/>
        <w:sz w:val="22"/>
      </w:r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BEBEBE" w:themeFill="text1" w:themeFillTint="40"/>
      </w:tcPr>
    </w:tblStylePr>
    <w:tblStylePr w:type="band2Vert">
      <w:pPr>
        <w:snapToGrid/>
      </w:pPr>
    </w:tblStylePr>
    <w:tblStylePr w:type="band1Horz">
      <w:pPr>
        <w:snapToGrid/>
      </w:pPr>
      <w:rPr>
        <w:rFonts w:ascii="Arial" w:hAnsi="Arial"/>
        <w:color w:val="404040"/>
        <w:sz w:val="22"/>
      </w:rPr>
      <w:tcPr>
        <w:shd w:val="clear" w:color="FFFFF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6">
    <w:name w:val="清单表 5 深色1"/>
    <w:basedOn w:val="3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FFFFFF"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FFFFF"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FFFFFF"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7">
    <w:name w:val="清单表 6 彩色1"/>
    <w:basedOn w:val="39"/>
    <w:qFormat/>
    <w:uiPriority w:val="99"/>
    <w:tblPr>
      <w:tblBorders>
        <w:top w:val="single" w:color="7E7E7E" w:themeColor="text1" w:themeTint="80" w:sz="4" w:space="0"/>
        <w:bottom w:val="single" w:color="7E7E7E" w:themeColor="text1" w:themeTint="80" w:sz="4" w:space="0"/>
      </w:tblBorders>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FFFFFF"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FFFFFF"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8">
    <w:name w:val="清单表 7 彩色1"/>
    <w:basedOn w:val="39"/>
    <w:qFormat/>
    <w:uiPriority w:val="99"/>
    <w:tblPr>
      <w:tblBorders>
        <w:right w:val="single" w:color="7E7E7E" w:themeColor="text1" w:themeTint="80" w:sz="4" w:space="0"/>
      </w:tblBorders>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FFFFFF"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FFFFF"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79">
    <w:name w:val="Footnote Text Char"/>
    <w:qFormat/>
    <w:uiPriority w:val="99"/>
    <w:rPr>
      <w:sz w:val="18"/>
    </w:rPr>
  </w:style>
  <w:style w:type="character" w:customStyle="1" w:styleId="80">
    <w:name w:val="Endnote Text Char"/>
    <w:qFormat/>
    <w:uiPriority w:val="99"/>
    <w:rPr>
      <w:sz w:val="20"/>
    </w:rPr>
  </w:style>
  <w:style w:type="paragraph" w:customStyle="1" w:styleId="81">
    <w:name w:val="TOC 标题1"/>
    <w:unhideWhenUsed/>
    <w:qFormat/>
    <w:uiPriority w:val="39"/>
    <w:rPr>
      <w:rFonts w:ascii="Calibri" w:hAnsi="Cambria" w:eastAsia="宋体" w:cs="Calibri"/>
      <w:lang w:val="en-US" w:eastAsia="zh-CN" w:bidi="ar-SA"/>
    </w:rPr>
  </w:style>
  <w:style w:type="character" w:customStyle="1" w:styleId="82">
    <w:name w:val="标题 1 Char"/>
    <w:basedOn w:val="41"/>
    <w:link w:val="2"/>
    <w:qFormat/>
    <w:uiPriority w:val="9"/>
    <w:rPr>
      <w:rFonts w:ascii="Arial" w:hAnsi="Arial" w:cs="Arial"/>
      <w:sz w:val="40"/>
      <w:szCs w:val="40"/>
    </w:rPr>
  </w:style>
  <w:style w:type="character" w:customStyle="1" w:styleId="83">
    <w:name w:val="标题 3 Char"/>
    <w:basedOn w:val="41"/>
    <w:link w:val="4"/>
    <w:qFormat/>
    <w:uiPriority w:val="9"/>
    <w:rPr>
      <w:rFonts w:ascii="Arial" w:hAnsi="Arial" w:cs="Arial"/>
      <w:sz w:val="30"/>
      <w:szCs w:val="30"/>
    </w:rPr>
  </w:style>
  <w:style w:type="character" w:customStyle="1" w:styleId="84">
    <w:name w:val="标题 4 Char"/>
    <w:basedOn w:val="41"/>
    <w:link w:val="5"/>
    <w:qFormat/>
    <w:uiPriority w:val="9"/>
    <w:rPr>
      <w:rFonts w:ascii="Arial" w:hAnsi="Arial" w:cs="Arial"/>
      <w:b/>
      <w:bCs/>
      <w:sz w:val="26"/>
      <w:szCs w:val="26"/>
    </w:rPr>
  </w:style>
  <w:style w:type="character" w:customStyle="1" w:styleId="85">
    <w:name w:val="标题 5 Char"/>
    <w:basedOn w:val="41"/>
    <w:link w:val="6"/>
    <w:qFormat/>
    <w:uiPriority w:val="9"/>
    <w:rPr>
      <w:rFonts w:ascii="Arial" w:hAnsi="Arial" w:cs="Arial"/>
      <w:b/>
      <w:bCs/>
      <w:sz w:val="24"/>
      <w:szCs w:val="24"/>
    </w:rPr>
  </w:style>
  <w:style w:type="character" w:customStyle="1" w:styleId="86">
    <w:name w:val="标题 6 Char"/>
    <w:basedOn w:val="41"/>
    <w:link w:val="7"/>
    <w:qFormat/>
    <w:uiPriority w:val="9"/>
    <w:rPr>
      <w:rFonts w:ascii="Arial" w:hAnsi="Arial" w:cs="Arial"/>
      <w:b/>
      <w:bCs/>
      <w:sz w:val="22"/>
      <w:szCs w:val="22"/>
    </w:rPr>
  </w:style>
  <w:style w:type="character" w:customStyle="1" w:styleId="87">
    <w:name w:val="标题 7 Char"/>
    <w:basedOn w:val="41"/>
    <w:link w:val="8"/>
    <w:qFormat/>
    <w:uiPriority w:val="9"/>
    <w:rPr>
      <w:rFonts w:ascii="Arial" w:hAnsi="Arial" w:cs="Arial"/>
      <w:b/>
      <w:bCs/>
      <w:i/>
      <w:iCs/>
      <w:sz w:val="22"/>
      <w:szCs w:val="22"/>
    </w:rPr>
  </w:style>
  <w:style w:type="character" w:customStyle="1" w:styleId="88">
    <w:name w:val="标题 8 Char"/>
    <w:basedOn w:val="41"/>
    <w:link w:val="9"/>
    <w:qFormat/>
    <w:uiPriority w:val="9"/>
    <w:rPr>
      <w:rFonts w:ascii="Arial" w:hAnsi="Arial" w:cs="Arial"/>
      <w:i/>
      <w:iCs/>
      <w:sz w:val="22"/>
      <w:szCs w:val="22"/>
    </w:rPr>
  </w:style>
  <w:style w:type="character" w:customStyle="1" w:styleId="89">
    <w:name w:val="标题 9 Char"/>
    <w:basedOn w:val="41"/>
    <w:link w:val="10"/>
    <w:qFormat/>
    <w:uiPriority w:val="9"/>
    <w:rPr>
      <w:rFonts w:ascii="Arial" w:hAnsi="Arial" w:cs="Arial"/>
      <w:i/>
      <w:iCs/>
      <w:sz w:val="21"/>
      <w:szCs w:val="21"/>
    </w:rPr>
  </w:style>
  <w:style w:type="paragraph" w:styleId="90">
    <w:name w:val="List Paragraph"/>
    <w:basedOn w:val="1"/>
    <w:qFormat/>
    <w:uiPriority w:val="34"/>
    <w:pPr>
      <w:ind w:left="720"/>
      <w:contextualSpacing/>
    </w:pPr>
  </w:style>
  <w:style w:type="paragraph" w:styleId="91">
    <w:name w:val="No Spacing"/>
    <w:qFormat/>
    <w:uiPriority w:val="1"/>
    <w:rPr>
      <w:rFonts w:ascii="Calibri" w:hAnsi="Cambria" w:eastAsia="宋体" w:cs="Calibri"/>
      <w:sz w:val="22"/>
      <w:szCs w:val="22"/>
      <w:lang w:val="en-US" w:eastAsia="en-US" w:bidi="ar-SA"/>
    </w:rPr>
  </w:style>
  <w:style w:type="character" w:customStyle="1" w:styleId="92">
    <w:name w:val="Title Char"/>
    <w:basedOn w:val="41"/>
    <w:qFormat/>
    <w:uiPriority w:val="10"/>
    <w:rPr>
      <w:sz w:val="48"/>
      <w:szCs w:val="48"/>
    </w:rPr>
  </w:style>
  <w:style w:type="character" w:customStyle="1" w:styleId="93">
    <w:name w:val="副标题 Char"/>
    <w:basedOn w:val="41"/>
    <w:link w:val="29"/>
    <w:qFormat/>
    <w:uiPriority w:val="11"/>
    <w:rPr>
      <w:sz w:val="24"/>
      <w:szCs w:val="24"/>
    </w:rPr>
  </w:style>
  <w:style w:type="paragraph" w:styleId="94">
    <w:name w:val="Quote"/>
    <w:basedOn w:val="1"/>
    <w:next w:val="1"/>
    <w:link w:val="95"/>
    <w:qFormat/>
    <w:uiPriority w:val="29"/>
    <w:pPr>
      <w:ind w:left="720" w:right="720"/>
    </w:pPr>
    <w:rPr>
      <w:i/>
    </w:rPr>
  </w:style>
  <w:style w:type="character" w:customStyle="1" w:styleId="95">
    <w:name w:val="引用 Char"/>
    <w:link w:val="94"/>
    <w:qFormat/>
    <w:uiPriority w:val="29"/>
    <w:rPr>
      <w:i/>
    </w:rPr>
  </w:style>
  <w:style w:type="paragraph" w:styleId="96">
    <w:name w:val="Intense Quote"/>
    <w:basedOn w:val="1"/>
    <w:next w:val="1"/>
    <w:link w:val="97"/>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pPr>
    <w:rPr>
      <w:i/>
    </w:rPr>
  </w:style>
  <w:style w:type="character" w:customStyle="1" w:styleId="97">
    <w:name w:val="明显引用 Char"/>
    <w:link w:val="96"/>
    <w:qFormat/>
    <w:uiPriority w:val="30"/>
    <w:rPr>
      <w:i/>
    </w:rPr>
  </w:style>
  <w:style w:type="character" w:customStyle="1" w:styleId="98">
    <w:name w:val="Header Char"/>
    <w:basedOn w:val="41"/>
    <w:qFormat/>
    <w:uiPriority w:val="99"/>
  </w:style>
  <w:style w:type="character" w:customStyle="1" w:styleId="99">
    <w:name w:val="Footer Char"/>
    <w:basedOn w:val="41"/>
    <w:qFormat/>
    <w:uiPriority w:val="99"/>
  </w:style>
  <w:style w:type="character" w:customStyle="1" w:styleId="100">
    <w:name w:val="Caption Char"/>
    <w:qFormat/>
    <w:uiPriority w:val="99"/>
  </w:style>
  <w:style w:type="table" w:customStyle="1" w:styleId="101">
    <w:name w:val="Table Grid Light"/>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无格式表格 111"/>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F2F2F2" w:fill="F1F1F1" w:themeFill="text1" w:themeFillTint="0D"/>
      </w:tcPr>
    </w:tblStylePr>
    <w:tblStylePr w:type="band2Vert">
      <w:pPr>
        <w:snapToGrid/>
      </w:pPr>
    </w:tblStylePr>
    <w:tblStylePr w:type="band1Horz">
      <w:pPr>
        <w:snapToGrid/>
      </w:p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无格式表格 211"/>
    <w:basedOn w:val="3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无格式表格 311"/>
    <w:basedOn w:val="39"/>
    <w:qFormat/>
    <w:uiPriority w:val="99"/>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无格式表格 411"/>
    <w:basedOn w:val="39"/>
    <w:qFormat/>
    <w:uiPriority w:val="99"/>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无格式表格 511"/>
    <w:basedOn w:val="39"/>
    <w:qFormat/>
    <w:uiPriority w:val="99"/>
    <w:tblStylePr w:type="firstRow">
      <w:pPr>
        <w:snapToGrid/>
      </w:pPr>
      <w:rPr>
        <w:i/>
        <w:color w:val="404040"/>
      </w:rPr>
      <w:tcPr>
        <w:tcBorders>
          <w:left w:val="nil"/>
          <w:bottom w:val="single" w:color="404040" w:sz="4" w:space="0"/>
          <w:right w:val="nil"/>
        </w:tcBorders>
        <w:shd w:val="clear" w:color="FFFFFF" w:fill="FFFFFF"/>
      </w:tcPr>
    </w:tblStylePr>
    <w:tblStylePr w:type="lastRow">
      <w:pPr>
        <w:snapToGrid/>
      </w:pPr>
      <w:rPr>
        <w:i/>
        <w:color w:val="404040"/>
      </w:rPr>
      <w:tcPr>
        <w:tcBorders>
          <w:top w:val="single" w:color="404040" w:sz="4" w:space="0"/>
          <w:left w:val="nil"/>
          <w:right w:val="nil"/>
        </w:tcBorders>
        <w:shd w:val="clear" w:color="FFFFFF" w:fill="FFFFFF"/>
      </w:tcPr>
    </w:tblStylePr>
    <w:tblStylePr w:type="firstCol">
      <w:pPr>
        <w:snapToGrid/>
        <w:jc w:val="right"/>
      </w:pPr>
      <w:rPr>
        <w:i/>
        <w:color w:val="404040"/>
      </w:rPr>
      <w:tcPr>
        <w:tcBorders>
          <w:right w:val="single" w:color="404040" w:sz="4" w:space="0"/>
        </w:tcBorders>
        <w:shd w:val="clear" w:color="FFFFFF" w:fill="FFFFFF"/>
      </w:tcPr>
    </w:tblStylePr>
    <w:tblStylePr w:type="lastCol">
      <w:pPr>
        <w:snapToGrid/>
      </w:pPr>
      <w:rPr>
        <w:i/>
        <w:color w:val="404040"/>
      </w:rPr>
      <w:tcPr>
        <w:tcBorders>
          <w:left w:val="single" w:color="404040" w:sz="4" w:space="0"/>
        </w:tcBorders>
        <w:shd w:val="clear" w:color="FFFFFF" w:fill="FFFFFF"/>
      </w:tc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网格表 1 浅色11"/>
    <w:basedOn w:val="3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1 Light - Accent 1"/>
    <w:basedOn w:val="3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b/>
        <w:color w:val="404040"/>
      </w:rPr>
      <w:tcPr>
        <w:tcBorders>
          <w:bottom w:val="single" w:color="98B5D8" w:themeColor="accen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1 Light - Accent 2"/>
    <w:basedOn w:val="3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b/>
        <w:color w:val="404040"/>
      </w:rPr>
      <w:tcPr>
        <w:tcBorders>
          <w:bottom w:val="single" w:color="DA9896" w:themeColor="accent2"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1 Light - Accent 3"/>
    <w:basedOn w:val="3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b/>
        <w:color w:val="404040"/>
      </w:rPr>
      <w:tcPr>
        <w:tcBorders>
          <w:bottom w:val="single" w:color="C4D79E" w:themeColor="accent3"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Grid Table 1 Light - Accent 4"/>
    <w:basedOn w:val="3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b/>
        <w:color w:val="404040"/>
      </w:rPr>
      <w:tcPr>
        <w:tcBorders>
          <w:bottom w:val="single" w:color="B4A4C8" w:themeColor="accent4"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Grid Table 1 Light - Accent 5"/>
    <w:basedOn w:val="3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b/>
        <w:color w:val="404040"/>
      </w:rPr>
      <w:tcPr>
        <w:tcBorders>
          <w:bottom w:val="single" w:color="95CEDD" w:themeColor="accent5"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Grid Table 1 Light - Accent 6"/>
    <w:basedOn w:val="3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b/>
        <w:color w:val="404040"/>
      </w:rPr>
      <w:tcPr>
        <w:tcBorders>
          <w:bottom w:val="single" w:color="FAC192" w:themeColor="accent6"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网格表 211"/>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single" w:color="696969" w:themeColor="text1" w:themeTint="95" w:sz="12" w:space="0"/>
          <w:right w:val="nil"/>
        </w:tcBorders>
        <w:shd w:val="clear" w:color="FFFFFF" w:fill="FFFFFF"/>
      </w:tcPr>
    </w:tblStylePr>
    <w:tblStylePr w:type="lastRow">
      <w:pPr>
        <w:snapToGrid/>
      </w:pPr>
      <w:rPr>
        <w:b/>
        <w:color w:val="404040"/>
      </w:rPr>
      <w:tcPr>
        <w:tcBorders>
          <w:top w:val="single" w:color="696969" w:themeColor="text1" w:themeTint="9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Grid Table 2 - Accent 1"/>
    <w:basedOn w:val="3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single" w:color="5D8BC2" w:themeColor="accent1" w:themeTint="EA" w:sz="12" w:space="0"/>
          <w:right w:val="nil"/>
        </w:tcBorders>
        <w:shd w:val="clear" w:color="FFFFFF" w:fill="FFFFFF"/>
      </w:tcPr>
    </w:tblStylePr>
    <w:tblStylePr w:type="lastRow">
      <w:pPr>
        <w:snapToGrid/>
      </w:pPr>
      <w:rPr>
        <w:b/>
        <w:color w:val="404040"/>
      </w:rPr>
      <w:tcPr>
        <w:tcBorders>
          <w:top w:val="single" w:color="5D8BC2" w:themeColor="accent1" w:themeTint="E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5F1" w:fill="DBE5F1" w:themeFill="accent1" w:themeFillTint="34"/>
      </w:tcPr>
    </w:tblStylePr>
    <w:tblStylePr w:type="band2Vert">
      <w:pPr>
        <w:snapToGrid/>
      </w:pPr>
    </w:tblStylePr>
    <w:tblStylePr w:type="band1Horz">
      <w:pPr>
        <w:snapToGrid/>
      </w:pPr>
      <w:rPr>
        <w:rFonts w:ascii="Arial" w:hAnsi="Arial"/>
        <w:color w:val="404040"/>
        <w:sz w:val="22"/>
      </w:rPr>
      <w:tcPr>
        <w:shd w:val="clear" w:color="DAE5F1"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Grid Table 2 - Accent 2"/>
    <w:basedOn w:val="3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single" w:color="D99795" w:themeColor="accent2" w:themeTint="97" w:sz="12" w:space="0"/>
          <w:right w:val="nil"/>
        </w:tcBorders>
        <w:shd w:val="clear" w:color="FFFFFF" w:fill="FFFFFF"/>
      </w:tcPr>
    </w:tblStylePr>
    <w:tblStylePr w:type="lastRow">
      <w:pPr>
        <w:snapToGrid/>
      </w:pPr>
      <w:rPr>
        <w:b/>
        <w:color w:val="404040"/>
      </w:rPr>
      <w:tcPr>
        <w:tcBorders>
          <w:top w:val="single" w:color="D99795" w:themeColor="accent2" w:themeTint="97"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Grid Table 2 - Accent 3"/>
    <w:basedOn w:val="3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single" w:color="9BBB59" w:themeColor="accent3" w:themeTint="FE" w:sz="12" w:space="0"/>
          <w:right w:val="nil"/>
        </w:tcBorders>
        <w:shd w:val="clear" w:color="FFFFFF" w:fill="FFFFFF"/>
      </w:tcPr>
    </w:tblStylePr>
    <w:tblStylePr w:type="lastRow">
      <w:pPr>
        <w:snapToGrid/>
      </w:pPr>
      <w:rPr>
        <w:b/>
        <w:color w:val="404040"/>
      </w:rPr>
      <w:tcPr>
        <w:tcBorders>
          <w:top w:val="single" w:color="9BBB59" w:themeColor="accent3" w:themeTint="FE"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Grid Table 2 - Accent 4"/>
    <w:basedOn w:val="3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single" w:color="B2A1C6" w:themeColor="accent4" w:themeTint="9A" w:sz="12" w:space="0"/>
          <w:right w:val="nil"/>
        </w:tcBorders>
        <w:shd w:val="clear" w:color="FFFFFF" w:fill="FFFFFF"/>
      </w:tcPr>
    </w:tblStylePr>
    <w:tblStylePr w:type="lastRow">
      <w:pPr>
        <w:snapToGrid/>
      </w:pPr>
      <w:rPr>
        <w:b/>
        <w:color w:val="404040"/>
      </w:rPr>
      <w:tcPr>
        <w:tcBorders>
          <w:top w:val="single" w:color="B2A1C6" w:themeColor="accent4" w:themeTint="9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Grid Table 2 - Accent 5"/>
    <w:basedOn w:val="39"/>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single" w:color="4BACC6" w:themeColor="accent5" w:sz="12" w:space="0"/>
          <w:right w:val="nil"/>
        </w:tcBorders>
        <w:shd w:val="clear" w:color="FFFFFF" w:fill="FFFFFF"/>
      </w:tcPr>
    </w:tblStylePr>
    <w:tblStylePr w:type="lastRow">
      <w:pPr>
        <w:snapToGrid/>
      </w:pPr>
      <w:rPr>
        <w:b/>
        <w:color w:val="404040"/>
      </w:rPr>
      <w:tcPr>
        <w:tcBorders>
          <w:top w:val="single" w:color="4BACC6" w:themeColor="accent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Grid Table 2 - Accent 6"/>
    <w:basedOn w:val="39"/>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single" w:color="F79646" w:themeColor="accent6" w:sz="12" w:space="0"/>
          <w:right w:val="nil"/>
        </w:tcBorders>
        <w:shd w:val="clear" w:color="FFFFFF" w:fill="FFFFFF"/>
      </w:tcPr>
    </w:tblStylePr>
    <w:tblStylePr w:type="lastRow">
      <w:pPr>
        <w:snapToGrid/>
      </w:pPr>
      <w:rPr>
        <w:b/>
        <w:color w:val="404040"/>
      </w:rPr>
      <w:tcPr>
        <w:tcBorders>
          <w:top w:val="single" w:color="F79646" w:themeColor="accent6"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网格表 311"/>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Grid Table 3 - Accent 1"/>
    <w:basedOn w:val="3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AE5F1" w:fill="DBE5F1" w:themeFill="accent1" w:themeFillTint="34"/>
      </w:tcPr>
    </w:tblStylePr>
    <w:tblStylePr w:type="band2Vert">
      <w:pPr>
        <w:snapToGrid/>
      </w:pPr>
    </w:tblStylePr>
    <w:tblStylePr w:type="band1Horz">
      <w:pPr>
        <w:snapToGrid/>
      </w:pPr>
      <w:rPr>
        <w:rFonts w:ascii="Arial" w:hAnsi="Arial"/>
        <w:color w:val="404040"/>
        <w:sz w:val="22"/>
      </w:rPr>
      <w:tcPr>
        <w:shd w:val="clear" w:color="DAE5F1"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Grid Table 3 - Accent 2"/>
    <w:basedOn w:val="3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Grid Table 3 - Accent 3"/>
    <w:basedOn w:val="3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Grid Table 3 - Accent 4"/>
    <w:basedOn w:val="3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Grid Table 3 - Accent 5"/>
    <w:basedOn w:val="39"/>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Grid Table 3 - Accent 6"/>
    <w:basedOn w:val="39"/>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网格表 411"/>
    <w:basedOn w:val="3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Grid Table 4 - Accent 1"/>
    <w:basedOn w:val="39"/>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pPr>
        <w:snapToGrid/>
      </w:pPr>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AC2" w:fill="5D8BC2" w:themeFill="accent1" w:themeFillTint="EA"/>
      </w:tcPr>
    </w:tblStylePr>
    <w:tblStylePr w:type="lastRow">
      <w:pPr>
        <w:snapToGrid/>
      </w:pPr>
      <w:rPr>
        <w:b/>
        <w:color w:val="404040"/>
      </w:rPr>
      <w:tcPr>
        <w:tcBorders>
          <w:top w:val="single" w:color="5D8BC2" w:themeColor="accent1" w:themeTint="E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CE6F2" w:fill="DCE6F2" w:themeFill="accent1" w:themeFillTint="32"/>
      </w:tcPr>
    </w:tblStylePr>
    <w:tblStylePr w:type="band2Vert">
      <w:pPr>
        <w:snapToGrid/>
      </w:pPr>
    </w:tblStylePr>
    <w:tblStylePr w:type="band1Horz">
      <w:pPr>
        <w:snapToGrid/>
      </w:pPr>
      <w:rPr>
        <w:rFonts w:ascii="Arial" w:hAnsi="Arial"/>
        <w:color w:val="404040"/>
        <w:sz w:val="22"/>
      </w:rPr>
      <w:tcPr>
        <w:shd w:val="clear" w:color="DCE6F2"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Grid Table 4 - Accent 2"/>
    <w:basedOn w:val="39"/>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pPr>
        <w:snapToGrid/>
      </w:pPr>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695" w:fill="D99795" w:themeFill="accent2" w:themeFillTint="97"/>
      </w:tcPr>
    </w:tblStylePr>
    <w:tblStylePr w:type="lastRow">
      <w:pPr>
        <w:snapToGrid/>
      </w:pPr>
      <w:rPr>
        <w:b/>
        <w:color w:val="404040"/>
      </w:rPr>
      <w:tcPr>
        <w:tcBorders>
          <w:top w:val="single" w:color="D99795" w:themeColor="accent2" w:themeTint="97"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Grid Table 4 - Accent 3"/>
    <w:basedOn w:val="39"/>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pPr>
        <w:snapToGrid/>
      </w:pPr>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ABB59" w:fill="9BBB59" w:themeFill="accent3" w:themeFillTint="FE"/>
      </w:tcPr>
    </w:tblStylePr>
    <w:tblStylePr w:type="lastRow">
      <w:pPr>
        <w:snapToGrid/>
      </w:pPr>
      <w:rPr>
        <w:b/>
        <w:color w:val="404040"/>
      </w:rPr>
      <w:tcPr>
        <w:tcBorders>
          <w:top w:val="single" w:color="9BBB59" w:themeColor="accent3" w:themeTint="FE"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Grid Table 4 - Accent 4"/>
    <w:basedOn w:val="39"/>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pPr>
        <w:snapToGrid/>
      </w:pPr>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fill="B2A1C6" w:themeFill="accent4" w:themeFillTint="9A"/>
      </w:tcPr>
    </w:tblStylePr>
    <w:tblStylePr w:type="lastRow">
      <w:pPr>
        <w:snapToGrid/>
      </w:pPr>
      <w:rPr>
        <w:b/>
        <w:color w:val="404040"/>
      </w:rPr>
      <w:tcPr>
        <w:tcBorders>
          <w:top w:val="single" w:color="B2A1C6" w:themeColor="accent4" w:themeTint="9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Grid Table 4 - Accent 5"/>
    <w:basedOn w:val="39"/>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pPr>
        <w:snapToGrid/>
      </w:pPr>
      <w:rPr>
        <w:b/>
        <w:color w:val="404040"/>
      </w:rPr>
      <w:tcPr>
        <w:tcBorders>
          <w:top w:val="single" w:color="4BACC6" w:themeColor="accent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Grid Table 4 - Accent 6"/>
    <w:basedOn w:val="39"/>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pPr>
        <w:snapToGrid/>
      </w:pPr>
      <w:rPr>
        <w:b/>
        <w:color w:val="404040"/>
      </w:rPr>
      <w:tcPr>
        <w:tcBorders>
          <w:top w:val="single" w:color="F79646" w:themeColor="accent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网格表 5 深色11"/>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rFonts w:ascii="Arial" w:hAnsi="Arial"/>
        <w:b/>
        <w:color w:val="FFFFFF"/>
        <w:sz w:val="22"/>
      </w:rPr>
      <w:tcPr>
        <w:tcBorders>
          <w:top w:val="single" w:color="FFFFFF" w:themeColor="light1" w:sz="4" w:space="0"/>
        </w:tcBorders>
        <w:shd w:val="clear" w:color="000000" w:fill="000000" w:themeFill="text1"/>
      </w:tcPr>
    </w:tblStylePr>
    <w:tblStylePr w:type="firstCol">
      <w:pPr>
        <w:snapToGrid/>
      </w:pPr>
      <w:rPr>
        <w:rFonts w:ascii="Arial" w:hAnsi="Arial"/>
        <w:b/>
        <w:color w:val="FFFFFF"/>
        <w:sz w:val="22"/>
      </w:rPr>
      <w:tcPr>
        <w:shd w:val="clear" w:color="000000" w:fill="000000" w:themeFill="text1"/>
      </w:tcPr>
    </w:tblStylePr>
    <w:tblStylePr w:type="lastCol">
      <w:pPr>
        <w:snapToGrid/>
      </w:pPr>
      <w:rPr>
        <w:rFonts w:ascii="Arial" w:hAnsi="Arial"/>
        <w:b/>
        <w:color w:val="FFFFFF"/>
        <w:sz w:val="22"/>
      </w:rPr>
      <w:tcPr>
        <w:shd w:val="clear" w:color="000000" w:fill="000000" w:themeFill="text1"/>
      </w:tcPr>
    </w:tblStylePr>
    <w:tblStylePr w:type="band1Vert">
      <w:pPr>
        <w:snapToGrid/>
      </w:pPr>
      <w:tcPr>
        <w:shd w:val="clear" w:color="8A8A8A" w:fill="898989" w:themeFill="text1" w:themeFillTint="75"/>
      </w:tcPr>
    </w:tblStylePr>
    <w:tblStylePr w:type="band2Vert">
      <w:pPr>
        <w:snapToGrid/>
      </w:pPr>
    </w:tblStylePr>
    <w:tblStylePr w:type="band1Horz">
      <w:pPr>
        <w:snapToGrid/>
      </w:pPr>
      <w:tcPr>
        <w:shd w:val="clear" w:color="8A8A8A"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Grid Table 5 Dark- Accent 1"/>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rFonts w:ascii="Arial" w:hAnsi="Arial"/>
        <w:b/>
        <w:color w:val="FFFFFF"/>
        <w:sz w:val="22"/>
      </w:rPr>
      <w:tcPr>
        <w:tcBorders>
          <w:top w:val="single" w:color="FFFFFF" w:themeColor="light1" w:sz="4" w:space="0"/>
        </w:tcBorders>
        <w:shd w:val="clear" w:color="4F81BD" w:fill="4F81BD" w:themeFill="accent1"/>
      </w:tcPr>
    </w:tblStylePr>
    <w:tblStylePr w:type="firstCol">
      <w:pPr>
        <w:snapToGrid/>
      </w:pPr>
      <w:rPr>
        <w:rFonts w:ascii="Arial" w:hAnsi="Arial"/>
        <w:b/>
        <w:color w:val="FFFFFF"/>
        <w:sz w:val="22"/>
      </w:rPr>
      <w:tcPr>
        <w:shd w:val="clear" w:color="4F81BD" w:fill="4F81BD" w:themeFill="accent1"/>
      </w:tcPr>
    </w:tblStylePr>
    <w:tblStylePr w:type="lastCol">
      <w:pPr>
        <w:snapToGrid/>
      </w:pPr>
      <w:rPr>
        <w:rFonts w:ascii="Arial" w:hAnsi="Arial"/>
        <w:b/>
        <w:color w:val="FFFFFF"/>
        <w:sz w:val="22"/>
      </w:rPr>
      <w:tcPr>
        <w:shd w:val="clear" w:color="4F81BD" w:fill="4F81BD" w:themeFill="accent1"/>
      </w:tcPr>
    </w:tblStylePr>
    <w:tblStylePr w:type="band1Vert">
      <w:pPr>
        <w:snapToGrid/>
      </w:pPr>
      <w:tcPr>
        <w:shd w:val="clear" w:color="AEC4E0" w:fill="AEC5E0" w:themeFill="accent1" w:themeFillTint="75"/>
      </w:tcPr>
    </w:tblStylePr>
    <w:tblStylePr w:type="band2Vert">
      <w:pPr>
        <w:snapToGrid/>
      </w:pPr>
    </w:tblStylePr>
    <w:tblStylePr w:type="band1Horz">
      <w:pPr>
        <w:snapToGrid/>
      </w:pPr>
      <w:tcPr>
        <w:shd w:val="clear" w:color="AEC4E0" w:fill="AEC5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Grid Table 5 Dark - Accent 2"/>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C0504D" w:fill="C0504D" w:themeFill="accent2"/>
      </w:tcPr>
    </w:tblStylePr>
    <w:tblStylePr w:type="lastRow">
      <w:pPr>
        <w:snapToGrid/>
      </w:pPr>
      <w:rPr>
        <w:rFonts w:ascii="Arial" w:hAnsi="Arial"/>
        <w:b/>
        <w:color w:val="FFFFFF"/>
        <w:sz w:val="22"/>
      </w:rPr>
      <w:tcPr>
        <w:tcBorders>
          <w:top w:val="single" w:color="FFFFFF" w:themeColor="light1" w:sz="4" w:space="0"/>
        </w:tcBorders>
        <w:shd w:val="clear" w:color="C0504D" w:fill="C0504D" w:themeFill="accent2"/>
      </w:tcPr>
    </w:tblStylePr>
    <w:tblStylePr w:type="firstCol">
      <w:pPr>
        <w:snapToGrid/>
      </w:pPr>
      <w:rPr>
        <w:rFonts w:ascii="Arial" w:hAnsi="Arial"/>
        <w:b/>
        <w:color w:val="FFFFFF"/>
        <w:sz w:val="22"/>
      </w:rPr>
      <w:tcPr>
        <w:shd w:val="clear" w:color="C0504D" w:fill="C0504D" w:themeFill="accent2"/>
      </w:tcPr>
    </w:tblStylePr>
    <w:tblStylePr w:type="lastCol">
      <w:pPr>
        <w:snapToGrid/>
      </w:pPr>
      <w:rPr>
        <w:rFonts w:ascii="Arial" w:hAnsi="Arial"/>
        <w:b/>
        <w:color w:val="FFFFFF"/>
        <w:sz w:val="22"/>
      </w:rPr>
      <w:tcPr>
        <w:shd w:val="clear" w:color="C0504D" w:fill="C0504D" w:themeFill="accent2"/>
      </w:tcPr>
    </w:tblStylePr>
    <w:tblStylePr w:type="band1Vert">
      <w:pPr>
        <w:snapToGrid/>
      </w:pPr>
      <w:tcPr>
        <w:shd w:val="clear" w:color="E2AEAD" w:fill="E2AEAD" w:themeFill="accent2" w:themeFillTint="75"/>
      </w:tcPr>
    </w:tblStylePr>
    <w:tblStylePr w:type="band2Vert">
      <w:pPr>
        <w:snapToGrid/>
      </w:pPr>
    </w:tblStylePr>
    <w:tblStylePr w:type="band1Horz">
      <w:pPr>
        <w:snapToGrid/>
      </w:pPr>
      <w:tcPr>
        <w:shd w:val="clear" w:color="E2AEAD"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Grid Table 5 Dark - Accent 3"/>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9BBB59" w:fill="9BBB59" w:themeFill="accent3"/>
      </w:tcPr>
    </w:tblStylePr>
    <w:tblStylePr w:type="lastRow">
      <w:pPr>
        <w:snapToGrid/>
      </w:pPr>
      <w:rPr>
        <w:rFonts w:ascii="Arial" w:hAnsi="Arial"/>
        <w:b/>
        <w:color w:val="FFFFFF"/>
        <w:sz w:val="22"/>
      </w:rPr>
      <w:tcPr>
        <w:tcBorders>
          <w:top w:val="single" w:color="FFFFFF" w:themeColor="light1" w:sz="4" w:space="0"/>
        </w:tcBorders>
        <w:shd w:val="clear" w:color="9BBB59" w:fill="9BBB59" w:themeFill="accent3"/>
      </w:tcPr>
    </w:tblStylePr>
    <w:tblStylePr w:type="firstCol">
      <w:pPr>
        <w:snapToGrid/>
      </w:pPr>
      <w:rPr>
        <w:rFonts w:ascii="Arial" w:hAnsi="Arial"/>
        <w:b/>
        <w:color w:val="FFFFFF"/>
        <w:sz w:val="22"/>
      </w:rPr>
      <w:tcPr>
        <w:shd w:val="clear" w:color="9BBB59" w:fill="9BBB59" w:themeFill="accent3"/>
      </w:tcPr>
    </w:tblStylePr>
    <w:tblStylePr w:type="lastCol">
      <w:pPr>
        <w:snapToGrid/>
      </w:pPr>
      <w:rPr>
        <w:rFonts w:ascii="Arial" w:hAnsi="Arial"/>
        <w:b/>
        <w:color w:val="FFFFFF"/>
        <w:sz w:val="22"/>
      </w:rPr>
      <w:tcPr>
        <w:shd w:val="clear" w:color="9BBB59" w:fill="9BBB59" w:themeFill="accent3"/>
      </w:tcPr>
    </w:tblStylePr>
    <w:tblStylePr w:type="band1Vert">
      <w:pPr>
        <w:snapToGrid/>
      </w:pPr>
      <w:tcPr>
        <w:shd w:val="clear" w:color="D0DFB2" w:fill="D1DFB2" w:themeFill="accent3" w:themeFillTint="75"/>
      </w:tcPr>
    </w:tblStylePr>
    <w:tblStylePr w:type="band2Vert">
      <w:pPr>
        <w:snapToGrid/>
      </w:pPr>
    </w:tblStylePr>
    <w:tblStylePr w:type="band1Horz">
      <w:pPr>
        <w:snapToGrid/>
      </w:pPr>
      <w:tcPr>
        <w:shd w:val="clear" w:color="D0DFB2" w:fill="D1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Grid Table 5 Dark- Accent 4"/>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8064A2" w:fill="8064A2" w:themeFill="accent4"/>
      </w:tcPr>
    </w:tblStylePr>
    <w:tblStylePr w:type="lastRow">
      <w:pPr>
        <w:snapToGrid/>
      </w:pPr>
      <w:rPr>
        <w:rFonts w:ascii="Arial" w:hAnsi="Arial"/>
        <w:b/>
        <w:color w:val="FFFFFF"/>
        <w:sz w:val="22"/>
      </w:rPr>
      <w:tcPr>
        <w:tcBorders>
          <w:top w:val="single" w:color="FFFFFF" w:themeColor="light1" w:sz="4" w:space="0"/>
        </w:tcBorders>
        <w:shd w:val="clear" w:color="8064A2" w:fill="8064A2" w:themeFill="accent4"/>
      </w:tcPr>
    </w:tblStylePr>
    <w:tblStylePr w:type="firstCol">
      <w:pPr>
        <w:snapToGrid/>
      </w:pPr>
      <w:rPr>
        <w:rFonts w:ascii="Arial" w:hAnsi="Arial"/>
        <w:b/>
        <w:color w:val="FFFFFF"/>
        <w:sz w:val="22"/>
      </w:rPr>
      <w:tcPr>
        <w:shd w:val="clear" w:color="8064A2" w:fill="8064A2" w:themeFill="accent4"/>
      </w:tcPr>
    </w:tblStylePr>
    <w:tblStylePr w:type="lastCol">
      <w:pPr>
        <w:snapToGrid/>
      </w:pPr>
      <w:rPr>
        <w:rFonts w:ascii="Arial" w:hAnsi="Arial"/>
        <w:b/>
        <w:color w:val="FFFFFF"/>
        <w:sz w:val="22"/>
      </w:rPr>
      <w:tcPr>
        <w:shd w:val="clear" w:color="8064A2" w:fill="8064A2" w:themeFill="accent4"/>
      </w:tcPr>
    </w:tblStylePr>
    <w:tblStylePr w:type="band1Vert">
      <w:pPr>
        <w:snapToGrid/>
      </w:pPr>
      <w:tcPr>
        <w:shd w:val="clear" w:color="C4B7D4" w:fill="C4B7D4" w:themeFill="accent4" w:themeFillTint="75"/>
      </w:tcPr>
    </w:tblStylePr>
    <w:tblStylePr w:type="band2Vert">
      <w:pPr>
        <w:snapToGrid/>
      </w:pPr>
    </w:tblStylePr>
    <w:tblStylePr w:type="band1Horz">
      <w:pPr>
        <w:snapToGrid/>
      </w:pPr>
      <w:tcPr>
        <w:shd w:val="clear" w:color="C4B7D4"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Grid Table 5 Dark - Accent 5"/>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4BACC6" w:fill="4BACC6" w:themeFill="accent5"/>
      </w:tcPr>
    </w:tblStylePr>
    <w:tblStylePr w:type="lastRow">
      <w:pPr>
        <w:snapToGrid/>
      </w:pPr>
      <w:rPr>
        <w:rFonts w:ascii="Arial" w:hAnsi="Arial"/>
        <w:b/>
        <w:color w:val="FFFFFF"/>
        <w:sz w:val="22"/>
      </w:rPr>
      <w:tcPr>
        <w:tcBorders>
          <w:top w:val="single" w:color="FFFFFF" w:themeColor="light1" w:sz="4" w:space="0"/>
        </w:tcBorders>
        <w:shd w:val="clear" w:color="4BACC6" w:fill="4BACC6" w:themeFill="accent5"/>
      </w:tcPr>
    </w:tblStylePr>
    <w:tblStylePr w:type="firstCol">
      <w:pPr>
        <w:snapToGrid/>
      </w:pPr>
      <w:rPr>
        <w:rFonts w:ascii="Arial" w:hAnsi="Arial"/>
        <w:b/>
        <w:color w:val="FFFFFF"/>
        <w:sz w:val="22"/>
      </w:rPr>
      <w:tcPr>
        <w:shd w:val="clear" w:color="4BACC6" w:fill="4BACC6" w:themeFill="accent5"/>
      </w:tcPr>
    </w:tblStylePr>
    <w:tblStylePr w:type="lastCol">
      <w:pPr>
        <w:snapToGrid/>
      </w:pPr>
      <w:rPr>
        <w:rFonts w:ascii="Arial" w:hAnsi="Arial"/>
        <w:b/>
        <w:color w:val="FFFFFF"/>
        <w:sz w:val="22"/>
      </w:rPr>
      <w:tcPr>
        <w:shd w:val="clear" w:color="4BACC6" w:fill="4BACC6" w:themeFill="accent5"/>
      </w:tcPr>
    </w:tblStylePr>
    <w:tblStylePr w:type="band1Vert">
      <w:pPr>
        <w:snapToGrid/>
      </w:pPr>
      <w:tcPr>
        <w:shd w:val="clear" w:color="ACD8E4" w:fill="ACD8E4" w:themeFill="accent5" w:themeFillTint="75"/>
      </w:tcPr>
    </w:tblStylePr>
    <w:tblStylePr w:type="band2Vert">
      <w:pPr>
        <w:snapToGrid/>
      </w:pPr>
    </w:tblStylePr>
    <w:tblStylePr w:type="band1Horz">
      <w:pPr>
        <w:snapToGrid/>
      </w:pPr>
      <w:tcPr>
        <w:shd w:val="clear" w:color="ACD8E4"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Grid Table 5 Dark - Accent 6"/>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79646" w:fill="F79646" w:themeFill="accent6"/>
      </w:tcPr>
    </w:tblStylePr>
    <w:tblStylePr w:type="lastRow">
      <w:pPr>
        <w:snapToGrid/>
      </w:pPr>
      <w:rPr>
        <w:rFonts w:ascii="Arial" w:hAnsi="Arial"/>
        <w:b/>
        <w:color w:val="FFFFFF"/>
        <w:sz w:val="22"/>
      </w:rPr>
      <w:tcPr>
        <w:tcBorders>
          <w:top w:val="single" w:color="FFFFFF" w:themeColor="light1" w:sz="4" w:space="0"/>
        </w:tcBorders>
        <w:shd w:val="clear" w:color="F79646" w:fill="F79646" w:themeFill="accent6"/>
      </w:tcPr>
    </w:tblStylePr>
    <w:tblStylePr w:type="firstCol">
      <w:pPr>
        <w:snapToGrid/>
      </w:pPr>
      <w:rPr>
        <w:rFonts w:ascii="Arial" w:hAnsi="Arial"/>
        <w:b/>
        <w:color w:val="FFFFFF"/>
        <w:sz w:val="22"/>
      </w:rPr>
      <w:tcPr>
        <w:shd w:val="clear" w:color="F79646" w:fill="F79646" w:themeFill="accent6"/>
      </w:tcPr>
    </w:tblStylePr>
    <w:tblStylePr w:type="lastCol">
      <w:pPr>
        <w:snapToGrid/>
      </w:pPr>
      <w:rPr>
        <w:rFonts w:ascii="Arial" w:hAnsi="Arial"/>
        <w:b/>
        <w:color w:val="FFFFFF"/>
        <w:sz w:val="22"/>
      </w:rPr>
      <w:tcPr>
        <w:shd w:val="clear" w:color="F79646" w:fill="F79646" w:themeFill="accent6"/>
      </w:tcPr>
    </w:tblStylePr>
    <w:tblStylePr w:type="band1Vert">
      <w:pPr>
        <w:snapToGrid/>
      </w:pPr>
      <w:tcPr>
        <w:shd w:val="clear" w:color="FBCEAA" w:fill="FBCEAA" w:themeFill="accent6" w:themeFillTint="75"/>
      </w:tcPr>
    </w:tblStylePr>
    <w:tblStylePr w:type="band2Vert">
      <w:pPr>
        <w:snapToGrid/>
      </w:pPr>
    </w:tblStylePr>
    <w:tblStylePr w:type="band1Horz">
      <w:pPr>
        <w:snapToGrid/>
      </w:pPr>
      <w:tcPr>
        <w:shd w:val="clear" w:color="FBCEAA"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网格表 6 彩色11"/>
    <w:basedOn w:val="3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CBCBCB"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CBCBCB"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Grid Table 6 Colorful - Accent 1"/>
    <w:basedOn w:val="39"/>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pPr>
        <w:snapToGrid/>
      </w:pPr>
      <w:rPr>
        <w:b/>
        <w:color w:val="A7C0DE" w:themeColor="accent1" w:themeTint="80"/>
        <w14:textFill>
          <w14:solidFill>
            <w14:schemeClr w14:val="accent1">
              <w14:lumMod w14:val="50000"/>
              <w14:lumOff w14:val="50000"/>
            </w14:schemeClr>
          </w14:solidFill>
        </w14:textFill>
      </w:rPr>
    </w:tblStylePr>
    <w:tblStylePr w:type="firstCol">
      <w:pPr>
        <w:snapToGrid/>
      </w:pPr>
      <w:rPr>
        <w:b/>
        <w:color w:val="A7C0DE" w:themeColor="accent1" w:themeTint="80"/>
        <w14:textFill>
          <w14:solidFill>
            <w14:schemeClr w14:val="accent1">
              <w14:lumMod w14:val="50000"/>
              <w14:lumOff w14:val="50000"/>
            </w14:schemeClr>
          </w14:solidFill>
        </w14:textFill>
      </w:rPr>
    </w:tblStylePr>
    <w:tblStylePr w:type="lastCol">
      <w:pPr>
        <w:snapToGrid/>
      </w:pPr>
      <w:rPr>
        <w:b/>
        <w:color w:val="A7C0DE" w:themeColor="accent1" w:themeTint="80"/>
        <w14:textFill>
          <w14:solidFill>
            <w14:schemeClr w14:val="accent1">
              <w14:lumMod w14:val="50000"/>
              <w14:lumOff w14:val="50000"/>
            </w14:schemeClr>
          </w14:solidFill>
        </w14:textFill>
      </w:rPr>
    </w:tblStylePr>
    <w:tblStylePr w:type="band1Vert">
      <w:pPr>
        <w:snapToGrid/>
      </w:pPr>
      <w:tcPr>
        <w:shd w:val="clear" w:color="DAE5F1"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AE5F1"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Grid Table 6 Colorful - Accent 2"/>
    <w:basedOn w:val="3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F2DCDC"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2DCDC"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Grid Table 6 Colorful - Accent 3"/>
    <w:basedOn w:val="39"/>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9BBB59" w:themeColor="accent3"/>
        <w14:textFill>
          <w14:solidFill>
            <w14:schemeClr w14:val="accent3"/>
          </w14:solidFill>
        </w14:textFill>
      </w:rPr>
      <w:tcPr>
        <w:tcBorders>
          <w:bottom w:val="single" w:color="9BBB59" w:themeColor="accent3" w:themeTint="FE" w:sz="12" w:space="0"/>
        </w:tcBorders>
      </w:tcPr>
    </w:tblStylePr>
    <w:tblStylePr w:type="lastRow">
      <w:pPr>
        <w:snapToGrid/>
      </w:pPr>
      <w:rPr>
        <w:b/>
        <w:color w:val="9BBB59" w:themeColor="accent3"/>
        <w14:textFill>
          <w14:solidFill>
            <w14:schemeClr w14:val="accent3"/>
          </w14:solidFill>
        </w14:textFill>
      </w:rPr>
    </w:tblStylePr>
    <w:tblStylePr w:type="firstCol">
      <w:pPr>
        <w:snapToGrid/>
      </w:pPr>
      <w:rPr>
        <w:b/>
        <w:color w:val="9BBB59" w:themeColor="accent3"/>
        <w14:textFill>
          <w14:solidFill>
            <w14:schemeClr w14:val="accent3"/>
          </w14:solidFill>
        </w14:textFill>
      </w:rPr>
    </w:tblStylePr>
    <w:tblStylePr w:type="lastCol">
      <w:pPr>
        <w:snapToGrid/>
      </w:pPr>
      <w:rPr>
        <w:b/>
        <w:color w:val="9BBB59" w:themeColor="accent3"/>
        <w14:textFill>
          <w14:solidFill>
            <w14:schemeClr w14:val="accent3"/>
          </w14:solidFill>
        </w14:textFill>
      </w:rPr>
    </w:tblStylePr>
    <w:tblStylePr w:type="band1Vert">
      <w:pPr>
        <w:snapToGrid/>
      </w:pPr>
      <w:tcPr>
        <w:shd w:val="clear" w:color="EAF1DC" w:fill="EAF1DD" w:themeFill="accent3" w:themeFillTint="34"/>
      </w:tcPr>
    </w:tblStylePr>
    <w:tblStylePr w:type="band2Vert">
      <w:pPr>
        <w:snapToGrid/>
      </w:pPr>
    </w:tblStylePr>
    <w:tblStylePr w:type="band1Horz">
      <w:pPr>
        <w:snapToGrid/>
      </w:pPr>
      <w:rPr>
        <w:rFonts w:ascii="Arial" w:hAnsi="Arial"/>
        <w:color w:val="9BBB59" w:themeColor="accent3"/>
        <w:sz w:val="22"/>
        <w14:textFill>
          <w14:solidFill>
            <w14:schemeClr w14:val="accent3"/>
          </w14:solidFill>
        </w14:textFill>
      </w:rPr>
      <w:tcPr>
        <w:shd w:val="clear" w:color="EAF1DC" w:fill="EAF1DD" w:themeFill="accent3" w:themeFillTint="34"/>
      </w:tcPr>
    </w:tblStylePr>
    <w:tblStylePr w:type="band2Horz">
      <w:pPr>
        <w:snapToGrid/>
      </w:pPr>
      <w:rPr>
        <w:rFonts w:ascii="Arial" w:hAnsi="Arial"/>
        <w:color w:val="9BBB59"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Grid Table 6 Colorful - Accent 4"/>
    <w:basedOn w:val="3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E5DFEC"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E5DFEC"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Grid Table 6 Colorful - Accent 5"/>
    <w:basedOn w:val="39"/>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pPr>
        <w:snapToGrid/>
      </w:pPr>
      <w:rPr>
        <w:b/>
        <w:color w:val="266778" w:themeColor="accent5" w:themeShade="94"/>
      </w:rPr>
      <w:tcPr>
        <w:tcBorders>
          <w:bottom w:val="single" w:color="4BACC6" w:themeColor="accent5"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DAEEF3"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AEEF3"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Grid Table 6 Colorful - Accent 6"/>
    <w:basedOn w:val="39"/>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pPr>
        <w:snapToGrid/>
      </w:pPr>
      <w:rPr>
        <w:b/>
        <w:color w:val="266778" w:themeColor="accent5" w:themeShade="94"/>
      </w:rPr>
      <w:tcPr>
        <w:tcBorders>
          <w:bottom w:val="single" w:color="F79646" w:themeColor="accent6"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FDE9D8" w:fill="FDE9D9" w:themeFill="accent6" w:themeFillTint="34"/>
      </w:tcPr>
    </w:tblStylePr>
    <w:tblStylePr w:type="band2Vert">
      <w:pPr>
        <w:snapToGrid/>
      </w:pPr>
    </w:tblStylePr>
    <w:tblStylePr w:type="band1Horz">
      <w:pPr>
        <w:snapToGrid/>
      </w:pPr>
      <w:rPr>
        <w:rFonts w:ascii="Arial" w:hAnsi="Arial"/>
        <w:color w:val="266778" w:themeColor="accent5" w:themeShade="94"/>
        <w:sz w:val="22"/>
      </w:rPr>
      <w:tcPr>
        <w:shd w:val="clear" w:color="FDE9D8" w:fill="FDE9D9" w:themeFill="accent6"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网格表 7 彩色11"/>
    <w:basedOn w:val="3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F2F2F2"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2F2F2"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Grid Table 7 Colorful - Accent 1"/>
    <w:basedOn w:val="39"/>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fill="FFFFFF" w:themeFill="light1"/>
      </w:tcPr>
    </w:tblStylePr>
    <w:tblStylePr w:type="la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fill="FFFFFF" w:themeFill="light1"/>
      </w:tcPr>
    </w:tblStylePr>
    <w:tblStylePr w:type="firstCol">
      <w:pPr>
        <w:snapToGrid/>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FFFFFF"/>
      </w:tcPr>
    </w:tblStylePr>
    <w:tblStylePr w:type="lastCol">
      <w:pPr>
        <w:snapToGrid/>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FFFFFF"/>
      </w:tcPr>
    </w:tblStylePr>
    <w:tblStylePr w:type="band1Vert">
      <w:pPr>
        <w:snapToGrid/>
      </w:pPr>
      <w:tcPr>
        <w:shd w:val="clear" w:color="DAE5F1"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AE5F1"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Grid Table 7 Colorful - Accent 2"/>
    <w:basedOn w:val="39"/>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F2DCDC"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2DCDC"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Grid Table 7 Colorful - Accent 3"/>
    <w:basedOn w:val="39"/>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fill="FFFFFF" w:themeFill="light1"/>
      </w:tcPr>
    </w:tblStylePr>
    <w:tblStylePr w:type="lastRow">
      <w:pPr>
        <w:snapToGrid/>
      </w:pPr>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FFFFFF"/>
      </w:tcPr>
    </w:tblStylePr>
    <w:tblStylePr w:type="lastCol">
      <w:pPr>
        <w:snapToGrid/>
      </w:pPr>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FFFFFF"/>
      </w:tcPr>
    </w:tblStylePr>
    <w:tblStylePr w:type="band1Vert">
      <w:pPr>
        <w:snapToGrid/>
      </w:pPr>
      <w:tcPr>
        <w:shd w:val="clear" w:color="EAF1DC" w:fill="EAF1DD" w:themeFill="accent3" w:themeFillTint="34"/>
      </w:tcPr>
    </w:tblStylePr>
    <w:tblStylePr w:type="band2Vert">
      <w:pPr>
        <w:snapToGrid/>
      </w:pPr>
    </w:tblStylePr>
    <w:tblStylePr w:type="band1Horz">
      <w:pPr>
        <w:snapToGrid/>
      </w:pPr>
      <w:rPr>
        <w:rFonts w:ascii="Arial" w:hAnsi="Arial"/>
        <w:color w:val="9BBB59" w:themeColor="accent3"/>
        <w:sz w:val="22"/>
        <w14:textFill>
          <w14:solidFill>
            <w14:schemeClr w14:val="accent3"/>
          </w14:solidFill>
        </w14:textFill>
      </w:rPr>
      <w:tcPr>
        <w:shd w:val="clear" w:color="EAF1DC" w:fill="EAF1DD" w:themeFill="accent3" w:themeFillTint="34"/>
      </w:tcPr>
    </w:tblStylePr>
    <w:tblStylePr w:type="band2Horz">
      <w:pPr>
        <w:snapToGrid/>
      </w:pPr>
      <w:rPr>
        <w:rFonts w:ascii="Arial" w:hAnsi="Arial"/>
        <w:color w:val="9BBB59"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Grid Table 7 Colorful - Accent 4"/>
    <w:basedOn w:val="39"/>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E5DFEC"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E5DFEC"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Grid Table 7 Colorful - Accent 5"/>
    <w:basedOn w:val="39"/>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fill="FFFFFF" w:themeFill="light1"/>
      </w:tcPr>
    </w:tblStylePr>
    <w:tblStylePr w:type="lastRow">
      <w:pPr>
        <w:snapToGrid/>
      </w:pPr>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fill="FFFFFF" w:themeFill="light1"/>
      </w:tcPr>
    </w:tblStylePr>
    <w:tblStylePr w:type="firstCol">
      <w:pPr>
        <w:snapToGrid/>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FFFFFF"/>
      </w:tcPr>
    </w:tblStylePr>
    <w:tblStylePr w:type="lastCol">
      <w:pPr>
        <w:snapToGrid/>
      </w:pPr>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FFFFFF"/>
      </w:tcPr>
    </w:tblStylePr>
    <w:tblStylePr w:type="band1Vert">
      <w:pPr>
        <w:snapToGrid/>
      </w:pPr>
      <w:tcPr>
        <w:shd w:val="clear" w:color="DAEEF3"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AEEF3"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Grid Table 7 Colorful - Accent 6"/>
    <w:basedOn w:val="39"/>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fill="FFFFFF" w:themeFill="light1"/>
      </w:tcPr>
    </w:tblStylePr>
    <w:tblStylePr w:type="lastRow">
      <w:pPr>
        <w:snapToGrid/>
      </w:pPr>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fill="FFFFFF" w:themeFill="light1"/>
      </w:tcPr>
    </w:tblStylePr>
    <w:tblStylePr w:type="firstCol">
      <w:pPr>
        <w:snapToGrid/>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FFFFFF"/>
      </w:tcPr>
    </w:tblStylePr>
    <w:tblStylePr w:type="lastCol">
      <w:pPr>
        <w:snapToGrid/>
      </w:pPr>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FFFFFF"/>
      </w:tcPr>
    </w:tblStylePr>
    <w:tblStylePr w:type="band1Vert">
      <w:pPr>
        <w:snapToGrid/>
      </w:pPr>
      <w:tcPr>
        <w:shd w:val="clear" w:color="FDE9D8" w:fill="FDE9D9" w:themeFill="accent6" w:themeFillTint="34"/>
      </w:tcPr>
    </w:tblStylePr>
    <w:tblStylePr w:type="band2Vert">
      <w:pPr>
        <w:snapToGrid/>
      </w:pPr>
    </w:tblStylePr>
    <w:tblStylePr w:type="band1Horz">
      <w:pPr>
        <w:snapToGrid/>
      </w:pPr>
      <w:rPr>
        <w:rFonts w:ascii="Arial" w:hAnsi="Arial"/>
        <w:color w:val="B05408" w:themeColor="accent6" w:themeShade="94"/>
        <w:sz w:val="22"/>
      </w:rPr>
      <w:tcPr>
        <w:shd w:val="clear" w:color="FDE9D8" w:fill="FDE9D9" w:themeFill="accent6" w:themeFillTint="34"/>
      </w:tcPr>
    </w:tblStylePr>
    <w:tblStylePr w:type="band2Horz">
      <w:pPr>
        <w:snapToGrid/>
      </w:pPr>
      <w:rPr>
        <w:rFonts w:ascii="Arial" w:hAnsi="Arial"/>
        <w:color w:val="B05408"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清单表 1 浅色11"/>
    <w:basedOn w:val="39"/>
    <w:qFormat/>
    <w:uiPriority w:val="99"/>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BFBFBF" w:fill="BEBEBE" w:themeFill="text1" w:themeFillTint="40"/>
      </w:tcPr>
    </w:tblStylePr>
    <w:tblStylePr w:type="band2Vert">
      <w:pPr>
        <w:snapToGrid/>
      </w:pPr>
    </w:tblStylePr>
    <w:tblStylePr w:type="band1Horz">
      <w:pPr>
        <w:snapToGrid/>
      </w:p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1 Light - Accent 1"/>
    <w:basedOn w:val="39"/>
    <w:qFormat/>
    <w:uiPriority w:val="99"/>
    <w:tblStylePr w:type="firstRow">
      <w:pPr>
        <w:snapToGrid/>
      </w:pPr>
      <w:rPr>
        <w:b/>
        <w:color w:val="404040"/>
      </w:rPr>
      <w:tcPr>
        <w:tcBorders>
          <w:top w:val="nil"/>
          <w:left w:val="nil"/>
          <w:bottom w:val="single" w:color="4F81BD" w:themeColor="accent1" w:sz="4" w:space="0"/>
          <w:right w:val="nil"/>
        </w:tcBorders>
      </w:tcPr>
    </w:tblStylePr>
    <w:tblStylePr w:type="lastRow">
      <w:pPr>
        <w:snapToGrid/>
      </w:pPr>
      <w:rPr>
        <w:b/>
        <w:color w:val="404040"/>
      </w:rPr>
      <w:tcPr>
        <w:tcBorders>
          <w:top w:val="single" w:color="4F81BD" w:themeColor="accen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2DFEE" w:fill="D2DFEE" w:themeFill="accent1" w:themeFillTint="40"/>
      </w:tcPr>
    </w:tblStylePr>
    <w:tblStylePr w:type="band2Vert">
      <w:pPr>
        <w:snapToGrid/>
      </w:pPr>
    </w:tblStylePr>
    <w:tblStylePr w:type="band1Horz">
      <w:pPr>
        <w:snapToGrid/>
      </w:p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1 Light - Accent 2"/>
    <w:basedOn w:val="39"/>
    <w:qFormat/>
    <w:uiPriority w:val="99"/>
    <w:tblStylePr w:type="firstRow">
      <w:pPr>
        <w:snapToGrid/>
      </w:pPr>
      <w:rPr>
        <w:b/>
        <w:color w:val="404040"/>
      </w:rPr>
      <w:tcPr>
        <w:tcBorders>
          <w:top w:val="nil"/>
          <w:left w:val="nil"/>
          <w:bottom w:val="single" w:color="C0504D" w:themeColor="accent2" w:sz="4" w:space="0"/>
          <w:right w:val="nil"/>
        </w:tcBorders>
      </w:tcPr>
    </w:tblStylePr>
    <w:tblStylePr w:type="lastRow">
      <w:pPr>
        <w:snapToGrid/>
      </w:pPr>
      <w:rPr>
        <w:b/>
        <w:color w:val="404040"/>
      </w:rPr>
      <w:tcPr>
        <w:tcBorders>
          <w:top w:val="single" w:color="C0504D" w:themeColor="accent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EFD2D2" w:fill="EFD3D2" w:themeFill="accent2" w:themeFillTint="40"/>
      </w:tcPr>
    </w:tblStylePr>
    <w:tblStylePr w:type="band2Vert">
      <w:pPr>
        <w:snapToGrid/>
      </w:pPr>
    </w:tblStylePr>
    <w:tblStylePr w:type="band1Horz">
      <w:pPr>
        <w:snapToGrid/>
      </w:p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1 Light - Accent 3"/>
    <w:basedOn w:val="39"/>
    <w:qFormat/>
    <w:uiPriority w:val="99"/>
    <w:tblStylePr w:type="firstRow">
      <w:pPr>
        <w:snapToGrid/>
      </w:pPr>
      <w:rPr>
        <w:b/>
        <w:color w:val="404040"/>
      </w:rPr>
      <w:tcPr>
        <w:tcBorders>
          <w:top w:val="nil"/>
          <w:left w:val="nil"/>
          <w:bottom w:val="single" w:color="9BBB59" w:themeColor="accent3" w:sz="4" w:space="0"/>
          <w:right w:val="nil"/>
        </w:tcBorders>
      </w:tcPr>
    </w:tblStylePr>
    <w:tblStylePr w:type="lastRow">
      <w:pPr>
        <w:snapToGrid/>
      </w:pPr>
      <w:rPr>
        <w:b/>
        <w:color w:val="404040"/>
      </w:rPr>
      <w:tcPr>
        <w:tcBorders>
          <w:top w:val="single" w:color="9BBB59" w:themeColor="accent3"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E5EED5" w:fill="E5EDD5" w:themeFill="accent3" w:themeFillTint="40"/>
      </w:tcPr>
    </w:tblStylePr>
    <w:tblStylePr w:type="band2Vert">
      <w:pPr>
        <w:snapToGrid/>
      </w:pPr>
    </w:tblStylePr>
    <w:tblStylePr w:type="band1Horz">
      <w:pPr>
        <w:snapToGrid/>
      </w:p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st Table 1 Light - Accent 4"/>
    <w:basedOn w:val="39"/>
    <w:qFormat/>
    <w:uiPriority w:val="99"/>
    <w:tblStylePr w:type="firstRow">
      <w:pPr>
        <w:snapToGrid/>
      </w:pPr>
      <w:rPr>
        <w:b/>
        <w:color w:val="404040"/>
      </w:rPr>
      <w:tcPr>
        <w:tcBorders>
          <w:top w:val="nil"/>
          <w:left w:val="nil"/>
          <w:bottom w:val="single" w:color="8064A2" w:themeColor="accent4" w:sz="4" w:space="0"/>
          <w:right w:val="nil"/>
        </w:tcBorders>
      </w:tcPr>
    </w:tblStylePr>
    <w:tblStylePr w:type="lastRow">
      <w:pPr>
        <w:snapToGrid/>
      </w:pPr>
      <w:rPr>
        <w:b/>
        <w:color w:val="404040"/>
      </w:rPr>
      <w:tcPr>
        <w:tcBorders>
          <w:top w:val="single" w:color="8064A2" w:themeColor="accent4"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FD8E7" w:fill="DFD8E7" w:themeFill="accent4" w:themeFillTint="40"/>
      </w:tcPr>
    </w:tblStylePr>
    <w:tblStylePr w:type="band2Vert">
      <w:pPr>
        <w:snapToGrid/>
      </w:pPr>
    </w:tblStylePr>
    <w:tblStylePr w:type="band1Horz">
      <w:pPr>
        <w:snapToGrid/>
      </w:p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st Table 1 Light - Accent 5"/>
    <w:basedOn w:val="39"/>
    <w:qFormat/>
    <w:uiPriority w:val="99"/>
    <w:tblStylePr w:type="firstRow">
      <w:pPr>
        <w:snapToGrid/>
      </w:pPr>
      <w:rPr>
        <w:b/>
        <w:color w:val="404040"/>
      </w:rPr>
      <w:tcPr>
        <w:tcBorders>
          <w:top w:val="nil"/>
          <w:left w:val="nil"/>
          <w:bottom w:val="single" w:color="4BACC6" w:themeColor="accent5" w:sz="4" w:space="0"/>
          <w:right w:val="nil"/>
        </w:tcBorders>
      </w:tcPr>
    </w:tblStylePr>
    <w:tblStylePr w:type="lastRow">
      <w:pPr>
        <w:snapToGrid/>
      </w:pPr>
      <w:rPr>
        <w:b/>
        <w:color w:val="404040"/>
      </w:rPr>
      <w:tcPr>
        <w:tcBorders>
          <w:top w:val="single" w:color="4BACC6" w:themeColor="accent5"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1EAF0" w:fill="D1EAF0" w:themeFill="accent5" w:themeFillTint="40"/>
      </w:tcPr>
    </w:tblStylePr>
    <w:tblStylePr w:type="band2Vert">
      <w:pPr>
        <w:snapToGrid/>
      </w:pPr>
    </w:tblStylePr>
    <w:tblStylePr w:type="band1Horz">
      <w:pPr>
        <w:snapToGrid/>
      </w:p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st Table 1 Light - Accent 6"/>
    <w:basedOn w:val="39"/>
    <w:qFormat/>
    <w:uiPriority w:val="99"/>
    <w:tblStylePr w:type="firstRow">
      <w:pPr>
        <w:snapToGrid/>
      </w:pPr>
      <w:rPr>
        <w:b/>
        <w:color w:val="404040"/>
      </w:rPr>
      <w:tcPr>
        <w:tcBorders>
          <w:top w:val="nil"/>
          <w:left w:val="nil"/>
          <w:bottom w:val="single" w:color="F79646" w:themeColor="accent6" w:sz="4" w:space="0"/>
          <w:right w:val="nil"/>
        </w:tcBorders>
      </w:tcPr>
    </w:tblStylePr>
    <w:tblStylePr w:type="lastRow">
      <w:pPr>
        <w:snapToGrid/>
      </w:pPr>
      <w:rPr>
        <w:b/>
        <w:color w:val="404040"/>
      </w:rPr>
      <w:tcPr>
        <w:tcBorders>
          <w:top w:val="single" w:color="F79646" w:themeColor="accent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DE4D0" w:fill="FCE4D0" w:themeFill="accent6" w:themeFillTint="40"/>
      </w:tcPr>
    </w:tblStylePr>
    <w:tblStylePr w:type="band2Vert">
      <w:pPr>
        <w:snapToGrid/>
      </w:pPr>
    </w:tblStylePr>
    <w:tblStylePr w:type="band1Horz">
      <w:pPr>
        <w:snapToGrid/>
      </w:p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清单表 211"/>
    <w:basedOn w:val="3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st Table 2 - Accent 1"/>
    <w:basedOn w:val="39"/>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st Table 2 - Accent 2"/>
    <w:basedOn w:val="39"/>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EFD2D2" w:fill="EFD3D2" w:themeFill="accent2" w:themeFillTint="40"/>
      </w:tcPr>
    </w:tblStylePr>
    <w:tblStylePr w:type="band2Vert">
      <w:pPr>
        <w:snapToGrid/>
      </w:pPr>
    </w:tblStylePr>
    <w:tblStylePr w:type="band1Horz">
      <w:pPr>
        <w:snapToGrid/>
      </w:pPr>
      <w:rPr>
        <w:rFonts w:ascii="Arial" w:hAnsi="Arial"/>
        <w:color w:val="404040"/>
        <w:sz w:val="22"/>
      </w:r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st Table 2 - Accent 3"/>
    <w:basedOn w:val="39"/>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E5EED5" w:fill="E5EDD5" w:themeFill="accent3" w:themeFillTint="40"/>
      </w:tcPr>
    </w:tblStylePr>
    <w:tblStylePr w:type="band2Vert">
      <w:pPr>
        <w:snapToGrid/>
      </w:pPr>
    </w:tblStylePr>
    <w:tblStylePr w:type="band1Horz">
      <w:pPr>
        <w:snapToGrid/>
      </w:pPr>
      <w:rPr>
        <w:rFonts w:ascii="Arial" w:hAnsi="Arial"/>
        <w:color w:val="404040"/>
        <w:sz w:val="22"/>
      </w:r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List Table 2 - Accent 4"/>
    <w:basedOn w:val="39"/>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List Table 2 - Accent 5"/>
    <w:basedOn w:val="39"/>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List Table 2 - Accent 6"/>
    <w:basedOn w:val="39"/>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DE4D0" w:fill="FCE4D0" w:themeFill="accent6" w:themeFillTint="40"/>
      </w:tcPr>
    </w:tblStylePr>
    <w:tblStylePr w:type="band2Vert">
      <w:pPr>
        <w:snapToGrid/>
      </w:pPr>
    </w:tblStylePr>
    <w:tblStylePr w:type="band1Horz">
      <w:pPr>
        <w:snapToGrid/>
      </w:pPr>
      <w:rPr>
        <w:rFonts w:ascii="Arial" w:hAnsi="Arial"/>
        <w:color w:val="404040"/>
        <w:sz w:val="22"/>
      </w:r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清单表 311"/>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List Table 3 - Accent 1"/>
    <w:basedOn w:val="39"/>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4F81BD" w:themeColor="accent1" w:sz="4" w:space="0"/>
          <w:right w:val="single" w:color="4F81BD" w:themeColor="accent1" w:sz="4" w:space="0"/>
        </w:tcBorders>
      </w:tcPr>
    </w:tblStylePr>
    <w:tblStylePr w:type="band2Vert">
      <w:pPr>
        <w:snapToGrid/>
      </w:pPr>
    </w:tblStylePr>
    <w:tblStylePr w:type="band1Horz">
      <w:pPr>
        <w:snapToGrid/>
      </w:pPr>
      <w:rPr>
        <w:rFonts w:ascii="Arial" w:hAnsi="Arial"/>
        <w:color w:val="404040"/>
        <w:sz w:val="22"/>
      </w:rPr>
      <w:tcPr>
        <w:tcBorders>
          <w:top w:val="single" w:color="4F81BD" w:themeColor="accent1" w:sz="4" w:space="0"/>
          <w:bottom w:val="single" w:color="4F81BD" w:themeColor="accen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List Table 3 - Accent 2"/>
    <w:basedOn w:val="3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pPr>
        <w:snapToGrid/>
      </w:pPr>
      <w:rPr>
        <w:rFonts w:ascii="Arial" w:hAnsi="Arial"/>
        <w:b/>
        <w:color w:val="FFFFFF"/>
        <w:sz w:val="22"/>
      </w:rPr>
      <w:tcPr>
        <w:shd w:val="clear" w:color="D99695" w:fill="D997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pPr>
        <w:snapToGrid/>
      </w:pPr>
    </w:tblStylePr>
    <w:tblStylePr w:type="band1Horz">
      <w:pPr>
        <w:snapToGrid/>
      </w:pPr>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List Table 3 - Accent 3"/>
    <w:basedOn w:val="39"/>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pPr>
        <w:snapToGrid/>
      </w:pPr>
      <w:rPr>
        <w:rFonts w:ascii="Arial" w:hAnsi="Arial"/>
        <w:b/>
        <w:color w:val="FFFFFF"/>
        <w:sz w:val="22"/>
      </w:rPr>
      <w:tcPr>
        <w:shd w:val="clear" w:color="C3D69B" w:fill="C3D69C"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pPr>
        <w:snapToGrid/>
      </w:pPr>
    </w:tblStylePr>
    <w:tblStylePr w:type="band1Horz">
      <w:pPr>
        <w:snapToGrid/>
      </w:pPr>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List Table 3 - Accent 4"/>
    <w:basedOn w:val="3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pPr>
        <w:snapToGrid/>
      </w:pPr>
      <w:rPr>
        <w:rFonts w:ascii="Arial" w:hAnsi="Arial"/>
        <w:b/>
        <w:color w:val="FFFFFF"/>
        <w:sz w:val="22"/>
      </w:rPr>
      <w:tcPr>
        <w:shd w:val="clear" w:color="B2A1C6"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pPr>
        <w:snapToGrid/>
      </w:pPr>
    </w:tblStylePr>
    <w:tblStylePr w:type="band1Horz">
      <w:pPr>
        <w:snapToGrid/>
      </w:pPr>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List Table 3 - Accent 5"/>
    <w:basedOn w:val="39"/>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pPr>
        <w:snapToGrid/>
      </w:pPr>
      <w:rPr>
        <w:rFonts w:ascii="Arial" w:hAnsi="Arial"/>
        <w:b/>
        <w:color w:val="FFFFFF"/>
        <w:sz w:val="22"/>
      </w:rPr>
      <w:tcPr>
        <w:shd w:val="clear" w:color="92CCDC"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pPr>
        <w:snapToGrid/>
      </w:pPr>
    </w:tblStylePr>
    <w:tblStylePr w:type="band1Horz">
      <w:pPr>
        <w:snapToGrid/>
      </w:pPr>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List Table 3 - Accent 6"/>
    <w:basedOn w:val="39"/>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pPr>
        <w:snapToGrid/>
      </w:pPr>
      <w:rPr>
        <w:rFonts w:ascii="Arial" w:hAnsi="Arial"/>
        <w:b/>
        <w:color w:val="FFFFFF"/>
        <w:sz w:val="22"/>
      </w:rPr>
      <w:tcPr>
        <w:shd w:val="clear" w:color="FAC090"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pPr>
        <w:snapToGrid/>
      </w:pPr>
    </w:tblStylePr>
    <w:tblStylePr w:type="band1Horz">
      <w:pPr>
        <w:snapToGrid/>
      </w:pPr>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清单表 411"/>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List Table 4 - Accent 1"/>
    <w:basedOn w:val="39"/>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List Table 4 - Accent 2"/>
    <w:basedOn w:val="39"/>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pPr>
        <w:snapToGrid/>
      </w:pPr>
      <w:rPr>
        <w:rFonts w:ascii="Arial" w:hAnsi="Arial"/>
        <w:b/>
        <w:color w:val="FFFFFF"/>
        <w:sz w:val="22"/>
      </w:rPr>
      <w:tcPr>
        <w:shd w:val="clear" w:color="C0504D"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FD2D2" w:fill="EFD3D2" w:themeFill="accent2" w:themeFillTint="40"/>
      </w:tcPr>
    </w:tblStylePr>
    <w:tblStylePr w:type="band2Vert">
      <w:pPr>
        <w:snapToGrid/>
      </w:pPr>
    </w:tblStylePr>
    <w:tblStylePr w:type="band1Horz">
      <w:pPr>
        <w:snapToGrid/>
      </w:pPr>
      <w:rPr>
        <w:rFonts w:ascii="Arial" w:hAnsi="Arial"/>
        <w:color w:val="404040"/>
        <w:sz w:val="22"/>
      </w:r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List Table 4 - Accent 3"/>
    <w:basedOn w:val="39"/>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pPr>
        <w:snapToGrid/>
      </w:pPr>
      <w:rPr>
        <w:rFonts w:ascii="Arial" w:hAnsi="Arial"/>
        <w:b/>
        <w:color w:val="FFFFFF"/>
        <w:sz w:val="22"/>
      </w:rPr>
      <w:tcPr>
        <w:shd w:val="clear" w:color="9BBB59"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EED5" w:fill="E5EDD5" w:themeFill="accent3" w:themeFillTint="40"/>
      </w:tcPr>
    </w:tblStylePr>
    <w:tblStylePr w:type="band2Vert">
      <w:pPr>
        <w:snapToGrid/>
      </w:pPr>
    </w:tblStylePr>
    <w:tblStylePr w:type="band1Horz">
      <w:pPr>
        <w:snapToGrid/>
      </w:pPr>
      <w:rPr>
        <w:rFonts w:ascii="Arial" w:hAnsi="Arial"/>
        <w:color w:val="404040"/>
        <w:sz w:val="22"/>
      </w:r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1">
    <w:name w:val="List Table 4 - Accent 4"/>
    <w:basedOn w:val="39"/>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pPr>
        <w:snapToGrid/>
      </w:pPr>
      <w:rPr>
        <w:rFonts w:ascii="Arial" w:hAnsi="Arial"/>
        <w:b/>
        <w:color w:val="FFFFFF"/>
        <w:sz w:val="22"/>
      </w:rPr>
      <w:tcPr>
        <w:shd w:val="clear" w:color="8064A2"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2">
    <w:name w:val="List Table 4 - Accent 5"/>
    <w:basedOn w:val="39"/>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pPr>
        <w:snapToGrid/>
      </w:pPr>
      <w:rPr>
        <w:rFonts w:ascii="Arial" w:hAnsi="Arial"/>
        <w:b/>
        <w:color w:val="FFFFFF"/>
        <w:sz w:val="22"/>
      </w:rPr>
      <w:tcPr>
        <w:shd w:val="clear" w:color="4BACC6"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3">
    <w:name w:val="List Table 4 - Accent 6"/>
    <w:basedOn w:val="39"/>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pPr>
        <w:snapToGrid/>
      </w:pPr>
      <w:rPr>
        <w:rFonts w:ascii="Arial" w:hAnsi="Arial"/>
        <w:b/>
        <w:color w:val="FFFFFF"/>
        <w:sz w:val="22"/>
      </w:rPr>
      <w:tcPr>
        <w:shd w:val="clear" w:color="F79646"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4D0" w:fill="FCE4D0" w:themeFill="accent6" w:themeFillTint="40"/>
      </w:tcPr>
    </w:tblStylePr>
    <w:tblStylePr w:type="band2Vert">
      <w:pPr>
        <w:snapToGrid/>
      </w:pPr>
    </w:tblStylePr>
    <w:tblStylePr w:type="band1Horz">
      <w:pPr>
        <w:snapToGrid/>
      </w:pPr>
      <w:rPr>
        <w:rFonts w:ascii="Arial" w:hAnsi="Arial"/>
        <w:color w:val="404040"/>
        <w:sz w:val="22"/>
      </w:r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4">
    <w:name w:val="清单表 5 深色11"/>
    <w:basedOn w:val="3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F7F7F"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7F7F7F"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5">
    <w:name w:val="List Table 5 Dark - Accent 1"/>
    <w:basedOn w:val="39"/>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fill="4F81BD" w:themeFill="accent1"/>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pPr>
        <w:snapToGrid/>
      </w:pPr>
      <w:tcPr>
        <w:tcBorders>
          <w:left w:val="single" w:color="FFFFFF" w:themeColor="light1" w:sz="4" w:space="0"/>
          <w:right w:val="single" w:color="4F81BD" w:themeColor="accent1" w:sz="32" w:space="0"/>
        </w:tcBorders>
      </w:tcPr>
    </w:tblStylePr>
    <w:tblStylePr w:type="band1Vert">
      <w:pPr>
        <w:snapToGrid/>
      </w:pPr>
      <w:tcPr>
        <w:tcBorders>
          <w:left w:val="single" w:color="FFFFFF" w:themeColor="light1" w:sz="4" w:space="0"/>
          <w:right w:val="single" w:color="FFFFFF" w:themeColor="light1" w:sz="4" w:space="0"/>
        </w:tcBorders>
        <w:shd w:val="clear" w:color="4F81BD" w:fill="4F81BD" w:themeFill="accent1"/>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4F81BD" w:fill="4F81BD" w:themeFill="accent1"/>
      </w:tcPr>
    </w:tblStylePr>
    <w:tblStylePr w:type="band2Horz">
      <w:pPr>
        <w:snapToGrid/>
      </w:pPr>
      <w:tcPr>
        <w:tcBorders>
          <w:top w:val="single" w:color="FFFFFF" w:themeColor="light1" w:sz="4" w:space="0"/>
          <w:bottom w:val="single" w:color="FFFFFF" w:themeColor="light1" w:sz="4" w:space="0"/>
        </w:tcBorders>
        <w:shd w:val="clear" w:color="4F81BD"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6">
    <w:name w:val="List Table 5 Dark - Accent 2"/>
    <w:basedOn w:val="39"/>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695" w:fill="D99795" w:themeFill="accent2" w:themeFillTint="97"/>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pPr>
        <w:snapToGrid/>
      </w:pPr>
      <w:tcPr>
        <w:tcBorders>
          <w:left w:val="single" w:color="FFFFFF" w:themeColor="light1" w:sz="4" w:space="0"/>
          <w:right w:val="single" w:color="D99795" w:themeColor="accent2" w:themeTint="97" w:sz="32" w:space="0"/>
        </w:tcBorders>
      </w:tcPr>
    </w:tblStylePr>
    <w:tblStylePr w:type="band1Vert">
      <w:pPr>
        <w:snapToGrid/>
      </w:pPr>
      <w:tcPr>
        <w:tcBorders>
          <w:left w:val="single" w:color="FFFFFF" w:themeColor="light1" w:sz="4" w:space="0"/>
          <w:right w:val="single" w:color="FFFFFF" w:themeColor="light1" w:sz="4" w:space="0"/>
        </w:tcBorders>
        <w:shd w:val="clear" w:color="D99695" w:fill="D99795" w:themeFill="accent2" w:themeFillTint="97"/>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D99695" w:fill="D99795" w:themeFill="accent2" w:themeFillTint="97"/>
      </w:tcPr>
    </w:tblStylePr>
    <w:tblStylePr w:type="band2Horz">
      <w:pPr>
        <w:snapToGrid/>
      </w:pPr>
      <w:tcPr>
        <w:tcBorders>
          <w:top w:val="single" w:color="FFFFFF" w:themeColor="light1" w:sz="4" w:space="0"/>
          <w:bottom w:val="single" w:color="FFFFFF" w:themeColor="light1" w:sz="4" w:space="0"/>
        </w:tcBorders>
        <w:shd w:val="clear" w:color="D99695" w:fill="D997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7">
    <w:name w:val="List Table 5 Dark - Accent 3"/>
    <w:basedOn w:val="39"/>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B" w:fill="C3D69C" w:themeFill="accent3"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pPr>
        <w:snapToGrid/>
      </w:pPr>
      <w:tcPr>
        <w:tcBorders>
          <w:left w:val="single" w:color="FFFFFF" w:themeColor="light1" w:sz="4" w:space="0"/>
          <w:right w:val="single" w:color="C3D69C" w:themeColor="accent3" w:themeTint="98" w:sz="32" w:space="0"/>
        </w:tcBorders>
      </w:tcPr>
    </w:tblStylePr>
    <w:tblStylePr w:type="band1Vert">
      <w:pPr>
        <w:snapToGrid/>
      </w:pPr>
      <w:tcPr>
        <w:tcBorders>
          <w:left w:val="single" w:color="FFFFFF" w:themeColor="light1" w:sz="4" w:space="0"/>
          <w:right w:val="single" w:color="FFFFFF" w:themeColor="light1" w:sz="4" w:space="0"/>
        </w:tcBorders>
        <w:shd w:val="clear" w:color="C3D69B" w:fill="C3D69C" w:themeFill="accent3"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C3D69B" w:fill="C3D69C" w:themeFill="accent3" w:themeFillTint="98"/>
      </w:tcPr>
    </w:tblStylePr>
    <w:tblStylePr w:type="band2Horz">
      <w:pPr>
        <w:snapToGrid/>
      </w:pPr>
      <w:tcPr>
        <w:tcBorders>
          <w:top w:val="single" w:color="FFFFFF" w:themeColor="light1" w:sz="4" w:space="0"/>
          <w:bottom w:val="single" w:color="FFFFFF" w:themeColor="light1" w:sz="4" w:space="0"/>
        </w:tcBorders>
        <w:shd w:val="clear" w:color="C3D69B" w:fill="C3D69C"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8">
    <w:name w:val="List Table 5 Dark - Accent 4"/>
    <w:basedOn w:val="39"/>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fill="B2A1C6" w:themeFill="accent4"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pPr>
        <w:snapToGrid/>
      </w:pPr>
      <w:tcPr>
        <w:tcBorders>
          <w:left w:val="single" w:color="FFFFFF" w:themeColor="light1" w:sz="4" w:space="0"/>
          <w:right w:val="single" w:color="B2A1C6" w:themeColor="accent4" w:themeTint="9A" w:sz="32" w:space="0"/>
        </w:tcBorders>
      </w:tcPr>
    </w:tblStylePr>
    <w:tblStylePr w:type="band1Vert">
      <w:pPr>
        <w:snapToGrid/>
      </w:pPr>
      <w:tcPr>
        <w:tcBorders>
          <w:left w:val="single" w:color="FFFFFF" w:themeColor="light1" w:sz="4" w:space="0"/>
          <w:right w:val="single" w:color="FFFFFF" w:themeColor="light1" w:sz="4" w:space="0"/>
        </w:tcBorders>
        <w:shd w:val="clear" w:color="B2A1C6" w:fill="B2A1C6" w:themeFill="accent4"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B2A1C6" w:fill="B2A1C6" w:themeFill="accent4" w:themeFillTint="9A"/>
      </w:tcPr>
    </w:tblStylePr>
    <w:tblStylePr w:type="band2Horz">
      <w:pPr>
        <w:snapToGrid/>
      </w:pPr>
      <w:tcPr>
        <w:tcBorders>
          <w:top w:val="single" w:color="FFFFFF" w:themeColor="light1" w:sz="4" w:space="0"/>
          <w:bottom w:val="single" w:color="FFFFFF" w:themeColor="light1" w:sz="4" w:space="0"/>
        </w:tcBorders>
        <w:shd w:val="clear" w:color="B2A1C6"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9">
    <w:name w:val="List Table 5 Dark - Accent 5"/>
    <w:basedOn w:val="39"/>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fill="92CCDC" w:themeFill="accent5"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pPr>
        <w:snapToGrid/>
      </w:pPr>
      <w:tcPr>
        <w:tcBorders>
          <w:left w:val="single" w:color="FFFFFF" w:themeColor="light1" w:sz="4" w:space="0"/>
          <w:right w:val="single" w:color="92CCDC" w:themeColor="accent5" w:themeTint="9A" w:sz="32" w:space="0"/>
        </w:tcBorders>
      </w:tcPr>
    </w:tblStylePr>
    <w:tblStylePr w:type="band1Vert">
      <w:pPr>
        <w:snapToGrid/>
      </w:pPr>
      <w:tcPr>
        <w:tcBorders>
          <w:left w:val="single" w:color="FFFFFF" w:themeColor="light1" w:sz="4" w:space="0"/>
          <w:right w:val="single" w:color="FFFFFF" w:themeColor="light1" w:sz="4" w:space="0"/>
        </w:tcBorders>
        <w:shd w:val="clear" w:color="92CCDC" w:fill="92CCDC" w:themeFill="accent5"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92CCDC" w:fill="92CCDC" w:themeFill="accent5" w:themeFillTint="9A"/>
      </w:tcPr>
    </w:tblStylePr>
    <w:tblStylePr w:type="band2Horz">
      <w:pPr>
        <w:snapToGrid/>
      </w:pPr>
      <w:tcPr>
        <w:tcBorders>
          <w:top w:val="single" w:color="FFFFFF" w:themeColor="light1" w:sz="4" w:space="0"/>
          <w:bottom w:val="single" w:color="FFFFFF" w:themeColor="light1" w:sz="4" w:space="0"/>
        </w:tcBorders>
        <w:shd w:val="clear" w:color="92CCDC"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0">
    <w:name w:val="List Table 5 Dark - Accent 6"/>
    <w:basedOn w:val="39"/>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fill="FAC090" w:themeFill="accent6"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pPr>
        <w:snapToGrid/>
      </w:pPr>
      <w:tcPr>
        <w:tcBorders>
          <w:left w:val="single" w:color="FFFFFF" w:themeColor="light1" w:sz="4" w:space="0"/>
          <w:right w:val="single" w:color="FAC090" w:themeColor="accent6" w:themeTint="98" w:sz="32" w:space="0"/>
        </w:tcBorders>
      </w:tcPr>
    </w:tblStylePr>
    <w:tblStylePr w:type="band1Vert">
      <w:pPr>
        <w:snapToGrid/>
      </w:pPr>
      <w:tcPr>
        <w:tcBorders>
          <w:left w:val="single" w:color="FFFFFF" w:themeColor="light1" w:sz="4" w:space="0"/>
          <w:right w:val="single" w:color="FFFFFF" w:themeColor="light1" w:sz="4" w:space="0"/>
        </w:tcBorders>
        <w:shd w:val="clear" w:color="FAC090" w:fill="FAC090" w:themeFill="accent6"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AC090" w:fill="FAC090" w:themeFill="accent6" w:themeFillTint="98"/>
      </w:tcPr>
    </w:tblStylePr>
    <w:tblStylePr w:type="band2Horz">
      <w:pPr>
        <w:snapToGrid/>
      </w:pPr>
      <w:tcPr>
        <w:tcBorders>
          <w:top w:val="single" w:color="FFFFFF" w:themeColor="light1" w:sz="4" w:space="0"/>
          <w:bottom w:val="single" w:color="FFFFFF" w:themeColor="light1" w:sz="4" w:space="0"/>
        </w:tcBorders>
        <w:shd w:val="clear" w:color="FAC090"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1">
    <w:name w:val="清单表 6 彩色11"/>
    <w:basedOn w:val="39"/>
    <w:qFormat/>
    <w:uiPriority w:val="99"/>
    <w:tblPr>
      <w:tblBorders>
        <w:top w:val="single" w:color="7E7E7E" w:themeColor="text1" w:themeTint="80" w:sz="4" w:space="0"/>
        <w:bottom w:val="single" w:color="7E7E7E" w:themeColor="text1" w:themeTint="80" w:sz="4" w:space="0"/>
      </w:tblBorders>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BFBFBF"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2">
    <w:name w:val="List Table 6 Colorful - Accent 1"/>
    <w:basedOn w:val="39"/>
    <w:qFormat/>
    <w:uiPriority w:val="99"/>
    <w:tblPr>
      <w:tblBorders>
        <w:top w:val="single" w:color="4F81BD" w:themeColor="accent1" w:sz="4" w:space="0"/>
        <w:bottom w:val="single" w:color="4F81BD" w:themeColor="accent1" w:sz="4" w:space="0"/>
      </w:tblBorders>
    </w:tblPr>
    <w:tblStylePr w:type="firstRow">
      <w:pPr>
        <w:snapToGrid/>
      </w:pPr>
      <w:rPr>
        <w:b/>
        <w:color w:val="2A4B71" w:themeColor="accent1" w:themeShade="94"/>
      </w:rPr>
      <w:tcPr>
        <w:tcBorders>
          <w:bottom w:val="single" w:color="4F81BD" w:themeColor="accent1" w:sz="4" w:space="0"/>
        </w:tcBorders>
      </w:tcPr>
    </w:tblStylePr>
    <w:tblStylePr w:type="lastRow">
      <w:pPr>
        <w:snapToGrid/>
      </w:pPr>
      <w:rPr>
        <w:b/>
        <w:color w:val="2A4B71" w:themeColor="accent1" w:themeShade="94"/>
      </w:rPr>
      <w:tcPr>
        <w:tcBorders>
          <w:top w:val="single" w:color="4F81BD" w:themeColor="accent1" w:sz="4" w:space="0"/>
        </w:tcBorders>
      </w:tcPr>
    </w:tblStylePr>
    <w:tblStylePr w:type="firstCol">
      <w:pPr>
        <w:snapToGrid/>
      </w:pPr>
      <w:rPr>
        <w:b/>
        <w:color w:val="2A4B71" w:themeColor="accent1" w:themeShade="94"/>
      </w:rPr>
    </w:tblStylePr>
    <w:tblStylePr w:type="lastCol">
      <w:pPr>
        <w:snapToGrid/>
      </w:pPr>
      <w:rPr>
        <w:b/>
        <w:color w:val="2A4B71" w:themeColor="accent1" w:themeShade="94"/>
      </w:rPr>
    </w:tblStylePr>
    <w:tblStylePr w:type="band1Vert">
      <w:pPr>
        <w:snapToGrid/>
      </w:pPr>
      <w:tcPr>
        <w:shd w:val="clear" w:color="D2DFEE"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D2DFEE"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3">
    <w:name w:val="List Table 6 Colorful - Accent 2"/>
    <w:basedOn w:val="39"/>
    <w:qFormat/>
    <w:uiPriority w:val="99"/>
    <w:tblPr>
      <w:tblBorders>
        <w:top w:val="single" w:color="D99795" w:themeColor="accent2" w:themeTint="97" w:sz="4" w:space="0"/>
        <w:bottom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EFD2D2"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EFD2D2"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4">
    <w:name w:val="List Table 6 Colorful - Accent 3"/>
    <w:basedOn w:val="39"/>
    <w:qFormat/>
    <w:uiPriority w:val="99"/>
    <w:tblPr>
      <w:tblBorders>
        <w:top w:val="single" w:color="C3D69C" w:themeColor="accent3" w:themeTint="98" w:sz="4" w:space="0"/>
        <w:bottom w:val="single" w:color="C3D69C" w:themeColor="accent3" w:themeTint="98" w:sz="4" w:space="0"/>
      </w:tblBorders>
    </w:tblPr>
    <w:tblStylePr w:type="firstRow">
      <w:pPr>
        <w:snapToGrid/>
      </w:pPr>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pPr>
        <w:snapToGrid/>
      </w:pPr>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pPr>
        <w:snapToGrid/>
      </w:pPr>
      <w:rPr>
        <w:b/>
        <w:color w:val="C3D69B" w:themeColor="accent3" w:themeTint="99"/>
        <w14:textFill>
          <w14:solidFill>
            <w14:schemeClr w14:val="accent3">
              <w14:lumMod w14:val="60000"/>
              <w14:lumOff w14:val="40000"/>
            </w14:schemeClr>
          </w14:solidFill>
        </w14:textFill>
      </w:rPr>
    </w:tblStylePr>
    <w:tblStylePr w:type="lastCol">
      <w:pPr>
        <w:snapToGrid/>
      </w:pPr>
      <w:rPr>
        <w:b/>
        <w:color w:val="C3D69B" w:themeColor="accent3" w:themeTint="99"/>
        <w14:textFill>
          <w14:solidFill>
            <w14:schemeClr w14:val="accent3">
              <w14:lumMod w14:val="60000"/>
              <w14:lumOff w14:val="40000"/>
            </w14:schemeClr>
          </w14:solidFill>
        </w14:textFill>
      </w:rPr>
    </w:tblStylePr>
    <w:tblStylePr w:type="band1Vert">
      <w:pPr>
        <w:snapToGrid/>
      </w:pPr>
      <w:tcPr>
        <w:shd w:val="clear" w:color="E5EED5"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5EED5"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5">
    <w:name w:val="List Table 6 Colorful - Accent 4"/>
    <w:basedOn w:val="39"/>
    <w:qFormat/>
    <w:uiPriority w:val="99"/>
    <w:tblPr>
      <w:tblBorders>
        <w:top w:val="single" w:color="B2A1C6" w:themeColor="accent4" w:themeTint="9A" w:sz="4" w:space="0"/>
        <w:bottom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DFD8E7"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DFD8E7"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6">
    <w:name w:val="List Table 6 Colorful - Accent 5"/>
    <w:basedOn w:val="39"/>
    <w:qFormat/>
    <w:uiPriority w:val="99"/>
    <w:tblPr>
      <w:tblBorders>
        <w:top w:val="single" w:color="92CCDC" w:themeColor="accent5" w:themeTint="9A" w:sz="4" w:space="0"/>
        <w:bottom w:val="single" w:color="92CCDC" w:themeColor="accent5" w:themeTint="9A" w:sz="4" w:space="0"/>
      </w:tblBorders>
    </w:tblPr>
    <w:tblStylePr w:type="firstRow">
      <w:pPr>
        <w:snapToGrid/>
      </w:pPr>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pPr>
        <w:snapToGrid/>
      </w:pPr>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pPr>
        <w:snapToGrid/>
      </w:pPr>
      <w:rPr>
        <w:b/>
        <w:color w:val="93CDDD" w:themeColor="accent5" w:themeTint="99"/>
        <w14:textFill>
          <w14:solidFill>
            <w14:schemeClr w14:val="accent5">
              <w14:lumMod w14:val="60000"/>
              <w14:lumOff w14:val="40000"/>
            </w14:schemeClr>
          </w14:solidFill>
        </w14:textFill>
      </w:rPr>
    </w:tblStylePr>
    <w:tblStylePr w:type="lastCol">
      <w:pPr>
        <w:snapToGrid/>
      </w:pPr>
      <w:rPr>
        <w:b/>
        <w:color w:val="93CDDD" w:themeColor="accent5" w:themeTint="99"/>
        <w14:textFill>
          <w14:solidFill>
            <w14:schemeClr w14:val="accent5">
              <w14:lumMod w14:val="60000"/>
              <w14:lumOff w14:val="40000"/>
            </w14:schemeClr>
          </w14:solidFill>
        </w14:textFill>
      </w:rPr>
    </w:tblStylePr>
    <w:tblStylePr w:type="band1Vert">
      <w:pPr>
        <w:snapToGrid/>
      </w:pPr>
      <w:tcPr>
        <w:shd w:val="clear" w:color="D1EAF0"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1EAF0"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7">
    <w:name w:val="List Table 6 Colorful - Accent 6"/>
    <w:basedOn w:val="39"/>
    <w:qFormat/>
    <w:uiPriority w:val="99"/>
    <w:tblPr>
      <w:tblBorders>
        <w:top w:val="single" w:color="FAC090" w:themeColor="accent6" w:themeTint="98" w:sz="4" w:space="0"/>
        <w:bottom w:val="single" w:color="FAC090" w:themeColor="accent6" w:themeTint="98" w:sz="4" w:space="0"/>
      </w:tblBorders>
    </w:tblPr>
    <w:tblStylePr w:type="firstRow">
      <w:pPr>
        <w:snapToGrid/>
      </w:pPr>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pPr>
        <w:snapToGrid/>
      </w:pPr>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pPr>
        <w:snapToGrid/>
      </w:pPr>
      <w:rPr>
        <w:b/>
        <w:color w:val="FAC090" w:themeColor="accent6" w:themeTint="99"/>
        <w14:textFill>
          <w14:solidFill>
            <w14:schemeClr w14:val="accent6">
              <w14:lumMod w14:val="60000"/>
              <w14:lumOff w14:val="40000"/>
            </w14:schemeClr>
          </w14:solidFill>
        </w14:textFill>
      </w:rPr>
    </w:tblStylePr>
    <w:tblStylePr w:type="lastCol">
      <w:pPr>
        <w:snapToGrid/>
      </w:pPr>
      <w:rPr>
        <w:b/>
        <w:color w:val="FAC090" w:themeColor="accent6" w:themeTint="99"/>
        <w14:textFill>
          <w14:solidFill>
            <w14:schemeClr w14:val="accent6">
              <w14:lumMod w14:val="60000"/>
              <w14:lumOff w14:val="40000"/>
            </w14:schemeClr>
          </w14:solidFill>
        </w14:textFill>
      </w:rPr>
    </w:tblStylePr>
    <w:tblStylePr w:type="band1Vert">
      <w:pPr>
        <w:snapToGrid/>
      </w:pPr>
      <w:tcPr>
        <w:shd w:val="clear" w:color="FDE4D0"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FDE4D0"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8">
    <w:name w:val="清单表 7 彩色11"/>
    <w:basedOn w:val="39"/>
    <w:qFormat/>
    <w:uiPriority w:val="99"/>
    <w:tblPr>
      <w:tblBorders>
        <w:right w:val="single" w:color="7E7E7E" w:themeColor="text1" w:themeTint="80" w:sz="4" w:space="0"/>
      </w:tblBorders>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BFBFBF"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9">
    <w:name w:val="List Table 7 Colorful - Accent 1"/>
    <w:basedOn w:val="39"/>
    <w:qFormat/>
    <w:uiPriority w:val="99"/>
    <w:tblPr>
      <w:tblBorders>
        <w:right w:val="single" w:color="4F81BD" w:themeColor="accent1" w:sz="4" w:space="0"/>
      </w:tblBorders>
    </w:tblPr>
    <w:tblStylePr w:type="firstRow">
      <w:pPr>
        <w:snapToGrid/>
      </w:pPr>
      <w:rPr>
        <w:rFonts w:ascii="Arial" w:hAnsi="Arial"/>
        <w:i/>
        <w:color w:val="2A4B71" w:themeColor="accent1" w:themeShade="94"/>
        <w:sz w:val="22"/>
      </w:rPr>
      <w:tcPr>
        <w:tcBorders>
          <w:top w:val="nil"/>
          <w:left w:val="nil"/>
          <w:bottom w:val="single" w:color="4F81BD" w:themeColor="accent1" w:sz="4" w:space="0"/>
          <w:right w:val="nil"/>
        </w:tcBorders>
        <w:shd w:val="clear" w:color="FFFFFF" w:fill="FFFFFF" w:themeFill="light1"/>
      </w:tcPr>
    </w:tblStylePr>
    <w:tblStylePr w:type="lastRow">
      <w:pPr>
        <w:snapToGrid/>
      </w:pPr>
      <w:rPr>
        <w:rFonts w:ascii="Arial" w:hAnsi="Arial"/>
        <w:i/>
        <w:color w:val="2A4B71" w:themeColor="accent1" w:themeShade="94"/>
        <w:sz w:val="22"/>
      </w:rPr>
      <w:tcPr>
        <w:tcBorders>
          <w:top w:val="single" w:color="4F81BD" w:themeColor="accent1" w:sz="4" w:space="0"/>
          <w:left w:val="nil"/>
          <w:bottom w:val="nil"/>
          <w:right w:val="nil"/>
        </w:tcBorders>
        <w:shd w:val="clear" w:color="FFFFFF" w:fill="FFFFFF" w:themeFill="light1"/>
      </w:tcPr>
    </w:tblStylePr>
    <w:tblStylePr w:type="firstCol">
      <w:pPr>
        <w:snapToGrid/>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FFFFFF"/>
      </w:tcPr>
    </w:tblStylePr>
    <w:tblStylePr w:type="lastCol">
      <w:pPr>
        <w:snapToGrid/>
      </w:pPr>
      <w:rPr>
        <w:rFonts w:ascii="Arial" w:hAnsi="Arial"/>
        <w:i/>
        <w:color w:val="2A4B71" w:themeColor="accent1" w:themeShade="94"/>
        <w:sz w:val="22"/>
      </w:rPr>
      <w:tcPr>
        <w:tcBorders>
          <w:top w:val="nil"/>
          <w:left w:val="single" w:color="4F81BD" w:themeColor="accent1" w:sz="4" w:space="0"/>
          <w:bottom w:val="nil"/>
          <w:right w:val="nil"/>
        </w:tcBorders>
        <w:shd w:val="clear" w:color="FFFFFF" w:fill="FFFFFF"/>
      </w:tcPr>
    </w:tblStylePr>
    <w:tblStylePr w:type="band1Vert">
      <w:pPr>
        <w:snapToGrid/>
      </w:pPr>
      <w:tcPr>
        <w:shd w:val="clear" w:color="D2DFEE"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D2DFEE"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0">
    <w:name w:val="List Table 7 Colorful - Accent 2"/>
    <w:basedOn w:val="39"/>
    <w:qFormat/>
    <w:uiPriority w:val="99"/>
    <w:tblPr>
      <w:tblBorders>
        <w:right w:val="single" w:color="D99795" w:themeColor="accent2" w:themeTint="97" w:sz="4" w:space="0"/>
      </w:tblBorders>
    </w:tblPr>
    <w:tblStylePr w:type="fir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EFD2D2"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EFD2D2"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1">
    <w:name w:val="List Table 7 Colorful - Accent 3"/>
    <w:basedOn w:val="39"/>
    <w:qFormat/>
    <w:uiPriority w:val="99"/>
    <w:tblPr>
      <w:tblBorders>
        <w:right w:val="single" w:color="C3D69C" w:themeColor="accent3" w:themeTint="98" w:sz="4" w:space="0"/>
      </w:tblBorders>
    </w:tblPr>
    <w:tblStylePr w:type="fir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fill="FFFFFF" w:themeFill="light1"/>
      </w:tcPr>
    </w:tblStylePr>
    <w:tblStylePr w:type="la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fill="FFFFFF" w:themeFill="light1"/>
      </w:tcPr>
    </w:tblStylePr>
    <w:tblStylePr w:type="firstCol">
      <w:pPr>
        <w:snapToGrid/>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FFFFFF"/>
      </w:tcPr>
    </w:tblStylePr>
    <w:tblStylePr w:type="lastCol">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FFFFFF"/>
      </w:tcPr>
    </w:tblStylePr>
    <w:tblStylePr w:type="band1Vert">
      <w:pPr>
        <w:snapToGrid/>
      </w:pPr>
      <w:tcPr>
        <w:shd w:val="clear" w:color="E5EED5"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5EED5"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2">
    <w:name w:val="List Table 7 Colorful - Accent 4"/>
    <w:basedOn w:val="39"/>
    <w:qFormat/>
    <w:uiPriority w:val="99"/>
    <w:tblPr>
      <w:tblBorders>
        <w:right w:val="single" w:color="B2A1C6" w:themeColor="accent4" w:themeTint="9A" w:sz="4" w:space="0"/>
      </w:tblBorders>
    </w:tblPr>
    <w:tblStylePr w:type="fir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DFD8E7"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DFD8E7"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3">
    <w:name w:val="List Table 7 Colorful - Accent 5"/>
    <w:basedOn w:val="39"/>
    <w:qFormat/>
    <w:uiPriority w:val="99"/>
    <w:tblPr>
      <w:tblBorders>
        <w:right w:val="single" w:color="92CCDC" w:themeColor="accent5" w:themeTint="9A" w:sz="4" w:space="0"/>
      </w:tblBorders>
    </w:tblPr>
    <w:tblStylePr w:type="fir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fill="FFFFFF" w:themeFill="light1"/>
      </w:tcPr>
    </w:tblStylePr>
    <w:tblStylePr w:type="la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fill="FFFFFF" w:themeFill="light1"/>
      </w:tcPr>
    </w:tblStylePr>
    <w:tblStylePr w:type="firstCol">
      <w:pPr>
        <w:snapToGrid/>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FFFFFF"/>
      </w:tcPr>
    </w:tblStylePr>
    <w:tblStylePr w:type="lastCol">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FFFFFF"/>
      </w:tcPr>
    </w:tblStylePr>
    <w:tblStylePr w:type="band1Vert">
      <w:pPr>
        <w:snapToGrid/>
      </w:pPr>
      <w:tcPr>
        <w:shd w:val="clear" w:color="D1EAF0"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1EAF0"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4">
    <w:name w:val="List Table 7 Colorful - Accent 6"/>
    <w:basedOn w:val="39"/>
    <w:qFormat/>
    <w:uiPriority w:val="99"/>
    <w:tblPr>
      <w:tblBorders>
        <w:right w:val="single" w:color="FAC090" w:themeColor="accent6" w:themeTint="98" w:sz="4" w:space="0"/>
      </w:tblBorders>
    </w:tblPr>
    <w:tblStylePr w:type="fir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fill="FFFFFF" w:themeFill="light1"/>
      </w:tcPr>
    </w:tblStylePr>
    <w:tblStylePr w:type="la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fill="FFFFFF" w:themeFill="light1"/>
      </w:tcPr>
    </w:tblStylePr>
    <w:tblStylePr w:type="firstCol">
      <w:pPr>
        <w:snapToGrid/>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FFFFFF"/>
      </w:tcPr>
    </w:tblStylePr>
    <w:tblStylePr w:type="lastCol">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FFFFFF"/>
      </w:tcPr>
    </w:tblStylePr>
    <w:tblStylePr w:type="band1Vert">
      <w:pPr>
        <w:snapToGrid/>
      </w:pPr>
      <w:tcPr>
        <w:shd w:val="clear" w:color="FDE4D0"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FDE4D0"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5">
    <w:name w:val="Lined - Accent"/>
    <w:basedOn w:val="39"/>
    <w:qFormat/>
    <w:uiPriority w:val="99"/>
    <w:rPr>
      <w:color w:val="404040"/>
    </w:r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6">
    <w:name w:val="Lined - Accent 1"/>
    <w:basedOn w:val="39"/>
    <w:qFormat/>
    <w:uiPriority w:val="99"/>
    <w:rPr>
      <w:color w:val="404040"/>
    </w:rPr>
    <w:tblStylePr w:type="firstRow">
      <w:pPr>
        <w:snapToGrid/>
      </w:pPr>
      <w:rPr>
        <w:rFonts w:ascii="Arial" w:hAnsi="Arial"/>
        <w:color w:val="F2F2F2"/>
        <w:sz w:val="22"/>
      </w:rPr>
      <w:tcPr>
        <w:shd w:val="clear" w:color="5D8AC2" w:fill="5D8BC2" w:themeFill="accent1" w:themeFillTint="EA"/>
      </w:tcPr>
    </w:tblStylePr>
    <w:tblStylePr w:type="lastRow">
      <w:pPr>
        <w:snapToGrid/>
      </w:pPr>
      <w:rPr>
        <w:rFonts w:ascii="Arial" w:hAnsi="Arial"/>
        <w:color w:val="F2F2F2"/>
        <w:sz w:val="22"/>
      </w:rPr>
      <w:tcPr>
        <w:shd w:val="clear" w:color="5D8AC2" w:fill="5D8BC2" w:themeFill="accent1" w:themeFillTint="EA"/>
      </w:tcPr>
    </w:tblStylePr>
    <w:tblStylePr w:type="firstCol">
      <w:pPr>
        <w:snapToGrid/>
      </w:pPr>
      <w:rPr>
        <w:rFonts w:ascii="Arial" w:hAnsi="Arial"/>
        <w:color w:val="F2F2F2"/>
        <w:sz w:val="22"/>
      </w:rPr>
      <w:tcPr>
        <w:shd w:val="clear" w:color="5D8AC2" w:fill="5D8BC2" w:themeFill="accent1" w:themeFillTint="EA"/>
      </w:tcPr>
    </w:tblStylePr>
    <w:tblStylePr w:type="lastCol">
      <w:pPr>
        <w:snapToGrid/>
      </w:pPr>
      <w:rPr>
        <w:rFonts w:ascii="Arial" w:hAnsi="Arial"/>
        <w:color w:val="F2F2F2"/>
        <w:sz w:val="22"/>
      </w:rPr>
      <w:tcPr>
        <w:shd w:val="clear" w:color="5D8AC2"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7">
    <w:name w:val="Lined - Accent 2"/>
    <w:basedOn w:val="39"/>
    <w:qFormat/>
    <w:uiPriority w:val="99"/>
    <w:rPr>
      <w:color w:val="404040"/>
    </w:rPr>
    <w:tblStylePr w:type="firstRow">
      <w:pPr>
        <w:snapToGrid/>
      </w:pPr>
      <w:rPr>
        <w:rFonts w:ascii="Arial" w:hAnsi="Arial"/>
        <w:color w:val="F2F2F2"/>
        <w:sz w:val="22"/>
      </w:rPr>
      <w:tcPr>
        <w:shd w:val="clear" w:color="D99695" w:fill="D99795" w:themeFill="accent2" w:themeFillTint="97"/>
      </w:tcPr>
    </w:tblStylePr>
    <w:tblStylePr w:type="lastRow">
      <w:pPr>
        <w:snapToGrid/>
      </w:pPr>
      <w:rPr>
        <w:rFonts w:ascii="Arial" w:hAnsi="Arial"/>
        <w:color w:val="F2F2F2"/>
        <w:sz w:val="22"/>
      </w:rPr>
      <w:tcPr>
        <w:shd w:val="clear" w:color="D99695" w:fill="D99795" w:themeFill="accent2" w:themeFillTint="97"/>
      </w:tcPr>
    </w:tblStylePr>
    <w:tblStylePr w:type="firstCol">
      <w:pPr>
        <w:snapToGrid/>
      </w:pPr>
      <w:rPr>
        <w:rFonts w:ascii="Arial" w:hAnsi="Arial"/>
        <w:color w:val="F2F2F2"/>
        <w:sz w:val="22"/>
      </w:rPr>
      <w:tcPr>
        <w:shd w:val="clear" w:color="D99695" w:fill="D99795" w:themeFill="accent2" w:themeFillTint="97"/>
      </w:tcPr>
    </w:tblStylePr>
    <w:tblStylePr w:type="lastCol">
      <w:pPr>
        <w:snapToGrid/>
      </w:pPr>
      <w:rPr>
        <w:rFonts w:ascii="Arial" w:hAnsi="Arial"/>
        <w:color w:val="F2F2F2"/>
        <w:sz w:val="22"/>
      </w:rPr>
      <w:tcPr>
        <w:shd w:val="clear" w:color="D99695"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8">
    <w:name w:val="Lined - Accent 3"/>
    <w:basedOn w:val="39"/>
    <w:qFormat/>
    <w:uiPriority w:val="99"/>
    <w:rPr>
      <w:color w:val="404040"/>
    </w:rPr>
    <w:tblStylePr w:type="firstRow">
      <w:pPr>
        <w:snapToGrid/>
      </w:pPr>
      <w:rPr>
        <w:rFonts w:ascii="Arial" w:hAnsi="Arial"/>
        <w:color w:val="F2F2F2"/>
        <w:sz w:val="22"/>
      </w:rPr>
      <w:tcPr>
        <w:shd w:val="clear" w:color="9ABB59" w:fill="9BBB59" w:themeFill="accent3" w:themeFillTint="FE"/>
      </w:tcPr>
    </w:tblStylePr>
    <w:tblStylePr w:type="lastRow">
      <w:pPr>
        <w:snapToGrid/>
      </w:pPr>
      <w:rPr>
        <w:rFonts w:ascii="Arial" w:hAnsi="Arial"/>
        <w:color w:val="F2F2F2"/>
        <w:sz w:val="22"/>
      </w:rPr>
      <w:tcPr>
        <w:shd w:val="clear" w:color="9ABB59" w:fill="9BBB59" w:themeFill="accent3" w:themeFillTint="FE"/>
      </w:tcPr>
    </w:tblStylePr>
    <w:tblStylePr w:type="firstCol">
      <w:pPr>
        <w:snapToGrid/>
      </w:pPr>
      <w:rPr>
        <w:rFonts w:ascii="Arial" w:hAnsi="Arial"/>
        <w:color w:val="F2F2F2"/>
        <w:sz w:val="22"/>
      </w:rPr>
      <w:tcPr>
        <w:shd w:val="clear" w:color="9ABB59" w:fill="9BBB59" w:themeFill="accent3" w:themeFillTint="FE"/>
      </w:tcPr>
    </w:tblStylePr>
    <w:tblStylePr w:type="lastCol">
      <w:pPr>
        <w:snapToGrid/>
      </w:pPr>
      <w:rPr>
        <w:rFonts w:ascii="Arial" w:hAnsi="Arial"/>
        <w:color w:val="F2F2F2"/>
        <w:sz w:val="22"/>
      </w:rPr>
      <w:tcPr>
        <w:shd w:val="clear" w:color="9ABB59"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AF1D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AF1D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9">
    <w:name w:val="Lined - Accent 4"/>
    <w:basedOn w:val="39"/>
    <w:qFormat/>
    <w:uiPriority w:val="99"/>
    <w:rPr>
      <w:color w:val="404040"/>
    </w:rPr>
    <w:tblStylePr w:type="firstRow">
      <w:pPr>
        <w:snapToGrid/>
      </w:pPr>
      <w:rPr>
        <w:rFonts w:ascii="Arial" w:hAnsi="Arial"/>
        <w:color w:val="F2F2F2"/>
        <w:sz w:val="22"/>
      </w:rPr>
      <w:tcPr>
        <w:shd w:val="clear" w:color="B2A1C6" w:fill="B2A1C6" w:themeFill="accent4" w:themeFillTint="9A"/>
      </w:tcPr>
    </w:tblStylePr>
    <w:tblStylePr w:type="lastRow">
      <w:pPr>
        <w:snapToGrid/>
      </w:pPr>
      <w:rPr>
        <w:rFonts w:ascii="Arial" w:hAnsi="Arial"/>
        <w:color w:val="F2F2F2"/>
        <w:sz w:val="22"/>
      </w:rPr>
      <w:tcPr>
        <w:shd w:val="clear" w:color="B2A1C6" w:fill="B2A1C6" w:themeFill="accent4" w:themeFillTint="9A"/>
      </w:tcPr>
    </w:tblStylePr>
    <w:tblStylePr w:type="firstCol">
      <w:pPr>
        <w:snapToGrid/>
      </w:pPr>
      <w:rPr>
        <w:rFonts w:ascii="Arial" w:hAnsi="Arial"/>
        <w:color w:val="F2F2F2"/>
        <w:sz w:val="22"/>
      </w:rPr>
      <w:tcPr>
        <w:shd w:val="clear" w:color="B2A1C6" w:fill="B2A1C6" w:themeFill="accent4" w:themeFillTint="9A"/>
      </w:tcPr>
    </w:tblStylePr>
    <w:tblStylePr w:type="lastCol">
      <w:pPr>
        <w:snapToGrid/>
      </w:pPr>
      <w:rPr>
        <w:rFonts w:ascii="Arial" w:hAnsi="Arial"/>
        <w:color w:val="F2F2F2"/>
        <w:sz w:val="22"/>
      </w:r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Lined - Accent 5"/>
    <w:basedOn w:val="39"/>
    <w:qFormat/>
    <w:uiPriority w:val="99"/>
    <w:rPr>
      <w:color w:val="404040"/>
    </w:rPr>
    <w:tblStylePr w:type="firstRow">
      <w:pPr>
        <w:snapToGrid/>
      </w:pPr>
      <w:rPr>
        <w:rFonts w:ascii="Arial" w:hAnsi="Arial"/>
        <w:color w:val="F2F2F2"/>
        <w:sz w:val="22"/>
      </w:rPr>
      <w:tcPr>
        <w:shd w:val="clear" w:color="4BACC6" w:fill="4BACC6" w:themeFill="accent5"/>
      </w:tcPr>
    </w:tblStylePr>
    <w:tblStylePr w:type="lastRow">
      <w:pPr>
        <w:snapToGrid/>
      </w:pPr>
      <w:rPr>
        <w:rFonts w:ascii="Arial" w:hAnsi="Arial"/>
        <w:color w:val="F2F2F2"/>
        <w:sz w:val="22"/>
      </w:rPr>
      <w:tcPr>
        <w:shd w:val="clear" w:color="4BACC6" w:fill="4BACC6" w:themeFill="accent5"/>
      </w:tcPr>
    </w:tblStylePr>
    <w:tblStylePr w:type="firstCol">
      <w:pPr>
        <w:snapToGrid/>
      </w:pPr>
      <w:rPr>
        <w:rFonts w:ascii="Arial" w:hAnsi="Arial"/>
        <w:color w:val="F2F2F2"/>
        <w:sz w:val="22"/>
      </w:rPr>
      <w:tcPr>
        <w:shd w:val="clear" w:color="4BACC6" w:fill="4BACC6" w:themeFill="accent5"/>
      </w:tcPr>
    </w:tblStylePr>
    <w:tblStylePr w:type="lastCol">
      <w:pPr>
        <w:snapToGrid/>
      </w:pPr>
      <w:rPr>
        <w:rFonts w:ascii="Arial" w:hAnsi="Arial"/>
        <w:color w:val="F2F2F2"/>
        <w:sz w:val="22"/>
      </w:r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Lined - Accent 6"/>
    <w:basedOn w:val="39"/>
    <w:qFormat/>
    <w:uiPriority w:val="99"/>
    <w:rPr>
      <w:color w:val="404040"/>
    </w:rPr>
    <w:tblStylePr w:type="firstRow">
      <w:pPr>
        <w:snapToGrid/>
      </w:pPr>
      <w:rPr>
        <w:rFonts w:ascii="Arial" w:hAnsi="Arial"/>
        <w:color w:val="F2F2F2"/>
        <w:sz w:val="22"/>
      </w:rPr>
      <w:tcPr>
        <w:shd w:val="clear" w:color="F79646" w:fill="F79646" w:themeFill="accent6"/>
      </w:tcPr>
    </w:tblStylePr>
    <w:tblStylePr w:type="lastRow">
      <w:pPr>
        <w:snapToGrid/>
      </w:pPr>
      <w:rPr>
        <w:rFonts w:ascii="Arial" w:hAnsi="Arial"/>
        <w:color w:val="F2F2F2"/>
        <w:sz w:val="22"/>
      </w:rPr>
      <w:tcPr>
        <w:shd w:val="clear" w:color="F79646" w:fill="F79646" w:themeFill="accent6"/>
      </w:tcPr>
    </w:tblStylePr>
    <w:tblStylePr w:type="firstCol">
      <w:pPr>
        <w:snapToGrid/>
      </w:pPr>
      <w:rPr>
        <w:rFonts w:ascii="Arial" w:hAnsi="Arial"/>
        <w:color w:val="F2F2F2"/>
        <w:sz w:val="22"/>
      </w:rPr>
      <w:tcPr>
        <w:shd w:val="clear" w:color="F79646" w:fill="F79646" w:themeFill="accent6"/>
      </w:tcPr>
    </w:tblStylePr>
    <w:tblStylePr w:type="lastCol">
      <w:pPr>
        <w:snapToGrid/>
      </w:pPr>
      <w:rPr>
        <w:rFonts w:ascii="Arial" w:hAnsi="Arial"/>
        <w:color w:val="F2F2F2"/>
        <w:sz w:val="22"/>
      </w:r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DE9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DE9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Bordered &amp; Lined - Accent"/>
    <w:basedOn w:val="3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3">
    <w:name w:val="Bordered &amp; Lined - Accent 1"/>
    <w:basedOn w:val="39"/>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pPr>
        <w:snapToGrid/>
      </w:pPr>
      <w:rPr>
        <w:rFonts w:ascii="Arial" w:hAnsi="Arial"/>
        <w:color w:val="F2F2F2"/>
        <w:sz w:val="22"/>
      </w:rPr>
      <w:tcPr>
        <w:shd w:val="clear" w:color="5D8AC2" w:fill="5D8BC2" w:themeFill="accent1" w:themeFillTint="EA"/>
      </w:tcPr>
    </w:tblStylePr>
    <w:tblStylePr w:type="lastRow">
      <w:pPr>
        <w:snapToGrid/>
      </w:pPr>
      <w:rPr>
        <w:rFonts w:ascii="Arial" w:hAnsi="Arial"/>
        <w:color w:val="F2F2F2"/>
        <w:sz w:val="22"/>
      </w:rPr>
      <w:tcPr>
        <w:shd w:val="clear" w:color="5D8AC2" w:fill="5D8BC2" w:themeFill="accent1" w:themeFillTint="EA"/>
      </w:tcPr>
    </w:tblStylePr>
    <w:tblStylePr w:type="firstCol">
      <w:pPr>
        <w:snapToGrid/>
      </w:pPr>
      <w:rPr>
        <w:rFonts w:ascii="Arial" w:hAnsi="Arial"/>
        <w:color w:val="F2F2F2"/>
        <w:sz w:val="22"/>
      </w:rPr>
      <w:tcPr>
        <w:shd w:val="clear" w:color="5D8AC2" w:fill="5D8BC2" w:themeFill="accent1" w:themeFillTint="EA"/>
      </w:tcPr>
    </w:tblStylePr>
    <w:tblStylePr w:type="lastCol">
      <w:pPr>
        <w:snapToGrid/>
      </w:pPr>
      <w:rPr>
        <w:rFonts w:ascii="Arial" w:hAnsi="Arial"/>
        <w:color w:val="F2F2F2"/>
        <w:sz w:val="22"/>
      </w:rPr>
      <w:tcPr>
        <w:shd w:val="clear" w:color="5D8AC2"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4">
    <w:name w:val="Bordered &amp; Lined - Accent 2"/>
    <w:basedOn w:val="39"/>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pPr>
        <w:snapToGrid/>
      </w:pPr>
      <w:rPr>
        <w:rFonts w:ascii="Arial" w:hAnsi="Arial"/>
        <w:color w:val="F2F2F2"/>
        <w:sz w:val="22"/>
      </w:rPr>
      <w:tcPr>
        <w:shd w:val="clear" w:color="D99695" w:fill="D99795" w:themeFill="accent2" w:themeFillTint="97"/>
      </w:tcPr>
    </w:tblStylePr>
    <w:tblStylePr w:type="lastRow">
      <w:pPr>
        <w:snapToGrid/>
      </w:pPr>
      <w:rPr>
        <w:rFonts w:ascii="Arial" w:hAnsi="Arial"/>
        <w:color w:val="F2F2F2"/>
        <w:sz w:val="22"/>
      </w:rPr>
      <w:tcPr>
        <w:shd w:val="clear" w:color="D99695" w:fill="D99795" w:themeFill="accent2" w:themeFillTint="97"/>
      </w:tcPr>
    </w:tblStylePr>
    <w:tblStylePr w:type="firstCol">
      <w:pPr>
        <w:snapToGrid/>
      </w:pPr>
      <w:rPr>
        <w:rFonts w:ascii="Arial" w:hAnsi="Arial"/>
        <w:color w:val="F2F2F2"/>
        <w:sz w:val="22"/>
      </w:rPr>
      <w:tcPr>
        <w:shd w:val="clear" w:color="D99695" w:fill="D99795" w:themeFill="accent2" w:themeFillTint="97"/>
      </w:tcPr>
    </w:tblStylePr>
    <w:tblStylePr w:type="lastCol">
      <w:pPr>
        <w:snapToGrid/>
      </w:pPr>
      <w:rPr>
        <w:rFonts w:ascii="Arial" w:hAnsi="Arial"/>
        <w:color w:val="F2F2F2"/>
        <w:sz w:val="22"/>
      </w:rPr>
      <w:tcPr>
        <w:shd w:val="clear" w:color="D99695"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5">
    <w:name w:val="Bordered &amp; Lined - Accent 3"/>
    <w:basedOn w:val="39"/>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pPr>
        <w:snapToGrid/>
      </w:pPr>
      <w:rPr>
        <w:rFonts w:ascii="Arial" w:hAnsi="Arial"/>
        <w:color w:val="F2F2F2"/>
        <w:sz w:val="22"/>
      </w:rPr>
      <w:tcPr>
        <w:shd w:val="clear" w:color="9ABB59" w:fill="9BBB59" w:themeFill="accent3" w:themeFillTint="FE"/>
      </w:tcPr>
    </w:tblStylePr>
    <w:tblStylePr w:type="lastRow">
      <w:pPr>
        <w:snapToGrid/>
      </w:pPr>
      <w:rPr>
        <w:rFonts w:ascii="Arial" w:hAnsi="Arial"/>
        <w:color w:val="F2F2F2"/>
        <w:sz w:val="22"/>
      </w:rPr>
      <w:tcPr>
        <w:shd w:val="clear" w:color="9ABB59" w:fill="9BBB59" w:themeFill="accent3" w:themeFillTint="FE"/>
      </w:tcPr>
    </w:tblStylePr>
    <w:tblStylePr w:type="firstCol">
      <w:pPr>
        <w:snapToGrid/>
      </w:pPr>
      <w:rPr>
        <w:rFonts w:ascii="Arial" w:hAnsi="Arial"/>
        <w:color w:val="F2F2F2"/>
        <w:sz w:val="22"/>
      </w:rPr>
      <w:tcPr>
        <w:shd w:val="clear" w:color="9ABB59" w:fill="9BBB59" w:themeFill="accent3" w:themeFillTint="FE"/>
      </w:tcPr>
    </w:tblStylePr>
    <w:tblStylePr w:type="lastCol">
      <w:pPr>
        <w:snapToGrid/>
      </w:pPr>
      <w:rPr>
        <w:rFonts w:ascii="Arial" w:hAnsi="Arial"/>
        <w:color w:val="F2F2F2"/>
        <w:sz w:val="22"/>
      </w:rPr>
      <w:tcPr>
        <w:shd w:val="clear" w:color="9ABB59"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AF1D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AF1D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6">
    <w:name w:val="Bordered &amp; Lined - Accent 4"/>
    <w:basedOn w:val="39"/>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pPr>
        <w:snapToGrid/>
      </w:pPr>
      <w:rPr>
        <w:rFonts w:ascii="Arial" w:hAnsi="Arial"/>
        <w:color w:val="F2F2F2"/>
        <w:sz w:val="22"/>
      </w:rPr>
      <w:tcPr>
        <w:shd w:val="clear" w:color="B2A1C6" w:fill="B2A1C6" w:themeFill="accent4" w:themeFillTint="9A"/>
      </w:tcPr>
    </w:tblStylePr>
    <w:tblStylePr w:type="lastRow">
      <w:pPr>
        <w:snapToGrid/>
      </w:pPr>
      <w:rPr>
        <w:rFonts w:ascii="Arial" w:hAnsi="Arial"/>
        <w:color w:val="F2F2F2"/>
        <w:sz w:val="22"/>
      </w:rPr>
      <w:tcPr>
        <w:shd w:val="clear" w:color="B2A1C6" w:fill="B2A1C6" w:themeFill="accent4" w:themeFillTint="9A"/>
      </w:tcPr>
    </w:tblStylePr>
    <w:tblStylePr w:type="firstCol">
      <w:pPr>
        <w:snapToGrid/>
      </w:pPr>
      <w:rPr>
        <w:rFonts w:ascii="Arial" w:hAnsi="Arial"/>
        <w:color w:val="F2F2F2"/>
        <w:sz w:val="22"/>
      </w:rPr>
      <w:tcPr>
        <w:shd w:val="clear" w:color="B2A1C6" w:fill="B2A1C6" w:themeFill="accent4" w:themeFillTint="9A"/>
      </w:tcPr>
    </w:tblStylePr>
    <w:tblStylePr w:type="lastCol">
      <w:pPr>
        <w:snapToGrid/>
      </w:pPr>
      <w:rPr>
        <w:rFonts w:ascii="Arial" w:hAnsi="Arial"/>
        <w:color w:val="F2F2F2"/>
        <w:sz w:val="22"/>
      </w:r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7">
    <w:name w:val="Bordered &amp; Lined - Accent 5"/>
    <w:basedOn w:val="39"/>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pPr>
        <w:snapToGrid/>
      </w:pPr>
      <w:rPr>
        <w:rFonts w:ascii="Arial" w:hAnsi="Arial"/>
        <w:color w:val="F2F2F2"/>
        <w:sz w:val="22"/>
      </w:rPr>
      <w:tcPr>
        <w:shd w:val="clear" w:color="4BACC6" w:fill="4BACC6" w:themeFill="accent5"/>
      </w:tcPr>
    </w:tblStylePr>
    <w:tblStylePr w:type="lastRow">
      <w:pPr>
        <w:snapToGrid/>
      </w:pPr>
      <w:rPr>
        <w:rFonts w:ascii="Arial" w:hAnsi="Arial"/>
        <w:color w:val="F2F2F2"/>
        <w:sz w:val="22"/>
      </w:rPr>
      <w:tcPr>
        <w:shd w:val="clear" w:color="4BACC6" w:fill="4BACC6" w:themeFill="accent5"/>
      </w:tcPr>
    </w:tblStylePr>
    <w:tblStylePr w:type="firstCol">
      <w:pPr>
        <w:snapToGrid/>
      </w:pPr>
      <w:rPr>
        <w:rFonts w:ascii="Arial" w:hAnsi="Arial"/>
        <w:color w:val="F2F2F2"/>
        <w:sz w:val="22"/>
      </w:rPr>
      <w:tcPr>
        <w:shd w:val="clear" w:color="4BACC6" w:fill="4BACC6" w:themeFill="accent5"/>
      </w:tcPr>
    </w:tblStylePr>
    <w:tblStylePr w:type="lastCol">
      <w:pPr>
        <w:snapToGrid/>
      </w:pPr>
      <w:rPr>
        <w:rFonts w:ascii="Arial" w:hAnsi="Arial"/>
        <w:color w:val="F2F2F2"/>
        <w:sz w:val="22"/>
      </w:r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8">
    <w:name w:val="Bordered &amp; Lined - Accent 6"/>
    <w:basedOn w:val="39"/>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pPr>
        <w:snapToGrid/>
      </w:pPr>
      <w:rPr>
        <w:rFonts w:ascii="Arial" w:hAnsi="Arial"/>
        <w:color w:val="F2F2F2"/>
        <w:sz w:val="22"/>
      </w:rPr>
      <w:tcPr>
        <w:shd w:val="clear" w:color="F79646" w:fill="F79646" w:themeFill="accent6"/>
      </w:tcPr>
    </w:tblStylePr>
    <w:tblStylePr w:type="lastRow">
      <w:pPr>
        <w:snapToGrid/>
      </w:pPr>
      <w:rPr>
        <w:rFonts w:ascii="Arial" w:hAnsi="Arial"/>
        <w:color w:val="F2F2F2"/>
        <w:sz w:val="22"/>
      </w:rPr>
      <w:tcPr>
        <w:shd w:val="clear" w:color="F79646" w:fill="F79646" w:themeFill="accent6"/>
      </w:tcPr>
    </w:tblStylePr>
    <w:tblStylePr w:type="firstCol">
      <w:pPr>
        <w:snapToGrid/>
      </w:pPr>
      <w:rPr>
        <w:rFonts w:ascii="Arial" w:hAnsi="Arial"/>
        <w:color w:val="F2F2F2"/>
        <w:sz w:val="22"/>
      </w:rPr>
      <w:tcPr>
        <w:shd w:val="clear" w:color="F79646" w:fill="F79646" w:themeFill="accent6"/>
      </w:tcPr>
    </w:tblStylePr>
    <w:tblStylePr w:type="lastCol">
      <w:pPr>
        <w:snapToGrid/>
      </w:pPr>
      <w:rPr>
        <w:rFonts w:ascii="Arial" w:hAnsi="Arial"/>
        <w:color w:val="F2F2F2"/>
        <w:sz w:val="22"/>
      </w:r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DE9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DE9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9">
    <w:name w:val="Bordered"/>
    <w:basedOn w:val="3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pPr>
        <w:snapToGrid/>
      </w:pPr>
      <w:rPr>
        <w:rFonts w:ascii="Arial" w:hAnsi="Arial"/>
        <w:color w:val="404040"/>
        <w:sz w:val="22"/>
      </w:rPr>
      <w:tcPr>
        <w:tcBorders>
          <w:bottom w:val="single" w:color="7E7E7E" w:themeColor="text1" w:themeTint="80" w:sz="12" w:space="0"/>
        </w:tcBorders>
      </w:tcPr>
    </w:tblStylePr>
    <w:tblStylePr w:type="lastRow">
      <w:pPr>
        <w:snapToGrid/>
      </w:pPr>
      <w:rPr>
        <w:rFonts w:ascii="Arial" w:hAnsi="Arial"/>
        <w:color w:val="404040"/>
        <w:sz w:val="22"/>
      </w:rPr>
      <w:tcPr>
        <w:tcBorders>
          <w:top w:val="single" w:color="7E7E7E" w:themeColor="text1" w:themeTint="8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E7E7E" w:themeColor="text1" w:themeTint="8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20">
    <w:name w:val="Bordered - Accent 1"/>
    <w:basedOn w:val="3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rFonts w:ascii="Arial" w:hAnsi="Arial"/>
        <w:color w:val="404040"/>
        <w:sz w:val="22"/>
      </w:rPr>
      <w:tcPr>
        <w:tcBorders>
          <w:bottom w:val="single" w:color="4F81BD" w:themeColor="accent1" w:sz="12" w:space="0"/>
        </w:tcBorders>
      </w:tcPr>
    </w:tblStylePr>
    <w:tblStylePr w:type="lastRow">
      <w:pPr>
        <w:snapToGrid/>
      </w:pPr>
      <w:rPr>
        <w:rFonts w:ascii="Arial" w:hAnsi="Arial"/>
        <w:color w:val="404040"/>
        <w:sz w:val="22"/>
      </w:rPr>
      <w:tcPr>
        <w:tcBorders>
          <w:top w:val="single" w:color="4F81BD" w:themeColor="accent1"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4F81BD" w:themeColor="accent1"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21">
    <w:name w:val="Bordered - Accent 2"/>
    <w:basedOn w:val="3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rFonts w:ascii="Arial" w:hAnsi="Arial"/>
        <w:color w:val="404040"/>
        <w:sz w:val="22"/>
      </w:rPr>
      <w:tcPr>
        <w:tcBorders>
          <w:bottom w:val="single" w:color="D99795" w:themeColor="accent2" w:themeTint="97" w:sz="12" w:space="0"/>
        </w:tcBorders>
      </w:tcPr>
    </w:tblStylePr>
    <w:tblStylePr w:type="lastRow">
      <w:pPr>
        <w:snapToGrid/>
      </w:pPr>
      <w:rPr>
        <w:rFonts w:ascii="Arial" w:hAnsi="Arial"/>
        <w:color w:val="404040"/>
        <w:sz w:val="22"/>
      </w:rPr>
      <w:tcPr>
        <w:tcBorders>
          <w:top w:val="single" w:color="D99795" w:themeColor="accent2" w:themeTint="97"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D99795" w:themeColor="accent2" w:themeTint="97"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22">
    <w:name w:val="Bordered - Accent 3"/>
    <w:basedOn w:val="3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rFonts w:ascii="Arial" w:hAnsi="Arial"/>
        <w:color w:val="404040"/>
        <w:sz w:val="22"/>
      </w:rPr>
      <w:tcPr>
        <w:tcBorders>
          <w:bottom w:val="single" w:color="C3D69C" w:themeColor="accent3" w:themeTint="98" w:sz="12" w:space="0"/>
        </w:tcBorders>
      </w:tcPr>
    </w:tblStylePr>
    <w:tblStylePr w:type="lastRow">
      <w:pPr>
        <w:snapToGrid/>
      </w:pPr>
      <w:rPr>
        <w:rFonts w:ascii="Arial" w:hAnsi="Arial"/>
        <w:color w:val="404040"/>
        <w:sz w:val="22"/>
      </w:rPr>
      <w:tcPr>
        <w:tcBorders>
          <w:top w:val="single" w:color="C3D69C" w:themeColor="accent3"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3D69C" w:themeColor="accent3"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23">
    <w:name w:val="Bordered - Accent 4"/>
    <w:basedOn w:val="3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rFonts w:ascii="Arial" w:hAnsi="Arial"/>
        <w:color w:val="404040"/>
        <w:sz w:val="22"/>
      </w:rPr>
      <w:tcPr>
        <w:tcBorders>
          <w:bottom w:val="single" w:color="B2A1C6" w:themeColor="accent4" w:themeTint="9A" w:sz="12" w:space="0"/>
        </w:tcBorders>
      </w:tcPr>
    </w:tblStylePr>
    <w:tblStylePr w:type="lastRow">
      <w:pPr>
        <w:snapToGrid/>
      </w:pPr>
      <w:rPr>
        <w:rFonts w:ascii="Arial" w:hAnsi="Arial"/>
        <w:color w:val="404040"/>
        <w:sz w:val="22"/>
      </w:rPr>
      <w:tcPr>
        <w:tcBorders>
          <w:top w:val="single" w:color="B2A1C6" w:themeColor="accent4"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B2A1C6" w:themeColor="accent4"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24">
    <w:name w:val="Bordered - Accent 5"/>
    <w:basedOn w:val="3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rFonts w:ascii="Arial" w:hAnsi="Arial"/>
        <w:color w:val="404040"/>
        <w:sz w:val="22"/>
      </w:rPr>
      <w:tcPr>
        <w:tcBorders>
          <w:bottom w:val="single" w:color="92CCDC" w:themeColor="accent5" w:themeTint="9A" w:sz="12" w:space="0"/>
        </w:tcBorders>
      </w:tcPr>
    </w:tblStylePr>
    <w:tblStylePr w:type="lastRow">
      <w:pPr>
        <w:snapToGrid/>
      </w:pPr>
      <w:rPr>
        <w:rFonts w:ascii="Arial" w:hAnsi="Arial"/>
        <w:color w:val="404040"/>
        <w:sz w:val="22"/>
      </w:rPr>
      <w:tcPr>
        <w:tcBorders>
          <w:top w:val="single" w:color="92CCDC" w:themeColor="accent5"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92CCDC" w:themeColor="accent5"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25">
    <w:name w:val="Bordered - Accent 6"/>
    <w:basedOn w:val="3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rFonts w:ascii="Arial" w:hAnsi="Arial"/>
        <w:color w:val="404040"/>
        <w:sz w:val="22"/>
      </w:rPr>
      <w:tcPr>
        <w:tcBorders>
          <w:bottom w:val="single" w:color="FAC090" w:themeColor="accent6" w:themeTint="98" w:sz="12" w:space="0"/>
        </w:tcBorders>
      </w:tcPr>
    </w:tblStylePr>
    <w:tblStylePr w:type="lastRow">
      <w:pPr>
        <w:snapToGrid/>
      </w:pPr>
      <w:rPr>
        <w:rFonts w:ascii="Arial" w:hAnsi="Arial"/>
        <w:color w:val="404040"/>
        <w:sz w:val="22"/>
      </w:rPr>
      <w:tcPr>
        <w:tcBorders>
          <w:top w:val="single" w:color="FAC090" w:themeColor="accent6"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AC090" w:themeColor="accent6"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226">
    <w:name w:val="脚注文本 Char"/>
    <w:link w:val="30"/>
    <w:qFormat/>
    <w:uiPriority w:val="99"/>
    <w:rPr>
      <w:sz w:val="18"/>
    </w:rPr>
  </w:style>
  <w:style w:type="character" w:customStyle="1" w:styleId="227">
    <w:name w:val="尾注文本 Char"/>
    <w:link w:val="23"/>
    <w:qFormat/>
    <w:uiPriority w:val="99"/>
    <w:rPr>
      <w:sz w:val="20"/>
    </w:rPr>
  </w:style>
  <w:style w:type="paragraph" w:customStyle="1" w:styleId="228">
    <w:name w:val="TOC 标题11"/>
    <w:unhideWhenUsed/>
    <w:qFormat/>
    <w:uiPriority w:val="39"/>
    <w:pPr>
      <w:spacing w:after="200" w:line="276" w:lineRule="auto"/>
    </w:pPr>
    <w:rPr>
      <w:rFonts w:ascii="Calibri" w:hAnsi="Cambria" w:eastAsia="宋体" w:cs="Calibri"/>
      <w:sz w:val="22"/>
      <w:szCs w:val="22"/>
      <w:lang w:val="en-US" w:eastAsia="en-US" w:bidi="ar-SA"/>
    </w:rPr>
  </w:style>
  <w:style w:type="character" w:customStyle="1" w:styleId="229">
    <w:name w:val="正文文本 Char"/>
    <w:link w:val="16"/>
    <w:qFormat/>
    <w:uiPriority w:val="0"/>
    <w:rPr>
      <w:rFonts w:ascii="宋体"/>
    </w:rPr>
  </w:style>
  <w:style w:type="character" w:customStyle="1" w:styleId="230">
    <w:name w:val="unnamed11"/>
    <w:qFormat/>
    <w:uiPriority w:val="0"/>
    <w:rPr>
      <w:rFonts w:hint="eastAsia" w:ascii="宋体" w:hAnsi="宋体" w:eastAsia="宋体"/>
      <w:sz w:val="18"/>
    </w:rPr>
  </w:style>
  <w:style w:type="character" w:customStyle="1" w:styleId="231">
    <w:name w:val="标题 Char"/>
    <w:link w:val="37"/>
    <w:qFormat/>
    <w:uiPriority w:val="0"/>
    <w:rPr>
      <w:rFonts w:ascii="Cambria" w:hAnsi="Cambria"/>
      <w:b/>
      <w:sz w:val="32"/>
    </w:rPr>
  </w:style>
  <w:style w:type="character" w:customStyle="1" w:styleId="232">
    <w:name w:val="页眉 Char"/>
    <w:link w:val="26"/>
    <w:qFormat/>
    <w:uiPriority w:val="0"/>
    <w:rPr>
      <w:sz w:val="18"/>
    </w:rPr>
  </w:style>
  <w:style w:type="character" w:customStyle="1" w:styleId="233">
    <w:name w:val="read"/>
    <w:basedOn w:val="41"/>
    <w:qFormat/>
    <w:uiPriority w:val="0"/>
  </w:style>
  <w:style w:type="paragraph" w:customStyle="1" w:styleId="234">
    <w:name w:val="Char Char"/>
    <w:basedOn w:val="1"/>
    <w:qFormat/>
    <w:uiPriority w:val="0"/>
  </w:style>
  <w:style w:type="paragraph" w:customStyle="1" w:styleId="235">
    <w:name w:val="Default"/>
    <w:qFormat/>
    <w:uiPriority w:val="0"/>
    <w:pPr>
      <w:widowControl w:val="0"/>
      <w:spacing w:after="200" w:line="276" w:lineRule="auto"/>
    </w:pPr>
    <w:rPr>
      <w:rFonts w:ascii="宋体" w:hAnsi="Cambria" w:eastAsia="宋体" w:cs="Calibri"/>
      <w:color w:val="000000"/>
      <w:sz w:val="24"/>
      <w:szCs w:val="22"/>
      <w:lang w:val="en-US" w:eastAsia="en-US" w:bidi="ar-SA"/>
    </w:rPr>
  </w:style>
  <w:style w:type="paragraph" w:customStyle="1" w:styleId="236">
    <w:name w:val="unnamed1"/>
    <w:basedOn w:val="1"/>
    <w:qFormat/>
    <w:uiPriority w:val="0"/>
    <w:pPr>
      <w:spacing w:before="60" w:after="60"/>
      <w:ind w:left="15" w:right="15"/>
    </w:pPr>
    <w:rPr>
      <w:rFonts w:hint="eastAsia" w:ascii="宋体" w:hAnsi="宋体"/>
      <w:color w:val="000000"/>
      <w:sz w:val="18"/>
      <w:szCs w:val="18"/>
    </w:rPr>
  </w:style>
  <w:style w:type="paragraph" w:customStyle="1" w:styleId="237">
    <w:name w:val="List_bullet"/>
    <w:basedOn w:val="1"/>
    <w:qFormat/>
    <w:uiPriority w:val="0"/>
    <w:pPr>
      <w:widowControl/>
      <w:tabs>
        <w:tab w:val="left" w:pos="360"/>
      </w:tabs>
      <w:ind w:left="360" w:hanging="360"/>
      <w:jc w:val="left"/>
    </w:pPr>
    <w:rPr>
      <w:sz w:val="24"/>
    </w:rPr>
  </w:style>
  <w:style w:type="paragraph" w:customStyle="1" w:styleId="238">
    <w:name w:val="msonormal1"/>
    <w:qFormat/>
    <w:uiPriority w:val="0"/>
    <w:pPr>
      <w:widowControl w:val="0"/>
      <w:spacing w:after="200" w:line="276" w:lineRule="auto"/>
      <w:jc w:val="both"/>
    </w:pPr>
    <w:rPr>
      <w:rFonts w:ascii="Calibri" w:hAnsi="Cambria" w:eastAsia="宋体" w:cs="Calibri"/>
      <w:sz w:val="21"/>
      <w:szCs w:val="22"/>
      <w:lang w:val="en-US" w:eastAsia="en-US" w:bidi="ar-SA"/>
    </w:rPr>
  </w:style>
  <w:style w:type="paragraph" w:customStyle="1" w:styleId="239">
    <w:name w:val="正文正文"/>
    <w:basedOn w:val="1"/>
    <w:qFormat/>
    <w:uiPriority w:val="0"/>
    <w:pPr>
      <w:spacing w:afterLines="25" w:line="360" w:lineRule="auto"/>
      <w:ind w:firstLine="200"/>
    </w:pPr>
    <w:rPr>
      <w:sz w:val="24"/>
    </w:rPr>
  </w:style>
  <w:style w:type="paragraph" w:customStyle="1" w:styleId="240">
    <w:name w:val="Char"/>
    <w:basedOn w:val="1"/>
    <w:qFormat/>
    <w:uiPriority w:val="0"/>
  </w:style>
  <w:style w:type="paragraph" w:customStyle="1" w:styleId="241">
    <w:name w:val="Char1"/>
    <w:basedOn w:val="1"/>
    <w:qFormat/>
    <w:uiPriority w:val="0"/>
  </w:style>
  <w:style w:type="paragraph" w:customStyle="1" w:styleId="242">
    <w:name w:val="Char Char Char"/>
    <w:basedOn w:val="1"/>
    <w:qFormat/>
    <w:uiPriority w:val="0"/>
  </w:style>
  <w:style w:type="paragraph" w:customStyle="1" w:styleId="243">
    <w:name w:val="InfoBlue"/>
    <w:basedOn w:val="1"/>
    <w:next w:val="16"/>
    <w:qFormat/>
    <w:uiPriority w:val="0"/>
    <w:pPr>
      <w:tabs>
        <w:tab w:val="left" w:pos="420"/>
      </w:tabs>
      <w:spacing w:after="120" w:line="240" w:lineRule="atLeast"/>
      <w:ind w:left="420" w:hanging="420"/>
      <w:jc w:val="left"/>
    </w:pPr>
    <w:rPr>
      <w:rFonts w:ascii="宋体" w:hAnsi="宋体"/>
    </w:rPr>
  </w:style>
  <w:style w:type="paragraph" w:customStyle="1" w:styleId="244">
    <w:name w:val="Char Char Char Char"/>
    <w:basedOn w:val="1"/>
    <w:qFormat/>
    <w:uiPriority w:val="0"/>
    <w:pPr>
      <w:tabs>
        <w:tab w:val="left" w:pos="360"/>
      </w:tabs>
    </w:pPr>
  </w:style>
  <w:style w:type="paragraph" w:customStyle="1" w:styleId="245">
    <w:name w:val="Char Char1"/>
    <w:basedOn w:val="1"/>
    <w:qFormat/>
    <w:uiPriority w:val="0"/>
  </w:style>
  <w:style w:type="paragraph" w:customStyle="1" w:styleId="246">
    <w:name w:val="正文所"/>
    <w:basedOn w:val="1"/>
    <w:qFormat/>
    <w:uiPriority w:val="0"/>
    <w:pPr>
      <w:spacing w:line="360" w:lineRule="auto"/>
      <w:ind w:firstLine="420"/>
    </w:pPr>
    <w:rPr>
      <w:rFonts w:ascii="宋体"/>
    </w:rPr>
  </w:style>
  <w:style w:type="paragraph" w:customStyle="1" w:styleId="247">
    <w:name w:val="修订1"/>
    <w:hidden/>
    <w:semiHidden/>
    <w:qFormat/>
    <w:uiPriority w:val="99"/>
    <w:pPr>
      <w:spacing w:after="200" w:line="276" w:lineRule="auto"/>
    </w:pPr>
    <w:rPr>
      <w:rFonts w:ascii="Calibri" w:hAnsi="Cambria" w:eastAsia="宋体" w:cs="Calibri"/>
      <w:sz w:val="21"/>
      <w:szCs w:val="22"/>
      <w:lang w:val="en-US" w:eastAsia="en-US" w:bidi="ar-SA"/>
    </w:rPr>
  </w:style>
  <w:style w:type="character" w:customStyle="1" w:styleId="248">
    <w:name w:val="批注文字 Char"/>
    <w:basedOn w:val="41"/>
    <w:link w:val="15"/>
    <w:qFormat/>
    <w:uiPriority w:val="99"/>
    <w:rPr>
      <w:sz w:val="21"/>
      <w:szCs w:val="22"/>
      <w:lang w:eastAsia="en-US"/>
    </w:rPr>
  </w:style>
  <w:style w:type="paragraph" w:customStyle="1" w:styleId="249">
    <w:name w:val="Char Char2"/>
    <w:basedOn w:val="1"/>
    <w:qFormat/>
    <w:uiPriority w:val="0"/>
  </w:style>
  <w:style w:type="character" w:customStyle="1" w:styleId="250">
    <w:name w:val="批注文字 字符"/>
    <w:qFormat/>
    <w:uiPriority w:val="99"/>
    <w:rPr>
      <w:sz w:val="21"/>
    </w:rPr>
  </w:style>
  <w:style w:type="paragraph" w:customStyle="1" w:styleId="251">
    <w:name w:val="修订2"/>
    <w:hidden/>
    <w:semiHidden/>
    <w:qFormat/>
    <w:uiPriority w:val="99"/>
    <w:pPr>
      <w:spacing w:after="200" w:line="276" w:lineRule="auto"/>
    </w:pPr>
    <w:rPr>
      <w:rFonts w:ascii="Calibri" w:hAnsi="Cambria" w:eastAsia="宋体" w:cs="Calibri"/>
      <w:sz w:val="21"/>
      <w:szCs w:val="22"/>
      <w:lang w:val="en-US" w:eastAsia="en-US" w:bidi="ar-SA"/>
    </w:rPr>
  </w:style>
  <w:style w:type="paragraph" w:customStyle="1" w:styleId="252">
    <w:name w:val="Char Char3"/>
    <w:basedOn w:val="1"/>
    <w:qFormat/>
    <w:uiPriority w:val="0"/>
  </w:style>
  <w:style w:type="paragraph" w:customStyle="1" w:styleId="253">
    <w:name w:val="Char Char11"/>
    <w:basedOn w:val="1"/>
    <w:qFormat/>
    <w:uiPriority w:val="0"/>
  </w:style>
  <w:style w:type="paragraph" w:customStyle="1" w:styleId="254">
    <w:name w:val="Char2"/>
    <w:basedOn w:val="1"/>
    <w:qFormat/>
    <w:uiPriority w:val="0"/>
  </w:style>
  <w:style w:type="paragraph" w:customStyle="1" w:styleId="255">
    <w:name w:val="修订3"/>
    <w:hidden/>
    <w:semiHidden/>
    <w:qFormat/>
    <w:uiPriority w:val="99"/>
    <w:pPr>
      <w:spacing w:after="200" w:line="276" w:lineRule="auto"/>
    </w:pPr>
    <w:rPr>
      <w:rFonts w:ascii="Calibri" w:hAnsi="Cambria" w:eastAsia="宋体" w:cs="Calibri"/>
      <w:sz w:val="21"/>
      <w:szCs w:val="22"/>
      <w:lang w:val="en-US" w:eastAsia="en-US" w:bidi="ar-SA"/>
    </w:rPr>
  </w:style>
  <w:style w:type="character" w:customStyle="1" w:styleId="256">
    <w:name w:val="页脚 Char"/>
    <w:basedOn w:val="41"/>
    <w:link w:val="25"/>
    <w:qFormat/>
    <w:uiPriority w:val="99"/>
    <w:rPr>
      <w:sz w:val="18"/>
    </w:rPr>
  </w:style>
  <w:style w:type="paragraph" w:customStyle="1" w:styleId="257">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58">
    <w:name w:val="修订4"/>
    <w:hidden/>
    <w:semiHidden/>
    <w:qFormat/>
    <w:uiPriority w:val="99"/>
    <w:pPr>
      <w:spacing w:after="200" w:line="276" w:lineRule="auto"/>
    </w:pPr>
    <w:rPr>
      <w:rFonts w:ascii="Calibri" w:hAnsi="Cambria" w:eastAsia="宋体" w:cs="Calibri"/>
      <w:sz w:val="21"/>
      <w:szCs w:val="22"/>
      <w:lang w:val="en-US" w:eastAsia="en-US" w:bidi="ar-SA"/>
    </w:rPr>
  </w:style>
  <w:style w:type="character" w:customStyle="1" w:styleId="259">
    <w:name w:val="正文文本缩进 Char"/>
    <w:basedOn w:val="41"/>
    <w:link w:val="17"/>
    <w:semiHidden/>
    <w:qFormat/>
    <w:uiPriority w:val="99"/>
    <w:rPr>
      <w:sz w:val="21"/>
    </w:rPr>
  </w:style>
  <w:style w:type="paragraph" w:customStyle="1" w:styleId="260">
    <w:name w:val="修订5"/>
    <w:hidden/>
    <w:semiHidden/>
    <w:qFormat/>
    <w:uiPriority w:val="99"/>
    <w:pPr>
      <w:spacing w:after="200" w:line="276" w:lineRule="auto"/>
    </w:pPr>
    <w:rPr>
      <w:rFonts w:ascii="Calibri" w:hAnsi="Cambria" w:eastAsia="宋体" w:cs="Calibri"/>
      <w:sz w:val="21"/>
      <w:szCs w:val="22"/>
      <w:lang w:val="en-US" w:eastAsia="en-US" w:bidi="ar-SA"/>
    </w:rPr>
  </w:style>
  <w:style w:type="paragraph" w:customStyle="1" w:styleId="261">
    <w:name w:val="修订6"/>
    <w:hidden/>
    <w:semiHidden/>
    <w:qFormat/>
    <w:uiPriority w:val="99"/>
    <w:pPr>
      <w:spacing w:after="200" w:line="276" w:lineRule="auto"/>
    </w:pPr>
    <w:rPr>
      <w:rFonts w:ascii="Calibri" w:hAnsi="Cambria" w:eastAsia="宋体" w:cs="Calibri"/>
      <w:sz w:val="21"/>
      <w:szCs w:val="22"/>
      <w:lang w:val="en-US" w:eastAsia="en-US" w:bidi="ar-SA"/>
    </w:rPr>
  </w:style>
  <w:style w:type="paragraph" w:customStyle="1" w:styleId="262">
    <w:name w:val="修订7"/>
    <w:hidden/>
    <w:semiHidden/>
    <w:qFormat/>
    <w:uiPriority w:val="99"/>
    <w:rPr>
      <w:rFonts w:ascii="Calibri" w:hAnsi="Cambria" w:eastAsia="宋体" w:cs="Calibri"/>
      <w:sz w:val="21"/>
      <w:szCs w:val="22"/>
      <w:lang w:val="en-US" w:eastAsia="en-US" w:bidi="ar-SA"/>
    </w:rPr>
  </w:style>
  <w:style w:type="paragraph" w:customStyle="1" w:styleId="263">
    <w:name w:val="修订8"/>
    <w:hidden/>
    <w:semiHidden/>
    <w:qFormat/>
    <w:uiPriority w:val="99"/>
    <w:rPr>
      <w:rFonts w:ascii="Calibri" w:hAnsi="Cambria" w:eastAsia="宋体" w:cs="Calibri"/>
      <w:sz w:val="21"/>
      <w:szCs w:val="22"/>
      <w:lang w:val="en-US" w:eastAsia="en-US" w:bidi="ar-SA"/>
    </w:rPr>
  </w:style>
  <w:style w:type="paragraph" w:customStyle="1" w:styleId="264">
    <w:name w:val="修订9"/>
    <w:hidden/>
    <w:semiHidden/>
    <w:qFormat/>
    <w:uiPriority w:val="99"/>
    <w:rPr>
      <w:rFonts w:ascii="Calibri" w:hAnsi="Cambria" w:eastAsia="宋体" w:cs="Calibri"/>
      <w:sz w:val="21"/>
      <w:szCs w:val="22"/>
      <w:lang w:val="en-US" w:eastAsia="en-US" w:bidi="ar-SA"/>
    </w:rPr>
  </w:style>
  <w:style w:type="paragraph" w:customStyle="1" w:styleId="265">
    <w:name w:val="修订10"/>
    <w:hidden/>
    <w:unhideWhenUsed/>
    <w:qFormat/>
    <w:uiPriority w:val="99"/>
    <w:rPr>
      <w:rFonts w:ascii="Calibri" w:hAnsi="Cambria" w:eastAsia="宋体" w:cs="Calibri"/>
      <w:sz w:val="21"/>
      <w:szCs w:val="22"/>
      <w:lang w:val="en-US" w:eastAsia="en-US" w:bidi="ar-SA"/>
    </w:rPr>
  </w:style>
  <w:style w:type="paragraph" w:customStyle="1" w:styleId="266">
    <w:name w:val="修订11"/>
    <w:hidden/>
    <w:unhideWhenUsed/>
    <w:qFormat/>
    <w:uiPriority w:val="99"/>
    <w:rPr>
      <w:rFonts w:ascii="Calibri" w:hAnsi="Cambria" w:eastAsia="宋体" w:cs="Calibri"/>
      <w:sz w:val="21"/>
      <w:szCs w:val="22"/>
      <w:lang w:val="en-US" w:eastAsia="en-US" w:bidi="ar-SA"/>
    </w:rPr>
  </w:style>
  <w:style w:type="paragraph" w:customStyle="1" w:styleId="267">
    <w:name w:val="修订12"/>
    <w:hidden/>
    <w:unhideWhenUsed/>
    <w:qFormat/>
    <w:uiPriority w:val="99"/>
    <w:rPr>
      <w:rFonts w:ascii="Calibri" w:hAnsi="Cambria" w:eastAsia="宋体" w:cs="Calibri"/>
      <w:sz w:val="21"/>
      <w:szCs w:val="22"/>
      <w:lang w:val="en-US" w:eastAsia="en-US" w:bidi="ar-SA"/>
    </w:rPr>
  </w:style>
  <w:style w:type="paragraph" w:customStyle="1" w:styleId="268">
    <w:name w:val="修订13"/>
    <w:hidden/>
    <w:unhideWhenUsed/>
    <w:qFormat/>
    <w:uiPriority w:val="99"/>
    <w:rPr>
      <w:rFonts w:ascii="Calibri" w:hAnsi="Cambria" w:eastAsia="宋体" w:cs="Calibri"/>
      <w:sz w:val="21"/>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settings xmlns:w="http://schemas.openxmlformats.org/wordprocessingml/2006/main">
  <w:SpecialFormsHighlight w:val="c9c8ff"/>
</w:settings>
</file>

<file path=customXml/item4.xml><?xml version="1.0" encoding="utf-8"?>
<contractReview xmlns="http://schemas.wps.cn/vas-ai-hub/contract-review">
  <reviewItems>
    <reviewItem>
      <errorID>8f9e5784-9d59-4341-b323-af2c56f30565</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 DBB36B6</paraID>
      <start>0</start>
      <end>3</end>
      <status>unmodified</status>
      <modifiedWord/>
      <trackRevisions>false</trackRevisions>
    </reviewItem>
    <reviewItem>
      <errorID>a227c94b-e02c-4174-8801-a512ddc5666d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5EC41B51</paraID>
      <start>0</start>
      <end>2</end>
      <status>unmodified</status>
      <modifiedWord/>
      <trackRevisions>false</trackRevisions>
    </reviewItem>
    <reviewItem>
      <errorID>ec6a60a6-2315-4625-9e58-1336b3d6fa22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2458C90B</paraID>
      <start>0</start>
      <end>2</end>
      <status>unmodified</status>
      <modifiedWord/>
      <trackRevisions>false</trackRevisions>
    </reviewItem>
    <reviewItem>
      <errorID>3639ed10-84d9-45ce-9183-252d1138d824</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2458C90B</paraID>
      <start>26</start>
      <end>55</end>
      <status>unmodified</status>
      <modifiedWord/>
      <trackRevisions>false</trackRevisions>
    </reviewItem>
    <reviewItem>
      <errorID>cfcf5a9c-38c9-4274-b7d5-160cbd00615e</errorID>
      <errorWord>《公开募集证券投资基金运作管理办法》(以下简称“《运作办法》”)</errorWord>
      <group>L1_Knowledge</group>
      <groupName>知识性问题</groupName>
      <ability>L2_Knowledge</ability>
      <abilityName>其他知识</abilityName>
      <candidateList>
        <item>《公开募集证券投资基金运作管理办法》(以下简称《运作办法》)</item>
      </candidateList>
      <explain>疑似政策文件、法律法规名称等书写不规范，请注意检查。</explain>
      <paraID>2458C90B</paraID>
      <start>56</start>
      <end>88</end>
      <status>unmodified</status>
      <modifiedWord/>
      <trackRevisions>false</trackRevisions>
    </reviewItem>
    <reviewItem>
      <errorID>d0649e85-f9ef-4182-9703-66709a2dc39a</errorID>
      <errorWord>《公开募集证券投资基金销售机构监督管理办法》(以下简称“《销售办法》”)</errorWord>
      <group>L1_Knowledge</group>
      <groupName>知识性问题</groupName>
      <ability>L2_Knowledge</ability>
      <abilityName>其他知识</abilityName>
      <candidateList>
        <item>《公开募集证券投资基金销售机构监督管理办法》(以下简称《销售办法》)</item>
      </candidateList>
      <explain>疑似政策文件、法律法规名称等书写不规范，请注意检查。</explain>
      <paraID>2458C90B</paraID>
      <start>89</start>
      <end>125</end>
      <status>unmodified</status>
      <modifiedWord/>
      <trackRevisions>false</trackRevisions>
    </reviewItem>
    <reviewItem>
      <errorID>c4b742ee-5242-4c22-8f5f-76746feef383</errorID>
      <errorWord>《公开募集证券投资基金信息披露管理办法》(以下简称“《信息披露办法》”)</errorWord>
      <group>L1_Knowledge</group>
      <groupName>知识性问题</groupName>
      <ability>L2_Knowledge</ability>
      <abilityName>其他知识</abilityName>
      <candidateList>
        <item>《公开募集证券投资基金信息披露管理办法》(以下简称《信息披露办法》)</item>
      </candidateList>
      <explain>疑似政策文件、法律法规名称等书写不规范，请注意检查。</explain>
      <paraID>2458C90B</paraID>
      <start>126</start>
      <end>162</end>
      <status>unmodified</status>
      <modifiedWord/>
      <trackRevisions>false</trackRevisions>
    </reviewItem>
    <reviewItem>
      <errorID>2051812d-3f13-4578-8d38-0b4d633decee</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2458C90B</paraID>
      <start>163</start>
      <end>206</end>
      <status>unmodified</status>
      <modifiedWord/>
      <trackRevisions>false</trackRevisions>
    </reviewItem>
    <reviewItem>
      <errorID>2d3f7c31-e8c2-41e2-bcc3-80b514af65ec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7D2583EF</paraID>
      <start>0</start>
      <end>2</end>
      <status>unmodified</status>
      <modifiedWord/>
      <trackRevisions>false</trackRevisions>
    </reviewItem>
    <reviewItem>
      <errorID>d838e33b-8901-4514-ad0b-96843e3a20ac</errorID>
      <errorWord>投资人自</errorWord>
      <group>L1_Word</group>
      <groupName>字词问题</groupName>
      <ability>L2_Typo</ability>
      <abilityName>字词错误</abilityName>
      <candidateList>
        <item>投资人</item>
      </candidateList>
      <explain/>
      <paraID>69B8E05B</paraID>
      <start>32</start>
      <end>36</end>
      <status>unmodified</status>
      <modifiedWord/>
      <trackRevisions>false</trackRevisions>
    </reviewItem>
    <reviewItem>
      <errorID>86f0fcb7-4677-4397-be20-3699477ec339</errorID>
      <errorWord>(</errorWord>
      <group>L1_Format</group>
      <groupName>格式问题</groupName>
      <ability>L2_HalfPunc</ability>
      <abilityName>全半角检查</abilityName>
      <candidateList>
        <item>（</item>
      </candidateList>
      <explain>文本全半角错误。</explain>
      <paraID>74840116</paraID>
      <start>66</start>
      <end>67</end>
      <status>unmodified</status>
      <modifiedWord/>
      <trackRevisions>false</trackRevisions>
    </reviewItem>
    <reviewItem>
      <errorID>d2c11ebe-6269-48b2-8004-3f452c8779c1</errorID>
      <errorWord>)</errorWord>
      <group>L1_Format</group>
      <groupName>格式问题</groupName>
      <ability>L2_HalfPunc</ability>
      <abilityName>全半角检查</abilityName>
      <candidateList>
        <item>）</item>
      </candidateList>
      <explain>文本全半角错误。</explain>
      <paraID>74840116</paraID>
      <start>78</start>
      <end>79</end>
      <status>unmodified</status>
      <modifiedWord/>
      <trackRevisions>false</trackRevisions>
    </reviewItem>
    <reviewItem>
      <errorID>522bf2b5-4189-4057-963d-3d1d79b6d5b9</errorID>
      <errorWord>文意</errorWord>
      <group>L1_Word</group>
      <groupName>字词问题</groupName>
      <ability>L2_Typo</ability>
      <abilityName>字词错误</abilityName>
      <candidateList>
        <item>文义</item>
      </candidateList>
      <explain>存在发音相同字词的误用。</explain>
      <paraID>1ED58DBA</paraID>
      <start>10</start>
      <end>12</end>
      <status>unmodified</status>
      <modifiedWord/>
      <trackRevisions>false</trackRevisions>
    </reviewItem>
    <reviewItem>
      <errorID>cb3b9277-e667-4bdd-9c5d-a8efec657c15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1AACB4D</paraID>
      <start>0</start>
      <end>2</end>
      <status>unmodified</status>
      <modifiedWord/>
      <trackRevisions>false</trackRevisions>
    </reviewItem>
    <reviewItem>
      <errorID>d3329502-03af-496f-997a-395b29c932a0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1045FB54</paraID>
      <start>0</start>
      <end>2</end>
      <status>unmodified</status>
      <modifiedWord/>
      <trackRevisions>false</trackRevisions>
    </reviewItem>
    <reviewItem>
      <errorID>b1befc86-fadc-4ebc-b16c-b5a5452053dd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67C77B64</paraID>
      <start>0</start>
      <end>2</end>
      <status>unmodified</status>
      <modifiedWord/>
      <trackRevisions>false</trackRevisions>
    </reviewItem>
    <reviewItem>
      <errorID>529c6ccd-e030-481e-b7ad-9359769ef98d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6AD58CCF</paraID>
      <start>0</start>
      <end>2</end>
      <status>unmodified</status>
      <modifiedWord/>
      <trackRevisions>false</trackRevisions>
    </reviewItem>
    <reviewItem>
      <errorID>a399e479-78a4-42c0-976f-7eee3f0c15e6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1D87C71B</paraID>
      <start>0</start>
      <end>2</end>
      <status>unmodified</status>
      <modifiedWord/>
      <trackRevisions>false</trackRevisions>
    </reviewItem>
    <reviewItem>
      <errorID>998442af-ceaf-4dd1-afbc-3e5eac6bdab1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7CEE0B7B</paraID>
      <start>0</start>
      <end>2</end>
      <status>unmodified</status>
      <modifiedWord/>
      <trackRevisions>false</trackRevisions>
    </reviewItem>
    <reviewItem>
      <errorID>5c9b830b-5e8f-49c3-b4ee-02728d7050c1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533B621F</paraID>
      <start>0</start>
      <end>2</end>
      <status>unmodified</status>
      <modifiedWord/>
      <trackRevisions>false</trackRevisions>
    </reviewItem>
    <reviewItem>
      <errorID>c5f47ae1-4d2a-4043-b27b-2adbe32c6c1d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28302398</paraID>
      <start>0</start>
      <end>2</end>
      <status>unmodified</status>
      <modifiedWord/>
      <trackRevisions>false</trackRevisions>
    </reviewItem>
    <reviewItem>
      <errorID>661200d4-009a-4064-9b8c-861f339d9dd3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59D23A03</paraID>
      <start>0</start>
      <end>2</end>
      <status>unmodified</status>
      <modifiedWord/>
      <trackRevisions>false</trackRevisions>
    </reviewItem>
    <reviewItem>
      <errorID>8f7c67aa-9c24-4512-9aa4-59d889544b7d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71085CFA</paraID>
      <start>0</start>
      <end>3</end>
      <status>unmodified</status>
      <modifiedWord/>
      <trackRevisions>false</trackRevisions>
    </reviewItem>
    <reviewItem>
      <errorID>366a7434-a5ee-48ad-96b2-3ff4b8dac356</errorID>
      <errorWord>&lt;</errorWord>
      <group>L1_Format</group>
      <groupName>格式问题</groupName>
      <ability>L2_HalfPunc</ability>
      <abilityName>全半角检查</abilityName>
      <candidateList>
        <item>〈</item>
      </candidateList>
      <explain>文本全半角错误。</explain>
      <paraID>71085CFA</paraID>
      <start>151</start>
      <end>152</end>
      <status>unmodified</status>
      <modifiedWord/>
      <trackRevisions>false</trackRevisions>
    </reviewItem>
    <reviewItem>
      <errorID>4b1aada5-46b3-468c-80ce-c8c69fbfb916</errorID>
      <errorWord>&gt;</errorWord>
      <group>L1_Format</group>
      <groupName>格式问题</groupName>
      <ability>L2_HalfPunc</ability>
      <abilityName>全半角检查</abilityName>
      <candidateList>
        <item>〉</item>
      </candidateList>
      <explain>文本全半角错误。</explain>
      <paraID>71085CFA</paraID>
      <start>162</start>
      <end>163</end>
      <status>unmodified</status>
      <modifiedWord/>
      <trackRevisions>false</trackRevisions>
    </reviewItem>
    <reviewItem>
      <errorID>4a1daad6-c074-404d-964a-adcff6ca6f92</errorID>
      <errorWord>》</errorWord>
      <group>L1_Word</group>
      <groupName>字词问题</groupName>
      <ability>L2_Typo</ability>
      <abilityName>字词错误</abilityName>
      <candidateList>
        <item>》和</item>
      </candidateList>
      <explain/>
      <paraID>71085CFA</paraID>
      <start>171</start>
      <end>172</end>
      <status>unmodified</status>
      <modifiedWord/>
      <trackRevisions>false</trackRevisions>
    </reviewItem>
    <reviewItem>
      <errorID>f233456a-c2a9-46fc-b075-1b367487c94a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68E3E57E</paraID>
      <start>0</start>
      <end>3</end>
      <status>unmodified</status>
      <modifiedWord/>
      <trackRevisions>false</trackRevisions>
    </reviewItem>
    <reviewItem>
      <errorID>fde124ec-0634-43e2-ab01-111e6bea6f77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9E80A96</paraID>
      <start>0</start>
      <end>3</end>
      <status>unmodified</status>
      <modifiedWord/>
      <trackRevisions>false</trackRevisions>
    </reviewItem>
    <reviewItem>
      <errorID>4f058576-b275-480a-9686-6329d7fe0976</errorID>
      <errorWord>规章</errorWord>
      <group>L1_Word</group>
      <groupName>字词问题</groupName>
      <ability>L2_Typo</ability>
      <abilityName>字词错误</abilityName>
      <candidateList>
        <item>规则</item>
      </candidateList>
      <explain/>
      <paraID> 9E80A96</paraID>
      <start>69</start>
      <end>71</end>
      <status>unmodified</status>
      <modifiedWord/>
      <trackRevisions>false</trackRevisions>
    </reviewItem>
    <reviewItem>
      <errorID>69a16872-59d1-46b6-8902-2cd029be624d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25EAE0FB</paraID>
      <start>0</start>
      <end>3</end>
      <status>unmodified</status>
      <modifiedWord/>
      <trackRevisions>false</trackRevisions>
    </reviewItem>
    <reviewItem>
      <errorID>4b76c5d5-2dee-424e-ae72-6d438097ee4b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3EC5B169</paraID>
      <start>0</start>
      <end>3</end>
      <status>unmodified</status>
      <modifiedWord/>
      <trackRevisions>false</trackRevisions>
    </reviewItem>
    <reviewItem>
      <errorID>a272e8fb-9577-4f88-bb13-031e4ac37ff4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4133D3C6</paraID>
      <start>0</start>
      <end>3</end>
      <status>unmodified</status>
      <modifiedWord/>
      <trackRevisions>false</trackRevisions>
    </reviewItem>
    <reviewItem>
      <errorID>7748c931-795b-42ba-b772-52bf43e978d4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7C502978</paraID>
      <start>0</start>
      <end>3</end>
      <status>unmodified</status>
      <modifiedWord/>
      <trackRevisions>false</trackRevisions>
    </reviewItem>
    <reviewItem>
      <errorID>f9655f0c-6ed2-4597-8a34-6c589cbcf291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2A53D8EE</paraID>
      <start>0</start>
      <end>3</end>
      <status>unmodified</status>
      <modifiedWord/>
      <trackRevisions>false</trackRevisions>
    </reviewItem>
    <reviewItem>
      <errorID>571e48e2-4a98-4207-9115-5b26c17288d6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6DB5F182</paraID>
      <start>0</start>
      <end>3</end>
      <status>unmodified</status>
      <modifiedWord/>
      <trackRevisions>false</trackRevisions>
    </reviewItem>
    <reviewItem>
      <errorID>ea5b80a3-6548-4553-9c7a-cdc29e5fa198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77FEFA44</paraID>
      <start>0</start>
      <end>3</end>
      <status>unmodified</status>
      <modifiedWord/>
      <trackRevisions>false</trackRevisions>
    </reviewItem>
    <reviewItem>
      <errorID>fad67105-c722-43bc-8e8c-8a4b54034bf0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BD3EE3B</paraID>
      <start>0</start>
      <end>3</end>
      <status>unmodified</status>
      <modifiedWord/>
      <trackRevisions>false</trackRevisions>
    </reviewItem>
    <reviewItem>
      <errorID>b2e58d69-3609-44e4-b2f3-954a0b1c5a6d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5C66F3B8</paraID>
      <start>0</start>
      <end>3</end>
      <status>unmodified</status>
      <modifiedWord/>
      <trackRevisions>false</trackRevisions>
    </reviewItem>
    <reviewItem>
      <errorID>71939b78-1f0a-4eda-b71d-d376dad1d228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74A0D313</paraID>
      <start>0</start>
      <end>3</end>
      <status>unmodified</status>
      <modifiedWord/>
      <trackRevisions>false</trackRevisions>
    </reviewItem>
    <reviewItem>
      <errorID>39a7e12a-1ca5-40b1-88d5-4c7e08b1f031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58CE7C0F</paraID>
      <start>0</start>
      <end>3</end>
      <status>unmodified</status>
      <modifiedWord/>
      <trackRevisions>false</trackRevisions>
    </reviewItem>
    <reviewItem>
      <errorID>513bade7-3a82-4db9-92a6-932bb39d642d</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47A248B</paraID>
      <start>0</start>
      <end>3</end>
      <status>unmodified</status>
      <modifiedWord/>
      <trackRevisions>false</trackRevisions>
    </reviewItem>
    <reviewItem>
      <errorID>cf0256a9-4313-4e6d-ac49-4d35c54de90e</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5CD89AD9</paraID>
      <start>0</start>
      <end>3</end>
      <status>unmodified</status>
      <modifiedWord/>
      <trackRevisions>false</trackRevisions>
    </reviewItem>
    <reviewItem>
      <errorID>251b1497-ed82-4cf0-8006-d65ef1156bcf</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7CB95311</paraID>
      <start>0</start>
      <end>3</end>
      <status>unmodified</status>
      <modifiedWord/>
      <trackRevisions>false</trackRevisions>
    </reviewItem>
    <reviewItem>
      <errorID>09b1943c-90da-48ab-aeea-cbcac83de68b</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6CB4A404</paraID>
      <start>0</start>
      <end>3</end>
      <status>unmodified</status>
      <modifiedWord/>
      <trackRevisions>false</trackRevisions>
    </reviewItem>
    <reviewItem>
      <errorID>c1c8a4f6-a3b2-4955-a95c-374835933e38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69051C92</paraID>
      <start>0</start>
      <end>3</end>
      <status>unmodified</status>
      <modifiedWord/>
      <trackRevisions>false</trackRevisions>
    </reviewItem>
    <reviewItem>
      <errorID>171190b7-27bf-49ab-810d-d11d10e45cc5</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425F545</paraID>
      <start>0</start>
      <end>3</end>
      <status>unmodified</status>
      <modifiedWord/>
      <trackRevisions>false</trackRevisions>
    </reviewItem>
    <reviewItem>
      <errorID>1ba444d0-4559-4eef-8026-c1f9c716479d</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3F3EFE94</paraID>
      <start>0</start>
      <end>3</end>
      <status>unmodified</status>
      <modifiedWord/>
      <trackRevisions>false</trackRevisions>
    </reviewItem>
    <reviewItem>
      <errorID>0576ce42-34bb-43eb-be1b-d34560205b2d</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6EB95B8A</paraID>
      <start>0</start>
      <end>3</end>
      <status>unmodified</status>
      <modifiedWord/>
      <trackRevisions>false</trackRevisions>
    </reviewItem>
    <reviewItem>
      <errorID>620e9bc1-ee69-4df2-8c9d-2960fdf32f06</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57F9ACED</paraID>
      <start>0</start>
      <end>3</end>
      <status>unmodified</status>
      <modifiedWord/>
      <trackRevisions>false</trackRevisions>
    </reviewItem>
    <reviewItem>
      <errorID>656f06d0-1e6e-4377-8990-514038925cdb</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206BDA3D</paraID>
      <start>0</start>
      <end>3</end>
      <status>unmodified</status>
      <modifiedWord/>
      <trackRevisions>false</trackRevisions>
    </reviewItem>
    <reviewItem>
      <errorID>a848b698-3e87-41bb-9edc-2b946c88ddc3</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64A01D57</paraID>
      <start>0</start>
      <end>3</end>
      <status>unmodified</status>
      <modifiedWord/>
      <trackRevisions>false</trackRevisions>
    </reviewItem>
    <reviewItem>
      <errorID>6cba4df6-940f-49a1-873d-214f7aaf8615</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6D9281DF</paraID>
      <start>0</start>
      <end>3</end>
      <status>unmodified</status>
      <modifiedWord/>
      <trackRevisions>false</trackRevisions>
    </reviewItem>
    <reviewItem>
      <errorID>539e1143-b7cf-4baa-9cde-1bf00b504af2</errorID>
      <errorWord>(</errorWord>
      <group>L1_Format</group>
      <groupName>格式问题</groupName>
      <ability>L2_HalfPunc</ability>
      <abilityName>全半角检查</abilityName>
      <candidateList>
        <item>（</item>
      </candidateList>
      <explain>文本全半角错误。</explain>
      <paraID>6D9281DF</paraID>
      <start>19</start>
      <end>20</end>
      <status>unmodified</status>
      <modifiedWord/>
      <trackRevisions>false</trackRevisions>
    </reviewItem>
    <reviewItem>
      <errorID>16d52f86-eda9-4174-be3b-145d17cba40a</errorID>
      <errorWord>)</errorWord>
      <group>L1_Format</group>
      <groupName>格式问题</groupName>
      <ability>L2_HalfPunc</ability>
      <abilityName>全半角检查</abilityName>
      <candidateList>
        <item>）</item>
      </candidateList>
      <explain>文本全半角错误。</explain>
      <paraID>6D9281DF</paraID>
      <start>25</start>
      <end>26</end>
      <status>unmodified</status>
      <modifiedWord/>
      <trackRevisions>false</trackRevisions>
    </reviewItem>
    <reviewItem>
      <errorID>b01bc9b6-dcf5-4b84-a141-f79df0d0eee9</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288D3E1A</paraID>
      <start>0</start>
      <end>3</end>
      <status>unmodified</status>
      <modifiedWord/>
      <trackRevisions>false</trackRevisions>
    </reviewItem>
    <reviewItem>
      <errorID>9f061066-c39c-4e2f-9821-07382fef7d85</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4D94291C</paraID>
      <start>0</start>
      <end>3</end>
      <status>unmodified</status>
      <modifiedWord/>
      <trackRevisions>false</trackRevisions>
    </reviewItem>
    <reviewItem>
      <errorID>ce987e5e-bbcb-4453-9b3a-b13816175df8</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47FA03D1</paraID>
      <start>0</start>
      <end>3</end>
      <status>unmodified</status>
      <modifiedWord/>
      <trackRevisions>false</trackRevisions>
    </reviewItem>
    <reviewItem>
      <errorID>256d66da-d836-4470-90db-a99274e68c97</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5D71514D</paraID>
      <start>0</start>
      <end>3</end>
      <status>unmodified</status>
      <modifiedWord/>
      <trackRevisions>false</trackRevisions>
    </reviewItem>
    <reviewItem>
      <errorID>612e2778-9695-4c86-be2f-1e30c21e0da6</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5F48D1C9</paraID>
      <start>0</start>
      <end>3</end>
      <status>unmodified</status>
      <modifiedWord/>
      <trackRevisions>false</trackRevisions>
    </reviewItem>
    <reviewItem>
      <errorID>1e215862-5677-4373-a6e5-70bba1cc3475</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7A4EB8F</paraID>
      <start>0</start>
      <end>3</end>
      <status>unmodified</status>
      <modifiedWord/>
      <trackRevisions>false</trackRevisions>
    </reviewItem>
    <reviewItem>
      <errorID>d61e316f-1090-4286-86a4-72307d0c41ca</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5CED70C3</paraID>
      <start>0</start>
      <end>3</end>
      <status>unmodified</status>
      <modifiedWord/>
      <trackRevisions>false</trackRevisions>
    </reviewItem>
    <reviewItem>
      <errorID>e247d900-6cc5-45ec-a55a-8565fd9243e9</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1C0BE24D</paraID>
      <start>0</start>
      <end>3</end>
      <status>unmodified</status>
      <modifiedWord/>
      <trackRevisions>false</trackRevisions>
    </reviewItem>
    <reviewItem>
      <errorID>c9382779-844e-48f4-b5b9-e10f2df84c6e</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EF56850</paraID>
      <start>0</start>
      <end>3</end>
      <status>unmodified</status>
      <modifiedWord/>
      <trackRevisions>false</trackRevisions>
    </reviewItem>
    <reviewItem>
      <errorID>5f087c48-d57f-40bf-8394-d2fb59b1b6d0</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77AF6B59</paraID>
      <start>0</start>
      <end>3</end>
      <status>unmodified</status>
      <modifiedWord/>
      <trackRevisions>false</trackRevisions>
    </reviewItem>
    <reviewItem>
      <errorID>b8243772-07e1-4e1d-8ce1-59ccb31fe275</errorID>
      <errorWord>(</errorWord>
      <group>L1_Format</group>
      <groupName>格式问题</groupName>
      <ability>L2_HalfPunc</ability>
      <abilityName>全半角检查</abilityName>
      <candidateList>
        <item>（</item>
      </candidateList>
      <explain>文本全半角错误。</explain>
      <paraID>77AF6B59</paraID>
      <start>25</start>
      <end>26</end>
      <status>unmodified</status>
      <modifiedWord/>
      <trackRevisions>false</trackRevisions>
    </reviewItem>
    <reviewItem>
      <errorID>fc096bb1-99f8-41ea-80a0-42eee9cb6feb</errorID>
      <errorWord>)</errorWord>
      <group>L1_Format</group>
      <groupName>格式问题</groupName>
      <ability>L2_HalfPunc</ability>
      <abilityName>全半角检查</abilityName>
      <candidateList>
        <item>）</item>
      </candidateList>
      <explain>文本全半角错误。</explain>
      <paraID>77AF6B59</paraID>
      <start>78</start>
      <end>79</end>
      <status>unmodified</status>
      <modifiedWord/>
      <trackRevisions>false</trackRevisions>
    </reviewItem>
    <reviewItem>
      <errorID>4909de1a-24a9-41be-9f2c-d529f42e72a5</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1FB62E91</paraID>
      <start>0</start>
      <end>3</end>
      <status>unmodified</status>
      <modifiedWord/>
      <trackRevisions>false</trackRevisions>
    </reviewItem>
    <reviewItem>
      <errorID>433ee6d2-611f-4a76-a244-2fc558f9ff95</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2B25469F</paraID>
      <start>0</start>
      <end>3</end>
      <status>unmodified</status>
      <modifiedWord/>
      <trackRevisions>false</trackRevisions>
    </reviewItem>
    <reviewItem>
      <errorID>1c6e815e-fa03-46a6-87a5-8f9916d8b652</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50130259</paraID>
      <start>0</start>
      <end>3</end>
      <status>unmodified</status>
      <modifiedWord/>
      <trackRevisions>false</trackRevisions>
    </reviewItem>
    <reviewItem>
      <errorID>13aca900-6ca2-4048-99a2-2518cda27e53</errorID>
      <errorWord>49、</errorWord>
      <group>L1_Format</group>
      <groupName>格式问题</groupName>
      <ability>L2_Ordinal</ability>
      <abilityName>序号格式</abilityName>
      <candidateList>
        <item>49.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44E0034</paraID>
      <start>0</start>
      <end>3</end>
      <status>unmodified</status>
      <modifiedWord/>
      <trackRevisions>false</trackRevisions>
    </reviewItem>
    <reviewItem>
      <errorID>322c4e0a-668f-4899-8ca6-392f8ff7ae2f</errorID>
      <errorWord>50、</errorWord>
      <group>L1_Format</group>
      <groupName>格式问题</groupName>
      <ability>L2_Ordinal</ability>
      <abilityName>序号格式</abilityName>
      <candidateList>
        <item>50.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3F6A85A3</paraID>
      <start>0</start>
      <end>3</end>
      <status>unmodified</status>
      <modifiedWord/>
      <trackRevisions>false</trackRevisions>
    </reviewItem>
    <reviewItem>
      <errorID>cae4588b-4fc5-436b-a97a-ae1225c9e5c9</errorID>
      <errorWord>51、</errorWord>
      <group>L1_Format</group>
      <groupName>格式问题</groupName>
      <ability>L2_Ordinal</ability>
      <abilityName>序号格式</abilityName>
      <candidateList>
        <item>51.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74958146</paraID>
      <start>0</start>
      <end>3</end>
      <status>unmodified</status>
      <modifiedWord/>
      <trackRevisions>false</trackRevisions>
    </reviewItem>
    <reviewItem>
      <errorID>5d869811-0c9a-41e6-94d0-c3dc935c087c</errorID>
      <errorWord>52、</errorWord>
      <group>L1_Format</group>
      <groupName>格式问题</groupName>
      <ability>L2_Ordinal</ability>
      <abilityName>序号格式</abilityName>
      <candidateList>
        <item>52.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268D4A13</paraID>
      <start>0</start>
      <end>3</end>
      <status>unmodified</status>
      <modifiedWord/>
      <trackRevisions>false</trackRevisions>
    </reviewItem>
    <reviewItem>
      <errorID>3c0247ef-4dae-469a-b8d8-1d3f0e5eb033</errorID>
      <errorWord>53、</errorWord>
      <group>L1_Format</group>
      <groupName>格式问题</groupName>
      <ability>L2_Ordinal</ability>
      <abilityName>序号格式</abilityName>
      <candidateList>
        <item>53.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155F8742</paraID>
      <start>0</start>
      <end>3</end>
      <status>unmodified</status>
      <modifiedWord/>
      <trackRevisions>false</trackRevisions>
    </reviewItem>
    <reviewItem>
      <errorID>abec9728-a1fa-4781-b0d6-b98f1be10f9c</errorID>
      <errorWord>54、</errorWord>
      <group>L1_Format</group>
      <groupName>格式问题</groupName>
      <ability>L2_Ordinal</ability>
      <abilityName>序号格式</abilityName>
      <candidateList>
        <item>54.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CD4A5FA</paraID>
      <start>0</start>
      <end>3</end>
      <status>unmodified</status>
      <modifiedWord/>
      <trackRevisions>false</trackRevisions>
    </reviewItem>
    <reviewItem>
      <errorID>39e14e5d-5109-46b4-abf6-33509f2a2937</errorID>
      <errorWord>55、</errorWord>
      <group>L1_Format</group>
      <groupName>格式问题</groupName>
      <ability>L2_Ordinal</ability>
      <abilityName>序号格式</abilityName>
      <candidateList>
        <item>55.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54F027BC</paraID>
      <start>0</start>
      <end>3</end>
      <status>unmodified</status>
      <modifiedWord/>
      <trackRevisions>false</trackRevisions>
    </reviewItem>
    <reviewItem>
      <errorID>01cde5e4-e22c-4e85-a6e1-f420e538e8d2</errorID>
      <errorWord>56、</errorWord>
      <group>L1_Format</group>
      <groupName>格式问题</groupName>
      <ability>L2_Ordinal</ability>
      <abilityName>序号格式</abilityName>
      <candidateList>
        <item>56.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F21D300</paraID>
      <start>0</start>
      <end>4</end>
      <status>unmodified</status>
      <modifiedWord/>
      <trackRevisions>false</trackRevisions>
    </reviewItem>
    <reviewItem>
      <errorID>ed90ed15-c941-4b7d-8799-5c5ff312d79a</errorID>
      <errorWord>57、</errorWord>
      <group>L1_Format</group>
      <groupName>格式问题</groupName>
      <ability>L2_Ordinal</ability>
      <abilityName>序号格式</abilityName>
      <candidateList>
        <item>57.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1FA86CD6</paraID>
      <start>2</start>
      <end>5</end>
      <status>unmodified</status>
      <modifiedWord/>
      <trackRevisions>false</trackRevisions>
    </reviewItem>
    <reviewItem>
      <errorID>abd8ea24-bb9c-4a6d-ac8b-fbb2c5a1da59</errorID>
      <errorWord>台湾地区</errorWord>
      <group>L1_Word</group>
      <groupName>字词问题</groupName>
      <ability>L2_Typo</ability>
      <abilityName>字词错误</abilityName>
      <candidateList>
        <item>中国台湾地区</item>
      </candidateList>
      <explain/>
      <paraID>1FA86CD6</paraID>
      <start>45</start>
      <end>49</end>
      <status>unmodified</status>
      <modifiedWord/>
      <trackRevisions>false</trackRevisions>
    </reviewItem>
    <reviewItem>
      <errorID>b0e470d8-d1af-4922-ac20-94b96c499fb4</errorID>
      <errorWord>58、</errorWord>
      <group>L1_Format</group>
      <groupName>格式问题</groupName>
      <ability>L2_Ordinal</ability>
      <abilityName>序号格式</abilityName>
      <candidateList>
        <item>58.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1B640C4F</paraID>
      <start>2</start>
      <end>5</end>
      <status>unmodified</status>
      <modifiedWord/>
      <trackRevisions>false</trackRevisions>
    </reviewItem>
    <reviewItem>
      <errorID>af3a7078-d6d7-4aa3-bf1c-813a139c11ca</errorID>
      <errorWord>59、</errorWord>
      <group>L1_Format</group>
      <groupName>格式问题</groupName>
      <ability>L2_Ordinal</ability>
      <abilityName>序号格式</abilityName>
      <candidateList>
        <item>59.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6838FFE0</paraID>
      <start>2</start>
      <end>5</end>
      <status>unmodified</status>
      <modifiedWord/>
      <trackRevisions>false</trackRevisions>
    </reviewItem>
    <reviewItem>
      <errorID>43e6f93f-137e-4660-bad4-6025f770f948</errorID>
      <errorWord>60、</errorWord>
      <group>L1_Format</group>
      <groupName>格式问题</groupName>
      <ability>L2_Ordinal</ability>
      <abilityName>序号格式</abilityName>
      <candidateList>
        <item>60.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6DBD11A9</paraID>
      <start>0</start>
      <end>4</end>
      <status>unmodified</status>
      <modifiedWord/>
      <trackRevisions>false</trackRevisions>
    </reviewItem>
    <reviewItem>
      <errorID>61add92d-8dc6-4876-aa24-b88791802d9a</errorID>
      <errorWord>61、</errorWord>
      <group>L1_Format</group>
      <groupName>格式问题</groupName>
      <ability>L2_Ordinal</ability>
      <abilityName>序号格式</abilityName>
      <candidateList>
        <item>61.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95B5FB5</paraID>
      <start>0</start>
      <end>4</end>
      <status>unmodified</status>
      <modifiedWord/>
      <trackRevisions>false</trackRevisions>
    </reviewItem>
    <reviewItem>
      <errorID>76954fb7-0500-4756-9bba-e07477ecadce</errorID>
      <errorWord>62、</errorWord>
      <group>L1_Format</group>
      <groupName>格式问题</groupName>
      <ability>L2_Ordinal</ability>
      <abilityName>序号格式</abilityName>
      <candidateList>
        <item>62.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1104E401</paraID>
      <start>0</start>
      <end>4</end>
      <status>unmodified</status>
      <modifiedWord/>
      <trackRevisions>false</trackRevisions>
    </reviewItem>
    <reviewItem>
      <errorID>de4d9d14-590f-4308-9a71-6102d9c1a607</errorID>
      <errorWord>63、</errorWord>
      <group>L1_Format</group>
      <groupName>格式问题</groupName>
      <ability>L2_Ordinal</ability>
      <abilityName>序号格式</abilityName>
      <candidateList>
        <item>63.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3ABBD94</paraID>
      <start>0</start>
      <end>4</end>
      <status>unmodified</status>
      <modifiedWord/>
      <trackRevisions>false</trackRevisions>
    </reviewItem>
    <reviewItem>
      <errorID>a60c5d5f-741c-4a76-8635-38d87b8fd80b</errorID>
      <errorWord>基金基金</errorWord>
      <group>L1_Word</group>
      <groupName>字词问题</groupName>
      <ability>L2_Typo</ability>
      <abilityName>字词错误</abilityName>
      <candidateList>
        <item>基金</item>
      </candidateList>
      <explain/>
      <paraID>721B56F0</paraID>
      <start>1</start>
      <end>5</end>
      <status>unmodified</status>
      <modifiedWord/>
      <trackRevisions>false</trackRevisions>
    </reviewItem>
    <reviewItem>
      <errorID>5e89faae-c600-49dc-903e-a779df768607</errorID>
      <errorWord>取</errorWord>
      <group>L1_Word</group>
      <groupName>字词问题</groupName>
      <ability>L2_Typo</ability>
      <abilityName>字词错误</abilityName>
      <candidateList>
        <item>取销</item>
      </candidateList>
      <explain/>
      <paraID>6886B872</paraID>
      <start>192</start>
      <end>193</end>
      <status>unmodified</status>
      <modifiedWord/>
      <trackRevisions>false</trackRevisions>
    </reviewItem>
    <reviewItem>
      <errorID>f73a499f-93e9-473f-9679-d6297c068538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5C75CA4A</paraID>
      <start>0</start>
      <end>2</end>
      <status>unmodified</status>
      <modifiedWord/>
      <trackRevisions>false</trackRevisions>
    </reviewItem>
    <reviewItem>
      <errorID>fe828d16-9d11-4bc4-9c18-fb6c7b9ae41b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4651A6C8</paraID>
      <start>0</start>
      <end>2</end>
      <status>unmodified</status>
      <modifiedWord/>
      <trackRevisions>false</trackRevisions>
    </reviewItem>
    <reviewItem>
      <errorID>5c04f93d-51da-4646-aeaf-f49022dfedde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2E1E8751</paraID>
      <start>0</start>
      <end>2</end>
      <status>unmodified</status>
      <modifiedWord/>
      <trackRevisions>false</trackRevisions>
    </reviewItem>
    <reviewItem>
      <errorID>4ba3d8db-81a2-41ad-b8cc-580a052186e8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17B23D27</paraID>
      <start>0</start>
      <end>2</end>
      <status>unmodified</status>
      <modifiedWord/>
      <trackRevisions>false</trackRevisions>
    </reviewItem>
    <reviewItem>
      <errorID>c1d5af0c-40a4-48c3-b406-3f4a472ad783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6587BABC</paraID>
      <start>0</start>
      <end>2</end>
      <status>unmodified</status>
      <modifiedWord/>
      <trackRevisions>false</trackRevisions>
    </reviewItem>
    <reviewItem>
      <errorID>bb5d609f-ea62-42dd-ada7-b2738597a976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430DB963</paraID>
      <start>0</start>
      <end>2</end>
      <status>unmodified</status>
      <modifiedWord/>
      <trackRevisions>false</trackRevisions>
    </reviewItem>
    <reviewItem>
      <errorID>278ee555-8d2b-465b-8d0d-f915a368a485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5BD7E3CE</paraID>
      <start>0</start>
      <end>2</end>
      <status>unmodified</status>
      <modifiedWord/>
      <trackRevisions>false</trackRevisions>
    </reviewItem>
    <reviewItem>
      <errorID>e83dc7db-2ce6-40f0-b6de-0040ecb6b8ef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5359DE04</paraID>
      <start>0</start>
      <end>2</end>
      <status>unmodified</status>
      <modifiedWord/>
      <trackRevisions>false</trackRevisions>
    </reviewItem>
    <reviewItem>
      <errorID>b4a19d1f-04a7-4048-80ea-e81d447b9868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299A0A02</paraID>
      <start>0</start>
      <end>2</end>
      <status>unmodified</status>
      <modifiedWord/>
      <trackRevisions>false</trackRevisions>
    </reviewItem>
    <reviewItem>
      <errorID>ab3230ea-b307-424a-b79b-58f57ca9915a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157EC45F</paraID>
      <start>0</start>
      <end>2</end>
      <status>unmodified</status>
      <modifiedWord/>
      <trackRevisions>false</trackRevisions>
    </reviewItem>
    <reviewItem>
      <errorID>458c307d-a1b0-485c-897a-cb78e04d89c2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3B403B97</paraID>
      <start>0</start>
      <end>2</end>
      <status>unmodified</status>
      <modifiedWord/>
      <trackRevisions>false</trackRevisions>
    </reviewItem>
    <reviewItem>
      <errorID>5ae515b2-59b0-4f93-b069-aa1a3843dfd2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2A3AE9D9</paraID>
      <start>0</start>
      <end>2</end>
      <status>unmodified</status>
      <modifiedWord/>
      <trackRevisions>false</trackRevisions>
    </reviewItem>
    <reviewItem>
      <errorID>dd360fe5-fa4c-4865-949e-7eef3316228a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64FECDDD</paraID>
      <start>0</start>
      <end>2</end>
      <status>unmodified</status>
      <modifiedWord/>
      <trackRevisions>false</trackRevisions>
    </reviewItem>
    <reviewItem>
      <errorID>97da9f84-3378-400e-b5ff-a2aa273b7e03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1E2C8309</paraID>
      <start>0</start>
      <end>2</end>
      <status>unmodified</status>
      <modifiedWord/>
      <trackRevisions>false</trackRevisions>
    </reviewItem>
    <reviewItem>
      <errorID>b8ca9f33-ffa8-4e2f-87c3-b8fbc2397ba6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2CABAB64</paraID>
      <start>0</start>
      <end>2</end>
      <status>unmodified</status>
      <modifiedWord/>
      <trackRevisions>false</trackRevisions>
    </reviewItem>
    <reviewItem>
      <errorID>7524ad4a-27d6-46dc-b450-f8e95a219c18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36D550CD</paraID>
      <start>0</start>
      <end>2</end>
      <status>unmodified</status>
      <modifiedWord/>
      <trackRevisions>false</trackRevisions>
    </reviewItem>
    <reviewItem>
      <errorID>fcf5efd6-639c-4b55-804a-931c4d5a0c52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FB1778</paraID>
      <start>0</start>
      <end>2</end>
      <status>unmodified</status>
      <modifiedWord/>
      <trackRevisions>false</trackRevisions>
    </reviewItem>
    <reviewItem>
      <errorID>fe355848-4c87-4168-8acd-466531a5d5c6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31AB6662</paraID>
      <start>0</start>
      <end>2</end>
      <status>unmodified</status>
      <modifiedWord/>
      <trackRevisions>false</trackRevisions>
    </reviewItem>
    <reviewItem>
      <errorID>33bbe97d-9eb2-4365-83e6-6fb1d9655057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1783835D</paraID>
      <start>0</start>
      <end>2</end>
      <status>unmodified</status>
      <modifiedWord/>
      <trackRevisions>false</trackRevisions>
    </reviewItem>
    <reviewItem>
      <errorID>a0081227-31f5-4d0a-b821-77d09ef40db3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2B533E62</paraID>
      <start>0</start>
      <end>2</end>
      <status>unmodified</status>
      <modifiedWord/>
      <trackRevisions>false</trackRevisions>
    </reviewItem>
    <reviewItem>
      <errorID>cbac5d31-e4e8-4923-a7b2-865ec57e4295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338D06E6</paraID>
      <start>0</start>
      <end>2</end>
      <status>unmodified</status>
      <modifiedWord/>
      <trackRevisions>false</trackRevisions>
    </reviewItem>
    <reviewItem>
      <errorID>ee30cf88-6c8c-45df-ba91-93364647810c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444E8277</paraID>
      <start>0</start>
      <end>2</end>
      <status>unmodified</status>
      <modifiedWord/>
      <trackRevisions>false</trackRevisions>
    </reviewItem>
    <reviewItem>
      <errorID>f0476896-845c-4dc7-8538-e69ed3030806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12EFF210</paraID>
      <start>0</start>
      <end>2</end>
      <status>unmodified</status>
      <modifiedWord/>
      <trackRevisions>false</trackRevisions>
    </reviewItem>
    <reviewItem>
      <errorID>bbc9fdb1-2c67-4704-87e7-4c8cf46df6db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208E7149</paraID>
      <start>0</start>
      <end>2</end>
      <status>unmodified</status>
      <modifiedWord/>
      <trackRevisions>false</trackRevisions>
    </reviewItem>
    <reviewItem>
      <errorID>be15238e-9dcb-4b8e-99fe-e5c03c35b118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CB4F72</paraID>
      <start>0</start>
      <end>2</end>
      <status>unmodified</status>
      <modifiedWord/>
      <trackRevisions>false</trackRevisions>
    </reviewItem>
    <reviewItem>
      <errorID>14d07aa4-5b68-4662-b7c6-bda47d6595fc</errorID>
      <errorWord>(</errorWord>
      <group>L1_Format</group>
      <groupName>格式问题</groupName>
      <ability>L2_HalfPunc</ability>
      <abilityName>全半角检查</abilityName>
      <candidateList>
        <item>（</item>
      </candidateList>
      <explain>文本全半角错误。</explain>
      <paraID> AE3E8A9</paraID>
      <start>60</start>
      <end>61</end>
      <status>unmodified</status>
      <modifiedWord/>
      <trackRevisions>false</trackRevisions>
    </reviewItem>
    <reviewItem>
      <errorID>4af24dee-e982-443f-a672-10daafb24522</errorID>
      <errorWord>)</errorWord>
      <group>L1_Format</group>
      <groupName>格式问题</groupName>
      <ability>L2_HalfPunc</ability>
      <abilityName>全半角检查</abilityName>
      <candidateList>
        <item>）</item>
      </candidateList>
      <explain>文本全半角错误。</explain>
      <paraID> AE3E8A9</paraID>
      <start>65</start>
      <end>66</end>
      <status>unmodified</status>
      <modifiedWord/>
      <trackRevisions>false</trackRevisions>
    </reviewItem>
    <reviewItem>
      <errorID>6294be03-55b7-4a7e-912f-fe25087ed839</errorID>
      <errorWord>其它</errorWord>
      <group>L1_Word</group>
      <groupName>字词问题</groupName>
      <ability>L2_Alias</ability>
      <abilityName>也作/曾用词</abilityName>
      <candidateList>
        <item>其他</item>
      </candidateList>
      <explain>词汇[其它]为不规范表述或旧称，其规范书面表述为[其他]。</explain>
      <paraID> AE3E8A9</paraID>
      <start>131</start>
      <end>133</end>
      <status>unmodified</status>
      <modifiedWord/>
      <trackRevisions>false</trackRevisions>
    </reviewItem>
    <reviewItem>
      <errorID>7fb2bbd2-df85-41e5-b4ec-36b0cd4c1259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3ACE7AB</paraID>
      <start>0</start>
      <end>2</end>
      <status>unmodified</status>
      <modifiedWord/>
      <trackRevisions>false</trackRevisions>
    </reviewItem>
    <reviewItem>
      <errorID>c43cb9f2-b4ce-401e-bccf-6299113f63d1</errorID>
      <errorWord>(</errorWord>
      <group>L1_Format</group>
      <groupName>格式问题</groupName>
      <ability>L2_HalfPunc</ability>
      <abilityName>全半角检查</abilityName>
      <candidateList>
        <item>（</item>
      </candidateList>
      <explain>文本全半角错误。</explain>
      <paraID>1B403023</paraID>
      <start>38</start>
      <end>39</end>
      <status>unmodified</status>
      <modifiedWord/>
      <trackRevisions>false</trackRevisions>
    </reviewItem>
    <reviewItem>
      <errorID>d4fb214c-1fad-48e2-91b2-27bf85dfb8a6</errorID>
      <errorWord>)</errorWord>
      <group>L1_Format</group>
      <groupName>格式问题</groupName>
      <ability>L2_HalfPunc</ability>
      <abilityName>全半角检查</abilityName>
      <candidateList>
        <item>）</item>
      </candidateList>
      <explain>文本全半角错误。</explain>
      <paraID>1B403023</paraID>
      <start>41</start>
      <end>42</end>
      <status>unmodified</status>
      <modifiedWord/>
      <trackRevisions>false</trackRevisions>
    </reviewItem>
    <reviewItem>
      <errorID>f53f4e31-dd36-4da9-88d8-dc9f5617c9f2</errorID>
      <errorWord>(</errorWord>
      <group>L1_Format</group>
      <groupName>格式问题</groupName>
      <ability>L2_HalfPunc</ability>
      <abilityName>全半角检查</abilityName>
      <candidateList>
        <item>（</item>
      </candidateList>
      <explain>文本全半角错误。</explain>
      <paraID>1B403023</paraID>
      <start>96</start>
      <end>97</end>
      <status>unmodified</status>
      <modifiedWord/>
      <trackRevisions>false</trackRevisions>
    </reviewItem>
    <reviewItem>
      <errorID>7f9f1d0a-ebe7-43a2-806d-d2ba9cccaba5</errorID>
      <errorWord>)</errorWord>
      <group>L1_Format</group>
      <groupName>格式问题</groupName>
      <ability>L2_HalfPunc</ability>
      <abilityName>全半角检查</abilityName>
      <candidateList>
        <item>）</item>
      </candidateList>
      <explain>文本全半角错误。</explain>
      <paraID>1B403023</paraID>
      <start>101</start>
      <end>102</end>
      <status>unmodified</status>
      <modifiedWord/>
      <trackRevisions>false</trackRevisions>
    </reviewItem>
    <reviewItem>
      <errorID>3b49f9bf-91d2-4d3b-afc4-9af27d257efe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378DD31B</paraID>
      <start>0</start>
      <end>2</end>
      <status>unmodified</status>
      <modifiedWord/>
      <trackRevisions>false</trackRevisions>
    </reviewItem>
    <reviewItem>
      <errorID>ed80eb35-8305-4f63-bdee-0d00b36f5a36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31549A65</paraID>
      <start>0</start>
      <end>2</end>
      <status>unmodified</status>
      <modifiedWord/>
      <trackRevisions>false</trackRevisions>
    </reviewItem>
    <reviewItem>
      <errorID>6707e611-fc0e-48a7-a342-a43b832e4ed7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15B3D3B6</paraID>
      <start>0</start>
      <end>2</end>
      <status>unmodified</status>
      <modifiedWord/>
      <trackRevisions>false</trackRevisions>
    </reviewItem>
    <reviewItem>
      <errorID>6b9606e4-20f9-4fa9-88c7-9fc86c70833e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2ECD9761</paraID>
      <start>0</start>
      <end>2</end>
      <status>unmodified</status>
      <modifiedWord/>
      <trackRevisions>false</trackRevisions>
    </reviewItem>
    <reviewItem>
      <errorID>690c4dc7-213e-48ce-86d8-4c68dabc5520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203528CD</paraID>
      <start>0</start>
      <end>2</end>
      <status>unmodified</status>
      <modifiedWord/>
      <trackRevisions>false</trackRevisions>
    </reviewItem>
    <reviewItem>
      <errorID>d4808b61-66ee-47ec-88a1-bb9b7feef49e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326AFBAB</paraID>
      <start>0</start>
      <end>2</end>
      <status>unmodified</status>
      <modifiedWord/>
      <trackRevisions>false</trackRevisions>
    </reviewItem>
    <reviewItem>
      <errorID>cd4120a4-b114-4200-b308-e9d1ca131aa5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18A1869</paraID>
      <start>0</start>
      <end>2</end>
      <status>unmodified</status>
      <modifiedWord/>
      <trackRevisions>false</trackRevisions>
    </reviewItem>
    <reviewItem>
      <errorID>45167168-6e50-43de-a2e3-14f4826d72d2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29D71C3C</paraID>
      <start>0</start>
      <end>2</end>
      <status>unmodified</status>
      <modifiedWord/>
      <trackRevisions>false</trackRevisions>
    </reviewItem>
    <reviewItem>
      <errorID>b547209c-7fea-45b1-90e5-bf614c401320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3C62E418</paraID>
      <start>0</start>
      <end>2</end>
      <status>unmodified</status>
      <modifiedWord/>
      <trackRevisions>false</trackRevisions>
    </reviewItem>
    <reviewItem>
      <errorID>c2f5d8a2-0c54-4962-b4e0-7cf4ffa4ca8a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38D537D6</paraID>
      <start>0</start>
      <end>2</end>
      <status>unmodified</status>
      <modifiedWord/>
      <trackRevisions>false</trackRevisions>
    </reviewItem>
    <reviewItem>
      <errorID>d29fe758-a21b-4063-b86b-9ec09a5704ea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66CBD712</paraID>
      <start>0</start>
      <end>2</end>
      <status>unmodified</status>
      <modifiedWord/>
      <trackRevisions>false</trackRevisions>
    </reviewItem>
    <reviewItem>
      <errorID>34f9ab15-3477-4a5a-b96a-aeed2a219bcd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3506AE92</paraID>
      <start>0</start>
      <end>2</end>
      <status>unmodified</status>
      <modifiedWord/>
      <trackRevisions>false</trackRevisions>
    </reviewItem>
    <reviewItem>
      <errorID>92c01d6d-bcf7-4534-98cc-86a6dac759a3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5C63F97E</paraID>
      <start>0</start>
      <end>2</end>
      <status>unmodified</status>
      <modifiedWord/>
      <trackRevisions>false</trackRevisions>
    </reviewItem>
    <reviewItem>
      <errorID>87d0bfb0-a68f-4583-a546-fd9a8c32a0f5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2674A8B</paraID>
      <start>0</start>
      <end>2</end>
      <status>unmodified</status>
      <modifiedWord/>
      <trackRevisions>false</trackRevisions>
    </reviewItem>
    <reviewItem>
      <errorID>e9d28ca8-a169-4cec-8a03-c223a6a10a44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62B753D3</paraID>
      <start>0</start>
      <end>2</end>
      <status>unmodified</status>
      <modifiedWord/>
      <trackRevisions>false</trackRevisions>
    </reviewItem>
    <reviewItem>
      <errorID>5133a351-6453-4f72-89ab-576e021b8db8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2E17B7D8</paraID>
      <start>0</start>
      <end>2</end>
      <status>unmodified</status>
      <modifiedWord/>
      <trackRevisions>false</trackRevisions>
    </reviewItem>
    <reviewItem>
      <errorID>f9f55206-15bb-4364-9f19-3a591db7e7d5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5EF4AC6A</paraID>
      <start>0</start>
      <end>2</end>
      <status>unmodified</status>
      <modifiedWord/>
      <trackRevisions>false</trackRevisions>
    </reviewItem>
    <reviewItem>
      <errorID>3c68a4f5-ff32-402c-825c-b16bd8e75ba3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6B873B44</paraID>
      <start>0</start>
      <end>2</end>
      <status>unmodified</status>
      <modifiedWord/>
      <trackRevisions>false</trackRevisions>
    </reviewItem>
    <reviewItem>
      <errorID>2684d3b2-5fef-4846-8bce-57cb2193034e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3DF99AF6</paraID>
      <start>0</start>
      <end>2</end>
      <status>unmodified</status>
      <modifiedWord/>
      <trackRevisions>false</trackRevisions>
    </reviewItem>
    <reviewItem>
      <errorID>ae83c1e1-3ffc-4b36-8830-d4f6a356415d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2BBAA191</paraID>
      <start>0</start>
      <end>2</end>
      <status>unmodified</status>
      <modifiedWord/>
      <trackRevisions>false</trackRevisions>
    </reviewItem>
    <reviewItem>
      <errorID>cfc17b13-6b4b-4a5a-b041-564ed4196f82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31D4F51E</paraID>
      <start>0</start>
      <end>2</end>
      <status>unmodified</status>
      <modifiedWord/>
      <trackRevisions>false</trackRevisions>
    </reviewItem>
    <reviewItem>
      <errorID>754e0d9e-ecb6-4ac6-980a-da78f932c4a1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51CC57A4</paraID>
      <start>0</start>
      <end>2</end>
      <status>unmodified</status>
      <modifiedWord/>
      <trackRevisions>false</trackRevisions>
    </reviewItem>
    <reviewItem>
      <errorID>2f87dfaa-b8af-46a6-8d39-9b644c39196f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274AFCF4</paraID>
      <start>0</start>
      <end>2</end>
      <status>unmodified</status>
      <modifiedWord/>
      <trackRevisions>false</trackRevisions>
    </reviewItem>
    <reviewItem>
      <errorID>3e7c3c10-7afc-4b12-993d-97c3751146a1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2D6F655</paraID>
      <start>0</start>
      <end>3</end>
      <status>unmodified</status>
      <modifiedWord/>
      <trackRevisions>false</trackRevisions>
    </reviewItem>
    <reviewItem>
      <errorID>f5689c61-7b2f-4787-a4e5-8fb73b046aad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BB4DE9E</paraID>
      <start>0</start>
      <end>3</end>
      <status>unmodified</status>
      <modifiedWord/>
      <trackRevisions>false</trackRevisions>
    </reviewItem>
    <reviewItem>
      <errorID>5f0f6638-2f46-480c-987b-46387104389f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3DD67E48</paraID>
      <start>0</start>
      <end>2</end>
      <status>unmodified</status>
      <modifiedWord/>
      <trackRevisions>false</trackRevisions>
    </reviewItem>
    <reviewItem>
      <errorID>57e07c06-eef7-4bf6-8a1f-1c9cb59712d7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68B76B7E</paraID>
      <start>0</start>
      <end>2</end>
      <status>unmodified</status>
      <modifiedWord/>
      <trackRevisions>false</trackRevisions>
    </reviewItem>
    <reviewItem>
      <errorID>4f75cbbf-96ab-41c7-8631-cc1aae95d161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5FA3AAB8</paraID>
      <start>0</start>
      <end>2</end>
      <status>unmodified</status>
      <modifiedWord/>
      <trackRevisions>false</trackRevisions>
    </reviewItem>
    <reviewItem>
      <errorID>1a4dfe91-7cf8-4939-a646-71341d62a12f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24D94EE7</paraID>
      <start>0</start>
      <end>2</end>
      <status>unmodified</status>
      <modifiedWord/>
      <trackRevisions>false</trackRevisions>
    </reviewItem>
    <reviewItem>
      <errorID>b3113fef-364e-413f-bb7e-546da84c4512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3FB4C9A3</paraID>
      <start>0</start>
      <end>2</end>
      <status>unmodified</status>
      <modifiedWord/>
      <trackRevisions>false</trackRevisions>
    </reviewItem>
    <reviewItem>
      <errorID>91d5440c-6507-4acc-beb0-0a64ef24c51b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15A84444</paraID>
      <start>0</start>
      <end>2</end>
      <status>unmodified</status>
      <modifiedWord/>
      <trackRevisions>false</trackRevisions>
    </reviewItem>
    <reviewItem>
      <errorID>a2faaf93-4601-466b-9f0f-2e9fd80ade8c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734F9434</paraID>
      <start>0</start>
      <end>2</end>
      <status>unmodified</status>
      <modifiedWord/>
      <trackRevisions>false</trackRevisions>
    </reviewItem>
    <reviewItem>
      <errorID>03ae52c7-bfcf-48ca-b42c-563f47fc718d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2CBF69A0</paraID>
      <start>0</start>
      <end>2</end>
      <status>unmodified</status>
      <modifiedWord/>
      <trackRevisions>false</trackRevisions>
    </reviewItem>
    <reviewItem>
      <errorID>8f34fae4-2b3f-41cf-a2bd-bb221e9a1ef3</errorID>
      <errorWord>(</errorWord>
      <group>L1_Format</group>
      <groupName>格式问题</groupName>
      <ability>L2_HalfPunc</ability>
      <abilityName>全半角检查</abilityName>
      <candidateList>
        <item>（</item>
      </candidateList>
      <explain>文本全半角错误。</explain>
      <paraID>4643E196</paraID>
      <start>20</start>
      <end>21</end>
      <status>unmodified</status>
      <modifiedWord/>
      <trackRevisions>false</trackRevisions>
    </reviewItem>
    <reviewItem>
      <errorID>943cd435-61f4-4693-861a-3d8ab4a4f391</errorID>
      <errorWord>)</errorWord>
      <group>L1_Format</group>
      <groupName>格式问题</groupName>
      <ability>L2_HalfPunc</ability>
      <abilityName>全半角检查</abilityName>
      <candidateList>
        <item>）</item>
      </candidateList>
      <explain>文本全半角错误。</explain>
      <paraID>4643E196</paraID>
      <start>73</start>
      <end>74</end>
      <status>unmodified</status>
      <modifiedWord/>
      <trackRevisions>false</trackRevisions>
    </reviewItem>
    <reviewItem>
      <errorID>17599212-d3bb-4d92-8494-49128b667e49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353215C1</paraID>
      <start>0</start>
      <end>2</end>
      <status>unmodified</status>
      <modifiedWord/>
      <trackRevisions>false</trackRevisions>
    </reviewItem>
    <reviewItem>
      <errorID>32c150bd-7304-4c54-963e-6f6276c859b2</errorID>
      <errorWord>其余</errorWord>
      <group>L1_Word</group>
      <groupName>字词问题</groupName>
      <ability>L2_Typo</ability>
      <abilityName>字词错误</abilityName>
      <candidateList>
        <item>其</item>
      </candidateList>
      <explain>词缀：极～｜尤～｜如～。</explain>
      <paraID> 557763A</paraID>
      <start>109</start>
      <end>111</end>
      <status>unmodified</status>
      <modifiedWord/>
      <trackRevisions>false</trackRevisions>
    </reviewItem>
    <reviewItem>
      <errorID>6a7af800-b28d-4dbe-a5d0-0a92cba4acfc</errorID>
      <errorWord>其余</errorWord>
      <group>L1_Word</group>
      <groupName>字词问题</groupName>
      <ability>L2_Typo</ability>
      <abilityName>字词错误</abilityName>
      <candidateList>
        <item>其</item>
      </candidateList>
      <explain>词缀：极～｜尤～｜如～。</explain>
      <paraID> 75F4ADE</paraID>
      <start>193</start>
      <end>195</end>
      <status>unmodified</status>
      <modifiedWord/>
      <trackRevisions>false</trackRevisions>
    </reviewItem>
    <reviewItem>
      <errorID>b0d9534b-74fc-4b64-9ef2-05db94735a78</errorID>
      <errorWord>(</errorWord>
      <group>L1_Format</group>
      <groupName>格式问题</groupName>
      <ability>L2_HalfPunc</ability>
      <abilityName>全半角检查</abilityName>
      <candidateList>
        <item>（</item>
      </candidateList>
      <explain>文本全半角错误。</explain>
      <paraID>6DC7D82C</paraID>
      <start>17</start>
      <end>18</end>
      <status>unmodified</status>
      <modifiedWord/>
      <trackRevisions>false</trackRevisions>
    </reviewItem>
    <reviewItem>
      <errorID>61b3082f-4c2e-4d8a-9378-a1db2b79532b</errorID>
      <errorWord>)</errorWord>
      <group>L1_Format</group>
      <groupName>格式问题</groupName>
      <ability>L2_HalfPunc</ability>
      <abilityName>全半角检查</abilityName>
      <candidateList>
        <item>）</item>
      </candidateList>
      <explain>文本全半角错误。</explain>
      <paraID>6DC7D82C</paraID>
      <start>21</start>
      <end>22</end>
      <status>unmodified</status>
      <modifiedWord/>
      <trackRevisions>false</trackRevisions>
    </reviewItem>
    <reviewItem>
      <errorID>cd99a171-f531-4ba2-9c97-cb874a5a226f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26BD12A9</paraID>
      <start>0</start>
      <end>2</end>
      <status>unmodified</status>
      <modifiedWord/>
      <trackRevisions>false</trackRevisions>
    </reviewItem>
    <reviewItem>
      <errorID>d949915b-226a-4f41-b86b-e8deede22e25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50EA633A</paraID>
      <start>0</start>
      <end>2</end>
      <status>unmodified</status>
      <modifiedWord/>
      <trackRevisions>false</trackRevisions>
    </reviewItem>
    <reviewItem>
      <errorID>a7ea0cf9-a555-490b-823c-6e640ad2a22d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4AED9910</paraID>
      <start>0</start>
      <end>2</end>
      <status>unmodified</status>
      <modifiedWord/>
      <trackRevisions>false</trackRevisions>
    </reviewItem>
    <reviewItem>
      <errorID>2edb8e87-59d9-4344-93cf-b01283fcd7e1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1815D15C</paraID>
      <start>0</start>
      <end>2</end>
      <status>unmodified</status>
      <modifiedWord/>
      <trackRevisions>false</trackRevisions>
    </reviewItem>
    <reviewItem>
      <errorID>6d9c4faa-66d4-4a56-9d44-419b9c625d22</errorID>
      <errorWord>其它</errorWord>
      <group>L1_Word</group>
      <groupName>字词问题</groupName>
      <ability>L2_Alias</ability>
      <abilityName>也作/曾用词</abilityName>
      <candidateList>
        <item>其他</item>
      </candidateList>
      <explain>词汇[其它]为不规范表述或旧称，其规范书面表述为[其他]。</explain>
      <paraID>7F7117CC</paraID>
      <start>58</start>
      <end>60</end>
      <status>unmodified</status>
      <modifiedWord/>
      <trackRevisions>false</trackRevisions>
    </reviewItem>
    <reviewItem>
      <errorID>63dec2d6-f1eb-4781-99fb-fd93e2902a86</errorID>
      <errorWord>基金基金</errorWord>
      <group>L1_Word</group>
      <groupName>字词问题</groupName>
      <ability>L2_Typo</ability>
      <abilityName>字词错误</abilityName>
      <candidateList>
        <item>基金</item>
      </candidateList>
      <explain/>
      <paraID>7F7117CC</paraID>
      <start>94</start>
      <end>98</end>
      <status>unmodified</status>
      <modifiedWord/>
      <trackRevisions>false</trackRevisions>
    </reviewItem>
    <reviewItem>
      <errorID>9ebff5e8-b8dd-4fd0-b811-58c4eeefb910</errorID>
      <errorWord>[1998]20号</errorWord>
      <group>L1_Knowledge</group>
      <groupName>知识性问题</groupName>
      <ability>L2_Knowledge</ability>
      <abilityName>其他知识</abilityName>
      <candidateList>
        <item>〔1998〕20号</item>
      </candidateList>
      <explain>发文字号格式错误。</explain>
      <paraID> A2753B0</paraID>
      <start>23</start>
      <end>32</end>
      <status>unmodified</status>
      <modifiedWord/>
      <trackRevisions>false</trackRevisions>
    </reviewItem>
    <reviewItem>
      <errorID>4cc3c611-a351-404e-8d05-6d43d7b6e5b6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32343DAE</paraID>
      <start>0</start>
      <end>2</end>
      <status>unmodified</status>
      <modifiedWord/>
      <trackRevisions>false</trackRevisions>
    </reviewItem>
    <reviewItem>
      <errorID>621738d4-0413-43fe-b891-93ae66362451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32343DAE</paraID>
      <start>8</start>
      <end>11</end>
      <status>unmodified</status>
      <modifiedWord/>
      <trackRevisions>false</trackRevisions>
    </reviewItem>
    <reviewItem>
      <errorID>de21451e-3f81-4c78-bca9-2a631af8e3ac</errorID>
      <errorWord>法律、法规</errorWord>
      <group>L1_Word</group>
      <groupName>字词问题</groupName>
      <ability>L2_Typo</ability>
      <abilityName>字词错误</abilityName>
      <candidateList>
        <item>法律法规</item>
      </candidateList>
      <explain/>
      <paraID>5E40BBCA</paraID>
      <start>9</start>
      <end>14</end>
      <status>unmodified</status>
      <modifiedWord/>
      <trackRevisions>false</trackRevisions>
    </reviewItem>
    <reviewItem>
      <errorID>15df4a7d-ae5d-4cee-af2e-e3636dbf88f4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2F9A799F</paraID>
      <start>0</start>
      <end>2</end>
      <status>unmodified</status>
      <modifiedWord/>
      <trackRevisions>false</trackRevisions>
    </reviewItem>
    <reviewItem>
      <errorID>529ba35f-f6a9-4129-8719-8e6ca7ba18c9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2F9A799F</paraID>
      <start>8</start>
      <end>11</end>
      <status>unmodified</status>
      <modifiedWord/>
      <trackRevisions>false</trackRevisions>
    </reviewItem>
    <reviewItem>
      <errorID>a839ea12-d843-4366-b095-6723721e609a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2D78A134</paraID>
      <start>10</start>
      <end>13</end>
      <status>unmodified</status>
      <modifiedWord/>
      <trackRevisions>false</trackRevisions>
    </reviewItem>
    <reviewItem>
      <errorID>7eb3913a-87d7-4852-9e40-a3a8b0ee46b7</errorID>
      <errorWord>，</errorWord>
      <group>L1_Word</group>
      <groupName>字词问题</groupName>
      <ability>L2_Typo</ability>
      <abilityName>字词错误</abilityName>
      <candidateList>
        <item>，并</item>
      </candidateList>
      <explain/>
      <paraID>6001BDBB</paraID>
      <start>51</start>
      <end>52</end>
      <status>unmodified</status>
      <modifiedWord/>
      <trackRevisions>false</trackRevisions>
    </reviewItem>
    <reviewItem>
      <errorID>781d6748-b0a8-4acb-920f-2c3182b58de7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68738E06</paraID>
      <start>12</start>
      <end>15</end>
      <status>unmodified</status>
      <modifiedWord/>
      <trackRevisions>false</trackRevisions>
    </reviewItem>
    <reviewItem>
      <errorID>8b3dc4b1-220d-433a-8ecd-8c2d233ac297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341C66E1</paraID>
      <start>34</start>
      <end>37</end>
      <status>unmodified</status>
      <modifiedWord/>
      <trackRevisions>false</trackRevisions>
    </reviewItem>
    <reviewItem>
      <errorID>30cabaa6-15c5-4f42-8741-6bfe1bf0147b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6204F53</paraID>
      <start>10</start>
      <end>13</end>
      <status>unmodified</status>
      <modifiedWord/>
      <trackRevisions>false</trackRevisions>
    </reviewItem>
    <reviewItem>
      <errorID>3d1fb646-ae23-4f15-82b7-42853f709021</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27051007</paraID>
      <start>14</start>
      <end>26</end>
      <status>unmodified</status>
      <modifiedWord/>
      <trackRevisions>false</trackRevisions>
    </reviewItem>
    <reviewItem>
      <errorID>ced993ab-5126-488d-9db0-43eb540000c3</errorID>
      <errorWord>[2004]143号</errorWord>
      <group>L1_Knowledge</group>
      <groupName>知识性问题</groupName>
      <ability>L2_Knowledge</ability>
      <abilityName>其他知识</abilityName>
      <candidateList>
        <item>〔2004〕143号</item>
      </candidateList>
      <explain>发文字号格式错误。</explain>
      <paraID>27051007</paraID>
      <start>29</start>
      <end>39</end>
      <status>unmodified</status>
      <modifiedWord/>
      <trackRevisions>false</trackRevisions>
    </reviewItem>
    <reviewItem>
      <errorID>3ceed52d-b703-409f-9829-ff0aa09ba394</errorID>
      <errorWord>万人民币</errorWord>
      <group>L1_Word</group>
      <groupName>字词问题</groupName>
      <ability>L2_Typo</ability>
      <abilityName>字词错误</abilityName>
      <candidateList>
        <item>万元人民币</item>
      </candidateList>
      <explain/>
      <paraID>4AD4304A</paraID>
      <start>20</start>
      <end>24</end>
      <status>unmodified</status>
      <modifiedWord/>
      <trackRevisions>false</trackRevisions>
    </reviewItem>
    <reviewItem>
      <errorID>3ea9fde8-6797-4857-8fe0-a8737613a957</errorID>
      <errorWord>[1998]12号</errorWord>
      <group>L1_Knowledge</group>
      <groupName>知识性问题</groupName>
      <ability>L2_Knowledge</ability>
      <abilityName>其他知识</abilityName>
      <candidateList>
        <item>〔1998〕12号</item>
      </candidateList>
      <explain>发文字号格式错误。</explain>
      <paraID>62EFC9DB</paraID>
      <start>20</start>
      <end>29</end>
      <status>unmodified</status>
      <modifiedWord/>
      <trackRevisions>false</trackRevisions>
    </reviewItem>
    <reviewItem>
      <errorID>19c118ce-7d8e-4ecb-846b-253cab03713b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6FE9FD46</paraID>
      <start>0</start>
      <end>2</end>
      <status>unmodified</status>
      <modifiedWord/>
      <trackRevisions>false</trackRevisions>
    </reviewItem>
    <reviewItem>
      <errorID>20c0d6c9-b21d-4b0b-a42d-b56f4ec1bc94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6FE9FD46</paraID>
      <start>8</start>
      <end>11</end>
      <status>unmodified</status>
      <modifiedWord/>
      <trackRevisions>false</trackRevisions>
    </reviewItem>
    <reviewItem>
      <errorID>4fc59810-2d8b-47a1-83a6-e10cbea4f600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1BA40C64</paraID>
      <start>0</start>
      <end>2</end>
      <status>unmodified</status>
      <modifiedWord/>
      <trackRevisions>false</trackRevisions>
    </reviewItem>
    <reviewItem>
      <errorID>b51ec6fe-0625-4e0e-8626-c66b03ca22d4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1BA40C64</paraID>
      <start>8</start>
      <end>11</end>
      <status>unmodified</status>
      <modifiedWord/>
      <trackRevisions>false</trackRevisions>
    </reviewItem>
    <reviewItem>
      <errorID>ff384bd0-178a-40fa-a91f-c314bc5a8b12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1036ECA3</paraID>
      <start>10</start>
      <end>13</end>
      <status>unmodified</status>
      <modifiedWord/>
      <trackRevisions>false</trackRevisions>
    </reviewItem>
    <reviewItem>
      <errorID>5644c7da-37d8-4cb1-9494-bc46c83d4c1b</errorID>
      <errorWord>,</errorWord>
      <group>L1_Format</group>
      <groupName>格式问题</groupName>
      <ability>L2_HalfPunc</ability>
      <abilityName>全半角检查</abilityName>
      <candidateList>
        <item>，</item>
      </candidateList>
      <explain>文本全半角错误。</explain>
      <paraID>55D642F0</paraID>
      <start>34</start>
      <end>35</end>
      <status>unmodified</status>
      <modifiedWord/>
      <trackRevisions>false</trackRevisions>
    </reviewItem>
    <reviewItem>
      <errorID>bf249a8d-5ccd-4768-94df-8146d76dd2b9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17D2CFF9</paraID>
      <start>17</start>
      <end>20</end>
      <status>unmodified</status>
      <modifiedWord/>
      <trackRevisions>false</trackRevisions>
    </reviewItem>
    <reviewItem>
      <errorID>65bf1d7d-a0da-489b-ae4f-3bbbb3ada000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301C057E</paraID>
      <start>10</start>
      <end>13</end>
      <status>unmodified</status>
      <modifiedWord/>
      <trackRevisions>false</trackRevisions>
    </reviewItem>
    <reviewItem>
      <errorID>0983746f-750a-4593-a04e-946b8bf9ceb1</errorID>
      <errorWord>基金基金</errorWord>
      <group>L1_Word</group>
      <groupName>字词问题</groupName>
      <ability>L2_Typo</ability>
      <abilityName>字词错误</abilityName>
      <candidateList>
        <item>基金</item>
      </candidateList>
      <explain/>
      <paraID>45DD7234</paraID>
      <start>8</start>
      <end>12</end>
      <status>unmodified</status>
      <modifiedWord/>
      <trackRevisions>false</trackRevisions>
    </reviewItem>
    <reviewItem>
      <errorID>61331e3e-6657-46c0-9f8b-a7182ac43d5c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685969FB</paraID>
      <start>0</start>
      <end>2</end>
      <status>unmodified</status>
      <modifiedWord/>
      <trackRevisions>false</trackRevisions>
    </reviewItem>
    <reviewItem>
      <errorID>1f219378-345c-4ec5-bcf4-399286fbaac4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685969FB</paraID>
      <start>8</start>
      <end>11</end>
      <status>unmodified</status>
      <modifiedWord/>
      <trackRevisions>false</trackRevisions>
    </reviewItem>
    <reviewItem>
      <errorID>e2cbeab0-5f90-4fce-b46e-e922f3b1302b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7F2DC17F</paraID>
      <start>0</start>
      <end>2</end>
      <status>unmodified</status>
      <modifiedWord/>
      <trackRevisions>false</trackRevisions>
    </reviewItem>
    <reviewItem>
      <errorID>5285639b-b7e3-4584-ae05-2f608409f39e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7F2DC17F</paraID>
      <start>8</start>
      <end>11</end>
      <status>unmodified</status>
      <modifiedWord/>
      <trackRevisions>false</trackRevisions>
    </reviewItem>
    <reviewItem>
      <errorID>5e28287e-bcb9-4c45-9fbb-cd81b343a9ec</errorID>
      <errorWord>基金基金</errorWord>
      <group>L1_Word</group>
      <groupName>字词问题</groupName>
      <ability>L2_Typo</ability>
      <abilityName>字词错误</abilityName>
      <candidateList>
        <item>基金</item>
      </candidateList>
      <explain/>
      <paraID>3478AE25</paraID>
      <start>1</start>
      <end>5</end>
      <status>unmodified</status>
      <modifiedWord/>
      <trackRevisions>false</trackRevisions>
    </reviewItem>
    <reviewItem>
      <errorID>34140564-1075-4e9b-97a2-6ea5831ba6e3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49C701A5</paraID>
      <start>0</start>
      <end>2</end>
      <status>unmodified</status>
      <modifiedWord/>
      <trackRevisions>false</trackRevisions>
    </reviewItem>
    <reviewItem>
      <errorID>9069d5d9-eb17-42a7-95dd-fc95b7d27ce2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24F5640C</paraID>
      <start>0</start>
      <end>2</end>
      <status>unmodified</status>
      <modifiedWord/>
      <trackRevisions>false</trackRevisions>
    </reviewItem>
    <reviewItem>
      <errorID>e8d62cca-19a9-49dd-9e19-447b964034b1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76E50CB6</paraID>
      <start>0</start>
      <end>2</end>
      <status>unmodified</status>
      <modifiedWord/>
      <trackRevisions>false</trackRevisions>
    </reviewItem>
    <reviewItem>
      <errorID>aaddd69b-3942-4698-8769-29a3d1c0c5fc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4C2588B2</paraID>
      <start>0</start>
      <end>2</end>
      <status>unmodified</status>
      <modifiedWord/>
      <trackRevisions>false</trackRevisions>
    </reviewItem>
    <reviewItem>
      <errorID>80d24e46-3e9f-4930-953f-ba9571971062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56F9E1C4</paraID>
      <start>0</start>
      <end>2</end>
      <status>unmodified</status>
      <modifiedWord/>
      <trackRevisions>false</trackRevisions>
    </reviewItem>
    <reviewItem>
      <errorID>405a3b3a-685f-448e-8d5f-81a2ba51f681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4B56F285</paraID>
      <start>0</start>
      <end>2</end>
      <status>unmodified</status>
      <modifiedWord/>
      <trackRevisions>false</trackRevisions>
    </reviewItem>
    <reviewItem>
      <errorID>9ad89fbf-d9ce-4a5a-baaf-4e0af0d412e4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61A2BBBF</paraID>
      <start>0</start>
      <end>2</end>
      <status>unmodified</status>
      <modifiedWord/>
      <trackRevisions>false</trackRevisions>
    </reviewItem>
    <reviewItem>
      <errorID>4503ae29-9283-4578-96fe-62664791451a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3B0969A6</paraID>
      <start>0</start>
      <end>2</end>
      <status>unmodified</status>
      <modifiedWord/>
      <trackRevisions>false</trackRevisions>
    </reviewItem>
    <reviewItem>
      <errorID>268b4f24-cf7a-438a-bc3a-db170083148a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36AA1056</paraID>
      <start>0</start>
      <end>2</end>
      <status>unmodified</status>
      <modifiedWord/>
      <trackRevisions>false</trackRevisions>
    </reviewItem>
    <reviewItem>
      <errorID>658dfe3b-08f6-455b-9c27-eec7b15894d4</errorID>
      <errorWord>、</errorWord>
      <group>L1_Word</group>
      <groupName>字词问题</groupName>
      <ability>L2_Typo</ability>
      <abilityName>字词错误</abilityName>
      <candidateList>
        <item>、在</item>
      </candidateList>
      <explain/>
      <paraID>42ADB3BE</paraID>
      <start>1</start>
      <end>2</end>
      <status>unmodified</status>
      <modifiedWord/>
      <trackRevisions>false</trackRevisions>
    </reviewItem>
    <reviewItem>
      <errorID>5146b002-c581-4358-b0af-0a947e3e7535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1CD55AC4</paraID>
      <start>0</start>
      <end>2</end>
      <status>unmodified</status>
      <modifiedWord/>
      <trackRevisions>false</trackRevisions>
    </reviewItem>
    <reviewItem>
      <errorID>b5f93fc3-9924-43d0-8e56-f0db8aa4d0aa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2947675A</paraID>
      <start>0</start>
      <end>2</end>
      <status>unmodified</status>
      <modifiedWord/>
      <trackRevisions>false</trackRevisions>
    </reviewItem>
    <reviewItem>
      <errorID>a460d34f-bc01-4898-8862-75193c90e41a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667660AE</paraID>
      <start>0</start>
      <end>2</end>
      <status>unmodified</status>
      <modifiedWord/>
      <trackRevisions>false</trackRevisions>
    </reviewItem>
    <reviewItem>
      <errorID>058fc6d1-9b74-4a7f-a626-d1606e4f57de</errorID>
      <errorWord>以前</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667660AE</paraID>
      <start>53</start>
      <end>55</end>
      <status>unmodified</status>
      <modifiedWord/>
      <trackRevisions>false</trackRevisions>
    </reviewItem>
    <reviewItem>
      <errorID>c97bd61d-263f-4c60-9853-eb934337dbb9</errorID>
      <errorWord>送达至</errorWord>
      <group>L1_Word</group>
      <groupName>字词问题</groupName>
      <ability>L2_Typo</ability>
      <abilityName>字词错误</abilityName>
      <candidateList>
        <item>送达</item>
      </candidateList>
      <explain/>
      <paraID>667660AE</paraID>
      <start>55</start>
      <end>58</end>
      <status>unmodified</status>
      <modifiedWord/>
      <trackRevisions>false</trackRevisions>
    </reviewItem>
    <reviewItem>
      <errorID>56ff4954-960c-4b74-a2b7-5f1502d53318</errorID>
      <errorWord>公布</errorWord>
      <group>L1_Word</group>
      <groupName>字词问题</groupName>
      <ability>L2_Typo</ability>
      <abilityName>字词错误</abilityName>
      <candidateList>
        <item>发布</item>
      </candidateList>
      <explain>“公布～公告”搭配不当，建议修改为“发布～公告”。</explain>
      <paraID>393A85FD</paraID>
      <start>34</start>
      <end>36</end>
      <status>unmodified</status>
      <modifiedWord/>
      <trackRevisions>false</trackRevisions>
    </reviewItem>
    <reviewItem>
      <errorID>d695034c-5d0e-4431-a8c9-76a1dac5fa4c</errorID>
      <errorWord>小于在</errorWord>
      <group>L1_Word</group>
      <groupName>字词问题</groupName>
      <ability>L2_Typo</ability>
      <abilityName>字词错误</abilityName>
      <candidateList>
        <item>小于</item>
      </candidateList>
      <explain/>
      <paraID>6112198E</paraID>
      <start>44</start>
      <end>47</end>
      <status>unmodified</status>
      <modifiedWord/>
      <trackRevisions>false</trackRevisions>
    </reviewItem>
    <reviewItem>
      <errorID>cba089db-e4bb-4d61-8e6d-ee5ad59cfe20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422DA41B</paraID>
      <start>0</start>
      <end>2</end>
      <status>unmodified</status>
      <modifiedWord/>
      <trackRevisions>false</trackRevisions>
    </reviewItem>
    <reviewItem>
      <errorID>b1ca7918-5190-4816-904b-f2d81eb40e79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6BFD7A78</paraID>
      <start>0</start>
      <end>2</end>
      <status>unmodified</status>
      <modifiedWord/>
      <trackRevisions>false</trackRevisions>
    </reviewItem>
    <reviewItem>
      <errorID>80aba62b-36ba-4b8d-a6d6-00d7e155310e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892B16</paraID>
      <start>0</start>
      <end>2</end>
      <status>unmodified</status>
      <modifiedWord/>
      <trackRevisions>false</trackRevisions>
    </reviewItem>
    <reviewItem>
      <errorID>5d129592-7bc9-409b-9f10-0966c6759f54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7B336EDF</paraID>
      <start>0</start>
      <end>2</end>
      <status>unmodified</status>
      <modifiedWord/>
      <trackRevisions>false</trackRevisions>
    </reviewItem>
    <reviewItem>
      <errorID>02074ce1-36fe-44d3-a3e8-c8cd1c7f3153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86227E0</paraID>
      <start>0</start>
      <end>2</end>
      <status>unmodified</status>
      <modifiedWord/>
      <trackRevisions>false</trackRevisions>
    </reviewItem>
    <reviewItem>
      <errorID>5bc90f78-09c6-426c-bce5-dc9f6dab0e2a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38A06A02</paraID>
      <start>0</start>
      <end>2</end>
      <status>unmodified</status>
      <modifiedWord/>
      <trackRevisions>false</trackRevisions>
    </reviewItem>
    <reviewItem>
      <errorID>fbc1a637-32bc-4dfa-88b9-1f9f5c74f40d</errorID>
      <errorWord>表面</errorWord>
      <group>L1_Word</group>
      <groupName>字词问题</groupName>
      <ability>L2_Typo</ability>
      <abilityName>字词错误</abilityName>
      <candidateList>
        <item>表明</item>
      </candidateList>
      <explain/>
      <paraID>5A920D91</paraID>
      <start>66</start>
      <end>68</end>
      <status>unmodified</status>
      <modifiedWord/>
      <trackRevisions>false</trackRevisions>
    </reviewItem>
    <reviewItem>
      <errorID>af2538d2-b8e2-441d-8552-3fc49df69ec0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5B51A103</paraID>
      <start>0</start>
      <end>2</end>
      <status>unmodified</status>
      <modifiedWord/>
      <trackRevisions>false</trackRevisions>
    </reviewItem>
    <reviewItem>
      <errorID>37b43b18-df7f-4cb7-bdaa-fb7a410f0e5f</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659AD8B0</paraID>
      <start>132</start>
      <end>134</end>
      <status>unmodified</status>
      <modifiedWord/>
      <trackRevisions>false</trackRevisions>
    </reviewItem>
    <reviewItem>
      <errorID>81dd75ad-1454-4924-8e5d-c89b5657e9fb</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E334B34</paraID>
      <start>22</start>
      <end>24</end>
      <status>unmodified</status>
      <modifiedWord/>
      <trackRevisions>false</trackRevisions>
    </reviewItem>
    <reviewItem>
      <errorID>e5775c72-6735-458d-aaf5-8e92e702af93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7977B331</paraID>
      <start>0</start>
      <end>2</end>
      <status>unmodified</status>
      <modifiedWord/>
      <trackRevisions>false</trackRevisions>
    </reviewItem>
    <reviewItem>
      <errorID>f3f28b2b-cf1f-42c0-934d-a597505ff7c9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3BCFF04E</paraID>
      <start>0</start>
      <end>2</end>
      <status>unmodified</status>
      <modifiedWord/>
      <trackRevisions>false</trackRevisions>
    </reviewItem>
    <reviewItem>
      <errorID>6fc90b42-fcfe-4296-ba13-b315fee0e6e5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3342B049</paraID>
      <start>0</start>
      <end>2</end>
      <status>unmodified</status>
      <modifiedWord/>
      <trackRevisions>false</trackRevisions>
    </reviewItem>
    <reviewItem>
      <errorID>68cc09dd-0cfa-4987-b2bc-c15a520fd547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2071B318</paraID>
      <start>0</start>
      <end>2</end>
      <status>unmodified</status>
      <modifiedWord/>
      <trackRevisions>false</trackRevisions>
    </reviewItem>
    <reviewItem>
      <errorID>c295761c-a93e-4424-8515-965e2cbd27e8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44F059A3</paraID>
      <start>0</start>
      <end>2</end>
      <status>unmodified</status>
      <modifiedWord/>
      <trackRevisions>false</trackRevisions>
    </reviewItem>
    <reviewItem>
      <errorID>123cf8bd-8b10-49c1-9aa3-41954d557cbd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53ABABB7</paraID>
      <start>0</start>
      <end>2</end>
      <status>unmodified</status>
      <modifiedWord/>
      <trackRevisions>false</trackRevisions>
    </reviewItem>
    <reviewItem>
      <errorID>885dd54b-5edb-4d85-83dc-7056ebc50746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7BE75BBA</paraID>
      <start>0</start>
      <end>2</end>
      <status>unmodified</status>
      <modifiedWord/>
      <trackRevisions>false</trackRevisions>
    </reviewItem>
    <reviewItem>
      <errorID>c0ea7718-e048-4b25-9434-e680dd523a07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75B6DD03</paraID>
      <start>0</start>
      <end>2</end>
      <status>unmodified</status>
      <modifiedWord/>
      <trackRevisions>false</trackRevisions>
    </reviewItem>
    <reviewItem>
      <errorID>f7255445-fad6-4d5c-84db-90108d779d06</errorID>
      <errorWord>基金基金</errorWord>
      <group>L1_Word</group>
      <groupName>字词问题</groupName>
      <ability>L2_Typo</ability>
      <abilityName>字词错误</abilityName>
      <candidateList>
        <item>基金</item>
      </candidateList>
      <explain/>
      <paraID>3D4DEC10</paraID>
      <start>77</start>
      <end>81</end>
      <status>unmodified</status>
      <modifiedWord/>
      <trackRevisions>false</trackRevisions>
    </reviewItem>
    <reviewItem>
      <errorID>7c91515b-891b-4e87-82d1-0200e327fbcb</errorID>
      <errorWord>基金基金</errorWord>
      <group>L1_Word</group>
      <groupName>字词问题</groupName>
      <ability>L2_Typo</ability>
      <abilityName>字词错误</abilityName>
      <candidateList>
        <item>基金</item>
      </candidateList>
      <explain/>
      <paraID>3D4DEC10</paraID>
      <start>172</start>
      <end>176</end>
      <status>unmodified</status>
      <modifiedWord/>
      <trackRevisions>false</trackRevisions>
    </reviewItem>
    <reviewItem>
      <errorID>686d7372-f6f3-43df-9836-c0090bd62039</errorID>
      <errorWord>，</errorWord>
      <group>L1_Word</group>
      <groupName>字词问题</groupName>
      <ability>L2_Typo</ability>
      <abilityName>字词错误</abilityName>
      <candidateList>
        <item>，在</item>
      </candidateList>
      <explain/>
      <paraID>71660910</paraID>
      <start>86</start>
      <end>87</end>
      <status>unmodified</status>
      <modifiedWord/>
      <trackRevisions>false</trackRevisions>
    </reviewItem>
    <reviewItem>
      <errorID>2be14c8b-5d03-4982-9ea5-af44a2b4f1fb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527433AE</paraID>
      <start>0</start>
      <end>2</end>
      <status>unmodified</status>
      <modifiedWord/>
      <trackRevisions>false</trackRevisions>
    </reviewItem>
    <reviewItem>
      <errorID>74f1b9cc-25b0-47ab-8c1b-98f38693e756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4EEF8B21</paraID>
      <start>0</start>
      <end>2</end>
      <status>unmodified</status>
      <modifiedWord/>
      <trackRevisions>false</trackRevisions>
    </reviewItem>
    <reviewItem>
      <errorID>c13836a4-13e2-48c3-bff2-500d435a04ca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56B94090</paraID>
      <start>0</start>
      <end>2</end>
      <status>unmodified</status>
      <modifiedWord/>
      <trackRevisions>false</trackRevisions>
    </reviewItem>
    <reviewItem>
      <errorID>f2913dd2-b9c8-483d-b817-ad2c044bf49a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1BEEAA68</paraID>
      <start>0</start>
      <end>2</end>
      <status>unmodified</status>
      <modifiedWord/>
      <trackRevisions>false</trackRevisions>
    </reviewItem>
    <reviewItem>
      <errorID>29c1565b-cf12-4ad5-9787-3fd70479ee7d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1322703A</paraID>
      <start>0</start>
      <end>2</end>
      <status>unmodified</status>
      <modifiedWord/>
      <trackRevisions>false</trackRevisions>
    </reviewItem>
    <reviewItem>
      <errorID>e6a3c50a-db61-4835-9ff6-a5405c119a77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2B381D17</paraID>
      <start>0</start>
      <end>2</end>
      <status>unmodified</status>
      <modifiedWord/>
      <trackRevisions>false</trackRevisions>
    </reviewItem>
    <reviewItem>
      <errorID>9d52cdf6-7965-4f5a-b623-908f8f9c3759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22C0C1CA</paraID>
      <start>0</start>
      <end>2</end>
      <status>unmodified</status>
      <modifiedWord/>
      <trackRevisions>false</trackRevisions>
    </reviewItem>
    <reviewItem>
      <errorID>177937b2-e500-4b54-9d02-4e6f38a6bb18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57D73255</paraID>
      <start>0</start>
      <end>2</end>
      <status>unmodified</status>
      <modifiedWord/>
      <trackRevisions>false</trackRevisions>
    </reviewItem>
    <reviewItem>
      <errorID>afc3c76d-e503-4b45-98a8-1c15b6849650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500F9606</paraID>
      <start>0</start>
      <end>2</end>
      <status>unmodified</status>
      <modifiedWord/>
      <trackRevisions>false</trackRevisions>
    </reviewItem>
    <reviewItem>
      <errorID>3a5539c7-acba-46aa-ba10-9a10c796b73b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FB3B67</paraID>
      <start>0</start>
      <end>2</end>
      <status>unmodified</status>
      <modifiedWord/>
      <trackRevisions>false</trackRevisions>
    </reviewItem>
    <reviewItem>
      <errorID>09e41dfc-cdde-4f1f-ad6a-44ebf0da1d82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41227C04</paraID>
      <start>0</start>
      <end>2</end>
      <status>unmodified</status>
      <modifiedWord/>
      <trackRevisions>false</trackRevisions>
    </reviewItem>
    <reviewItem>
      <errorID>b4e36924-7d31-4b42-be58-767c4526f155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62FC75A0</paraID>
      <start>0</start>
      <end>2</end>
      <status>unmodified</status>
      <modifiedWord/>
      <trackRevisions>false</trackRevisions>
    </reviewItem>
    <reviewItem>
      <errorID>89caa547-72af-4388-861f-5d5fe0ee0af6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A396E12</paraID>
      <start>0</start>
      <end>2</end>
      <status>unmodified</status>
      <modifiedWord/>
      <trackRevisions>false</trackRevisions>
    </reviewItem>
    <reviewItem>
      <errorID>fac03c51-6ad7-48ae-8ea9-9e3243e904a4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58404E14</paraID>
      <start>0</start>
      <end>2</end>
      <status>unmodified</status>
      <modifiedWord/>
      <trackRevisions>false</trackRevisions>
    </reviewItem>
    <reviewItem>
      <errorID>d2b94340-97e9-4c0b-818e-2780b562d23d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36002F2E</paraID>
      <start>0</start>
      <end>2</end>
      <status>unmodified</status>
      <modifiedWord/>
      <trackRevisions>false</trackRevisions>
    </reviewItem>
    <reviewItem>
      <errorID>a10dd706-f454-48c2-a57e-ea090b5578f7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401ED05A</paraID>
      <start>0</start>
      <end>2</end>
      <status>unmodified</status>
      <modifiedWord/>
      <trackRevisions>false</trackRevisions>
    </reviewItem>
    <reviewItem>
      <errorID>1cc3f37e-ba7c-43d0-b1b7-ef602728b36a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23888F55</paraID>
      <start>0</start>
      <end>2</end>
      <status>unmodified</status>
      <modifiedWord/>
      <trackRevisions>false</trackRevisions>
    </reviewItem>
    <reviewItem>
      <errorID>b28ed56e-c678-43b4-be0b-efae6fea8142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48EF782F</paraID>
      <start>0</start>
      <end>2</end>
      <status>unmodified</status>
      <modifiedWord/>
      <trackRevisions>false</trackRevisions>
    </reviewItem>
    <reviewItem>
      <errorID>6c33a398-1e03-4df8-b840-c3fcd04f8ed4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25E287C8</paraID>
      <start>0</start>
      <end>2</end>
      <status>unmodified</status>
      <modifiedWord/>
      <trackRevisions>false</trackRevisions>
    </reviewItem>
    <reviewItem>
      <errorID>364dedfb-615b-45a5-911e-70e3987097c9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7E7FBBED</paraID>
      <start>0</start>
      <end>2</end>
      <status>unmodified</status>
      <modifiedWord/>
      <trackRevisions>false</trackRevisions>
    </reviewItem>
    <reviewItem>
      <errorID>27eb37ec-5f61-4cf7-bff3-f725edfa2a11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5595CC0</paraID>
      <start>0</start>
      <end>2</end>
      <status>unmodified</status>
      <modifiedWord/>
      <trackRevisions>false</trackRevisions>
    </reviewItem>
    <reviewItem>
      <errorID>6099557a-1912-4c5b-b59e-cf9cd66de848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5047E9B9</paraID>
      <start>0</start>
      <end>2</end>
      <status>unmodified</status>
      <modifiedWord/>
      <trackRevisions>false</trackRevisions>
    </reviewItem>
    <reviewItem>
      <errorID>429fe461-0179-4f50-baae-0c3b6e17c218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71DE2BFB</paraID>
      <start>0</start>
      <end>2</end>
      <status>unmodified</status>
      <modifiedWord/>
      <trackRevisions>false</trackRevisions>
    </reviewItem>
    <reviewItem>
      <errorID>6a055cc3-a267-4348-a7d5-04be1e3fae22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7F5AD1F8</paraID>
      <start>0</start>
      <end>2</end>
      <status>unmodified</status>
      <modifiedWord/>
      <trackRevisions>false</trackRevisions>
    </reviewItem>
    <reviewItem>
      <errorID>1602e8d9-996a-4ff5-8913-22debe789c15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5A362322</paraID>
      <start>0</start>
      <end>2</end>
      <status>unmodified</status>
      <modifiedWord/>
      <trackRevisions>false</trackRevisions>
    </reviewItem>
    <reviewItem>
      <errorID>30055fa6-c6d8-46de-a4f4-556972d7d033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69EEBBEC</paraID>
      <start>0</start>
      <end>2</end>
      <status>unmodified</status>
      <modifiedWord/>
      <trackRevisions>false</trackRevisions>
    </reviewItem>
    <reviewItem>
      <errorID>a755e7ec-a5dc-4786-a18d-e59e3241ff87</errorID>
      <errorWord>，</errorWord>
      <group>L1_Word</group>
      <groupName>字词问题</groupName>
      <ability>L2_Typo</ability>
      <abilityName>字词错误</abilityName>
      <candidateList>
        <item>，在</item>
      </candidateList>
      <explain/>
      <paraID>1672FA04</paraID>
      <start>75</start>
      <end>76</end>
      <status>unmodified</status>
      <modifiedWord/>
      <trackRevisions>false</trackRevisions>
    </reviewItem>
    <reviewItem>
      <errorID>747ef3fe-c165-4c32-bfd9-507d8998e4c1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125204A6</paraID>
      <start>17</start>
      <end>20</end>
      <status>unmodified</status>
      <modifiedWord/>
      <trackRevisions>false</trackRevisions>
    </reviewItem>
    <reviewItem>
      <errorID>412e8bd3-0c99-44dd-8023-0d7a1210e8df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1A97423E</paraID>
      <start>0</start>
      <end>2</end>
      <status>unmodified</status>
      <modifiedWord/>
      <trackRevisions>false</trackRevisions>
    </reviewItem>
    <reviewItem>
      <errorID>1bead281-e799-4735-ac88-e8bc24477672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37D50A6F</paraID>
      <start>0</start>
      <end>2</end>
      <status>unmodified</status>
      <modifiedWord/>
      <trackRevisions>false</trackRevisions>
    </reviewItem>
    <reviewItem>
      <errorID>72d0791c-f239-4345-b1db-84479f2e2940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2FE09DD</paraID>
      <start>0</start>
      <end>2</end>
      <status>unmodified</status>
      <modifiedWord/>
      <trackRevisions>false</trackRevisions>
    </reviewItem>
    <reviewItem>
      <errorID>649c6668-9670-4b82-bee8-247b01d9cea1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66CD05FA</paraID>
      <start>0</start>
      <end>2</end>
      <status>unmodified</status>
      <modifiedWord/>
      <trackRevisions>false</trackRevisions>
    </reviewItem>
    <reviewItem>
      <errorID>f2da9311-6bda-4274-92f1-ad561b58673f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626B257B</paraID>
      <start>0</start>
      <end>2</end>
      <status>unmodified</status>
      <modifiedWord/>
      <trackRevisions>false</trackRevisions>
    </reviewItem>
    <reviewItem>
      <errorID>f0a80feb-2a15-46d2-b996-4a9580f35a82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580E2AE</paraID>
      <start>0</start>
      <end>2</end>
      <status>unmodified</status>
      <modifiedWord/>
      <trackRevisions>false</trackRevisions>
    </reviewItem>
    <reviewItem>
      <errorID>27cc96d1-84d3-4a22-957a-b25ca5eaeee1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3C84DEBD</paraID>
      <start>0</start>
      <end>2</end>
      <status>unmodified</status>
      <modifiedWord/>
      <trackRevisions>false</trackRevisions>
    </reviewItem>
    <reviewItem>
      <errorID>71fbf8f9-f514-417d-9fd8-8c40fc3b47ac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5061D4F9</paraID>
      <start>0</start>
      <end>2</end>
      <status>unmodified</status>
      <modifiedWord/>
      <trackRevisions>false</trackRevisions>
    </reviewItem>
    <reviewItem>
      <errorID>4ecd45b7-091c-482c-a3f2-a26951e1acab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543425E7</paraID>
      <start>0</start>
      <end>2</end>
      <status>unmodified</status>
      <modifiedWord/>
      <trackRevisions>false</trackRevisions>
    </reviewItem>
    <reviewItem>
      <errorID>3ffc876c-9095-4eb5-ae50-3d3ae8fc1e4f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6F9EF9C3</paraID>
      <start>0</start>
      <end>2</end>
      <status>unmodified</status>
      <modifiedWord/>
      <trackRevisions>false</trackRevisions>
    </reviewItem>
    <reviewItem>
      <errorID>c44b0ba6-8cbe-467d-ac96-c5071ed58b0f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40E0AECB</paraID>
      <start>0</start>
      <end>2</end>
      <status>unmodified</status>
      <modifiedWord/>
      <trackRevisions>false</trackRevisions>
    </reviewItem>
    <reviewItem>
      <errorID>6b536de4-ffcf-420d-a1d6-3ce0f5f9c2b2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69E6C74</paraID>
      <start>0</start>
      <end>2</end>
      <status>unmodified</status>
      <modifiedWord/>
      <trackRevisions>false</trackRevisions>
    </reviewItem>
    <reviewItem>
      <errorID>b118fb07-8810-4d22-a491-181e83db9afa</errorID>
      <errorWord>5%-20%</errorWord>
      <group>L1_Knowledge</group>
      <groupName>知识性问题</groupName>
      <ability>L2_Knowledge</ability>
      <abilityName>其他知识</abilityName>
      <candidateList>
        <item>5%—20%</item>
      </candidateList>
      <explain>1. “5%-20%”中的单位“%”仅出现在后一个数字上，容易引起歧义；根据《现代汉语标点符号数字用法规范手册》，数字表示范围两边需要使用统一的格式。2. 根据标点国标 4.13 中的规则，数字、时间或地域连接符应使用（视觉上更长的）“—”或“～”。</explain>
      <paraID>37D5BA9A</paraID>
      <start>112</start>
      <end>118</end>
      <status>unmodified</status>
      <modifiedWord/>
      <trackRevisions>false</trackRevisions>
    </reviewItem>
    <reviewItem>
      <errorID>fa17e8f6-75ae-4359-956f-bb1c6601edb2</errorID>
      <errorWord>(</errorWord>
      <group>L1_Format</group>
      <groupName>格式问题</groupName>
      <ability>L2_HalfPunc</ability>
      <abilityName>全半角检查</abilityName>
      <candidateList>
        <item>（</item>
      </candidateList>
      <explain>文本全半角错误。</explain>
      <paraID>37D5BA9A</paraID>
      <start>128</start>
      <end>129</end>
      <status>unmodified</status>
      <modifiedWord/>
      <trackRevisions>false</trackRevisions>
    </reviewItem>
    <reviewItem>
      <errorID>c14502a8-9c0d-4056-8535-6b0a03b13785</errorID>
      <errorWord>)</errorWord>
      <group>L1_Format</group>
      <groupName>格式问题</groupName>
      <ability>L2_HalfPunc</ability>
      <abilityName>全半角检查</abilityName>
      <candidateList>
        <item>）</item>
      </candidateList>
      <explain>文本全半角错误。</explain>
      <paraID>37D5BA9A</paraID>
      <start>138</start>
      <end>139</end>
      <status>unmodified</status>
      <modifiedWord/>
      <trackRevisions>false</trackRevisions>
    </reviewItem>
    <reviewItem>
      <errorID>7092304a-8614-4e1d-9d07-8507c551d4e5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B9F49BC</paraID>
      <start>0</start>
      <end>2</end>
      <status>unmodified</status>
      <modifiedWord/>
      <trackRevisions>false</trackRevisions>
    </reviewItem>
    <reviewItem>
      <errorID>c5b9047f-1196-4b9e-a255-df3a2856c296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3D740AAD</paraID>
      <start>0</start>
      <end>2</end>
      <status>unmodified</status>
      <modifiedWord/>
      <trackRevisions>false</trackRevisions>
    </reviewItem>
    <reviewItem>
      <errorID>b02ae4b2-56a7-4f10-91e8-216571c9a262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1AFB7AA</paraID>
      <start>0</start>
      <end>2</end>
      <status>unmodified</status>
      <modifiedWord/>
      <trackRevisions>false</trackRevisions>
    </reviewItem>
    <reviewItem>
      <errorID>fcd5f0b2-18b8-4424-b51c-8fb593f6d1ef</errorID>
      <errorWord>(</errorWord>
      <group>L1_Format</group>
      <groupName>格式问题</groupName>
      <ability>L2_HalfPunc</ability>
      <abilityName>全半角检查</abilityName>
      <candidateList>
        <item>（</item>
      </candidateList>
      <explain>文本全半角错误。</explain>
      <paraID>3134BDE5</paraID>
      <start>33</start>
      <end>34</end>
      <status>unmodified</status>
      <modifiedWord/>
      <trackRevisions>false</trackRevisions>
    </reviewItem>
    <reviewItem>
      <errorID>28e1b831-0264-4d71-bdd9-03b95ca7a413</errorID>
      <errorWord>)</errorWord>
      <group>L1_Format</group>
      <groupName>格式问题</groupName>
      <ability>L2_HalfPunc</ability>
      <abilityName>全半角检查</abilityName>
      <candidateList>
        <item>）</item>
      </candidateList>
      <explain>文本全半角错误。</explain>
      <paraID>3134BDE5</paraID>
      <start>38</start>
      <end>39</end>
      <status>unmodified</status>
      <modifiedWord/>
      <trackRevisions>false</trackRevisions>
    </reviewItem>
    <reviewItem>
      <errorID>6bf1fadd-b7fa-4b5e-abce-404f0d62430c</errorID>
      <errorWord>能力较高</errorWord>
      <group>L1_Word</group>
      <groupName>字词问题</groupName>
      <ability>L2_Typo</ability>
      <abilityName>字词错误</abilityName>
      <candidateList>
        <item>能力较强</item>
      </candidateList>
      <explain/>
      <paraID>4216A008</paraID>
      <start>4</start>
      <end>8</end>
      <status>unmodified</status>
      <modifiedWord/>
      <trackRevisions>false</trackRevisions>
    </reviewItem>
    <reviewItem>
      <errorID>ddd83045-9664-4285-a4ee-025c98726957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7ABEE646</paraID>
      <start>0</start>
      <end>2</end>
      <status>unmodified</status>
      <modifiedWord/>
      <trackRevisions>false</trackRevisions>
    </reviewItem>
    <reviewItem>
      <errorID>c4f44d46-8937-4e82-baf7-e3d127d383e2</errorID>
      <errorWord>基金基金</errorWord>
      <group>L1_Word</group>
      <groupName>字词问题</groupName>
      <ability>L2_Typo</ability>
      <abilityName>字词错误</abilityName>
      <candidateList>
        <item>基金</item>
      </candidateList>
      <explain/>
      <paraID>2B84EC71</paraID>
      <start>233</start>
      <end>237</end>
      <status>unmodified</status>
      <modifiedWord/>
      <trackRevisions>false</trackRevisions>
    </reviewItem>
    <reviewItem>
      <errorID>1fbbcd89-fec1-4b2a-9aa4-925b5263db5c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3E22605A</paraID>
      <start>0</start>
      <end>2</end>
      <status>unmodified</status>
      <modifiedWord/>
      <trackRevisions>false</trackRevisions>
    </reviewItem>
    <reviewItem>
      <errorID>1772b6aa-f70f-46b4-9a01-c4ff7f3b8299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24CD0908</paraID>
      <start>0</start>
      <end>2</end>
      <status>unmodified</status>
      <modifiedWord/>
      <trackRevisions>false</trackRevisions>
    </reviewItem>
    <reviewItem>
      <errorID>23322195-d501-4612-b1bb-82c3ec1e7c58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4626895D</paraID>
      <start>0</start>
      <end>2</end>
      <status>unmodified</status>
      <modifiedWord/>
      <trackRevisions>false</trackRevisions>
    </reviewItem>
    <reviewItem>
      <errorID>984f6b3d-a80c-4f22-a6d9-ce2f825382ee</errorID>
      <errorWord>5%-20%</errorWord>
      <group>L1_Knowledge</group>
      <groupName>知识性问题</groupName>
      <ability>L2_Knowledge</ability>
      <abilityName>其他知识</abilityName>
      <candidateList>
        <item>5%—20%</item>
      </candidateList>
      <explain>1. “5%-20%”中的单位“%”仅出现在后一个数字上，容易引起歧义；根据《现代汉语标点符号数字用法规范手册》，数字表示范围两边需要使用统一的格式。2. 根据标点国标 4.13 中的规则，数字、时间或地域连接符应使用（视觉上更长的）“—”或“～”。</explain>
      <paraID>2A50767E</paraID>
      <start>104</start>
      <end>110</end>
      <status>unmodified</status>
      <modifiedWord/>
      <trackRevisions>false</trackRevisions>
    </reviewItem>
    <reviewItem>
      <errorID>d23e81f5-8179-4d5e-b6c8-a234715a127e</errorID>
      <errorWord>(</errorWord>
      <group>L1_Format</group>
      <groupName>格式问题</groupName>
      <ability>L2_HalfPunc</ability>
      <abilityName>全半角检查</abilityName>
      <candidateList>
        <item>（</item>
      </candidateList>
      <explain>文本全半角错误。</explain>
      <paraID>2A50767E</paraID>
      <start>120</start>
      <end>121</end>
      <status>unmodified</status>
      <modifiedWord/>
      <trackRevisions>false</trackRevisions>
    </reviewItem>
    <reviewItem>
      <errorID>ca82225e-d226-45fe-942c-20b5f52a9cb4</errorID>
      <errorWord>)</errorWord>
      <group>L1_Format</group>
      <groupName>格式问题</groupName>
      <ability>L2_HalfPunc</ability>
      <abilityName>全半角检查</abilityName>
      <candidateList>
        <item>）</item>
      </candidateList>
      <explain>文本全半角错误。</explain>
      <paraID>2A50767E</paraID>
      <start>130</start>
      <end>131</end>
      <status>unmodified</status>
      <modifiedWord/>
      <trackRevisions>false</trackRevisions>
    </reviewItem>
    <reviewItem>
      <errorID>b01b1207-2baf-4281-9751-43abd6d81aef</errorID>
      <errorWord>(</errorWord>
      <group>L1_Format</group>
      <groupName>格式问题</groupName>
      <ability>L2_HalfPunc</ability>
      <abilityName>全半角检查</abilityName>
      <candidateList>
        <item>（</item>
      </candidateList>
      <explain>文本全半角错误。</explain>
      <paraID>17BBD766</paraID>
      <start>11</start>
      <end>12</end>
      <status>unmodified</status>
      <modifiedWord/>
      <trackRevisions>false</trackRevisions>
    </reviewItem>
    <reviewItem>
      <errorID>337f0637-f366-4011-8a2c-90ece1ee1457</errorID>
      <errorWord>)</errorWord>
      <group>L1_Format</group>
      <groupName>格式问题</groupName>
      <ability>L2_HalfPunc</ability>
      <abilityName>全半角检查</abilityName>
      <candidateList>
        <item>）</item>
      </candidateList>
      <explain>文本全半角错误。</explain>
      <paraID>17BBD766</paraID>
      <start>19</start>
      <end>20</end>
      <status>unmodified</status>
      <modifiedWord/>
      <trackRevisions>false</trackRevisions>
    </reviewItem>
    <reviewItem>
      <errorID>2a0cf993-4941-43a9-b6ce-2350e1d4a45e</errorID>
      <errorWord>（12）、</errorWord>
      <group>L1_Punc</group>
      <groupName>标点问题</groupName>
      <ability>L2_Punc</ability>
      <abilityName>标点符号检查</abilityName>
      <candidateList>
        <item>（12）</item>
      </candidateList>
      <explain>根据国标GB/T 15834-2011《标点符号用法》中的4.5.3.3节，带括号的汉字数字或阿拉伯数字表次序时，后面通常不加顿号。如“（一）指导思想”“（二）行动指南”。</explain>
      <paraID>7935ECA7</paraID>
      <start>8</start>
      <end>13</end>
      <status>unmodified</status>
      <modifiedWord/>
      <trackRevisions>false</trackRevisions>
    </reviewItem>
    <reviewItem>
      <errorID>6903d8d4-4903-4171-82d6-2a5d5f72ea3d</errorID>
      <errorWord>（13）、</errorWord>
      <group>L1_Punc</group>
      <groupName>标点问题</groupName>
      <ability>L2_Punc</ability>
      <abilityName>标点符号检查</abilityName>
      <candidateList>
        <item>（13）</item>
      </candidateList>
      <explain>根据国标GB/T 15834-2011《标点符号用法》中的4.5.3.3节，带括号的汉字数字或阿拉伯数字表次序时，后面通常不加顿号。如“（一）指导思想”“（二）行动指南”。</explain>
      <paraID>7935ECA7</paraID>
      <start>13</start>
      <end>18</end>
      <status>unmodified</status>
      <modifiedWord/>
      <trackRevisions>false</trackRevisions>
    </reviewItem>
    <reviewItem>
      <errorID>750d89f2-ca17-421d-8196-1bb1e0df3ef9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399CF1E0</paraID>
      <start>0</start>
      <end>2</end>
      <status>unmodified</status>
      <modifiedWord/>
      <trackRevisions>false</trackRevisions>
    </reviewItem>
    <reviewItem>
      <errorID>3ae33a9b-65fd-46c0-8d56-800412fe42e6</errorID>
      <errorWord>向其</errorWord>
      <group>L1_Word</group>
      <groupName>字词问题</groupName>
      <ability>L2_Typo</ability>
      <abilityName>字词错误</abilityName>
      <candidateList>
        <item>向</item>
      </candidateList>
      <explain>〈副〉向来：～有研究｜～无此例。</explain>
      <paraID>3219E43D</paraID>
      <start>3</start>
      <end>5</end>
      <status>unmodified</status>
      <modifiedWord/>
      <trackRevisions>false</trackRevisions>
    </reviewItem>
    <reviewItem>
      <errorID>a157f97f-192c-474b-883c-8598d1e3f581</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408ED665</paraID>
      <start>45</start>
      <end>47</end>
      <status>unmodified</status>
      <modifiedWord/>
      <trackRevisions>false</trackRevisions>
    </reviewItem>
    <reviewItem>
      <errorID>cc08a1f8-01b9-4d84-b0ad-457e0af21ced</errorID>
      <errorWord>含</errorWord>
      <group>L1_Word</group>
      <groupName>字词问题</groupName>
      <ability>L2_Typo</ability>
      <abilityName>字词错误</abilityName>
      <candidateList>
        <item>行</item>
      </candidateList>
      <explain/>
      <paraID>7D30BE2B</paraID>
      <start>78</start>
      <end>79</end>
      <status>unmodified</status>
      <modifiedWord/>
      <trackRevisions>false</trackRevisions>
    </reviewItem>
    <reviewItem>
      <errorID>4de5d4bc-98f1-4027-a681-d72714cf2a19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29401662</paraID>
      <start>0</start>
      <end>2</end>
      <status>unmodified</status>
      <modifiedWord/>
      <trackRevisions>false</trackRevisions>
    </reviewItem>
    <reviewItem>
      <errorID>f5d00be7-916e-4cc6-9f47-91f151bd63d2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1AA78558</paraID>
      <start>0</start>
      <end>2</end>
      <status>unmodified</status>
      <modifiedWord/>
      <trackRevisions>false</trackRevisions>
    </reviewItem>
    <reviewItem>
      <errorID>463cc776-c5b1-4878-8c26-26c681dfa853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27B34F58</paraID>
      <start>0</start>
      <end>2</end>
      <status>unmodified</status>
      <modifiedWord/>
      <trackRevisions>false</trackRevisions>
    </reviewItem>
    <reviewItem>
      <errorID>c1f6d795-d673-40ab-85dc-8cf3585a194f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24F7BCA9</paraID>
      <start>0</start>
      <end>2</end>
      <status>unmodified</status>
      <modifiedWord/>
      <trackRevisions>false</trackRevisions>
    </reviewItem>
    <reviewItem>
      <errorID>7bebf64e-0c96-4f29-bfff-3e2eff5fe97e</errorID>
      <errorWord>主袋</errorWord>
      <group>L1_Word</group>
      <groupName>字词问题</groupName>
      <ability>L2_Typo</ability>
      <abilityName>字词错误</abilityName>
      <candidateList>
        <item>侧袋</item>
      </candidateList>
      <explain/>
      <paraID>668A033C</paraID>
      <start>52</start>
      <end>54</end>
      <status>unmodified</status>
      <modifiedWord/>
      <trackRevisions>false</trackRevisions>
    </reviewItem>
    <reviewItem>
      <errorID>7bff8ed4-352f-464b-993d-e39ef0b775da</errorID>
      <errorWord>抵销</errorWord>
      <group>L1_Word</group>
      <groupName>字词问题</groupName>
      <ability>L2_Typo</ability>
      <abilityName>字词错误</abilityName>
      <candidateList>
        <item>抵消</item>
      </candidateList>
      <explain/>
      <paraID>33B120EF</paraID>
      <start>88</start>
      <end>90</end>
      <status>unmodified</status>
      <modifiedWord/>
      <trackRevisions>false</trackRevisions>
    </reviewItem>
    <reviewItem>
      <errorID>80ea1855-1d0a-4ece-827e-32d89cc4f1a6</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42C15A50</paraID>
      <start>41</start>
      <end>45</end>
      <status>unmodified</status>
      <modifiedWord/>
      <trackRevisions>false</trackRevisions>
    </reviewItem>
    <reviewItem>
      <errorID>81a84e72-c50f-49ed-bd75-ca30691c8d86</errorID>
      <errorWord>、</errorWord>
      <group>L1_Word</group>
      <groupName>字词问题</groupName>
      <ability>L2_Typo</ability>
      <abilityName>字词错误</abilityName>
      <candidateList>
        <item>、在</item>
      </candidateList>
      <explain/>
      <paraID>4EB9F8AD</paraID>
      <start>1</start>
      <end>2</end>
      <status>unmodified</status>
      <modifiedWord/>
      <trackRevisions>false</trackRevisions>
    </reviewItem>
    <reviewItem>
      <errorID>343aa599-60c1-44ea-b3b1-c6512ee5856a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6C3C9ECE</paraID>
      <start>0</start>
      <end>2</end>
      <status>unmodified</status>
      <modifiedWord/>
      <trackRevisions>false</trackRevisions>
    </reviewItem>
    <reviewItem>
      <errorID>62cf631a-3cf4-4e11-be0d-1baaa3f76dc0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1322D22C</paraID>
      <start>0</start>
      <end>2</end>
      <status>unmodified</status>
      <modifiedWord/>
      <trackRevisions>false</trackRevisions>
    </reviewItem>
    <reviewItem>
      <errorID>b9e0c34e-6ed1-46b9-b53c-d9f8fc77b2df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39E5A44C</paraID>
      <start>0</start>
      <end>2</end>
      <status>unmodified</status>
      <modifiedWord/>
      <trackRevisions>false</trackRevisions>
    </reviewItem>
    <reviewItem>
      <errorID>86fd93da-cb84-4b9c-9dca-81fa35eff1c7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65EEEADF</paraID>
      <start>0</start>
      <end>2</end>
      <status>unmodified</status>
      <modifiedWord/>
      <trackRevisions>false</trackRevisions>
    </reviewItem>
    <reviewItem>
      <errorID>98222b00-7358-4ae7-b9f5-64ac5f4202cc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19B55F0E</paraID>
      <start>0</start>
      <end>2</end>
      <status>unmodified</status>
      <modifiedWord/>
      <trackRevisions>false</trackRevisions>
    </reviewItem>
    <reviewItem>
      <errorID>d6626d7b-bae8-498a-a596-4307455e6f73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5E0C6118</paraID>
      <start>0</start>
      <end>2</end>
      <status>unmodified</status>
      <modifiedWord/>
      <trackRevisions>false</trackRevisions>
    </reviewItem>
    <reviewItem>
      <errorID>c1576104-cce1-4396-ba41-d753e8362486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3D091F5A</paraID>
      <start>1</start>
      <end>3</end>
      <status>unmodified</status>
      <modifiedWord/>
      <trackRevisions>false</trackRevisions>
    </reviewItem>
    <reviewItem>
      <errorID>d6ec002b-0641-4d26-883f-bd2be018adc4</errorID>
      <errorWord>其它</errorWord>
      <group>L1_Word</group>
      <groupName>字词问题</groupName>
      <ability>L2_Alias</ability>
      <abilityName>也作/曾用词</abilityName>
      <candidateList>
        <item>其他</item>
      </candidateList>
      <explain>词汇[其它]为不规范表述或旧称，其规范书面表述为[其他]。</explain>
      <paraID>3D091F5A</paraID>
      <start>32</start>
      <end>34</end>
      <status>unmodified</status>
      <modifiedWord/>
      <trackRevisions>false</trackRevisions>
    </reviewItem>
    <reviewItem>
      <errorID>4f7ec3ba-1119-4f17-97d5-b1e4a5a7e9fa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25690F9B</paraID>
      <start>1</start>
      <end>3</end>
      <status>unmodified</status>
      <modifiedWord/>
      <trackRevisions>false</trackRevisions>
    </reviewItem>
    <reviewItem>
      <errorID>36ac92d5-23ab-45d2-a43f-352193c01605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72737173</paraID>
      <start>1</start>
      <end>4</end>
      <status>unmodified</status>
      <modifiedWord/>
      <trackRevisions>false</trackRevisions>
    </reviewItem>
    <reviewItem>
      <errorID>16cd08cc-b808-4bc5-845b-dfb44782e808</errorID>
      <errorWord>-</errorWord>
      <group>L1_Format</group>
      <groupName>格式问题</groupName>
      <ability>L2_HalfPunc</ability>
      <abilityName>全半角检查</abilityName>
      <candidateList>
        <item>－</item>
      </candidateList>
      <explain>文本全半角错误。</explain>
      <paraID>7B723A76</paraID>
      <start>23</start>
      <end>24</end>
      <status>unmodified</status>
      <modifiedWord/>
      <trackRevisions>false</trackRevisions>
    </reviewItem>
    <reviewItem>
      <errorID>ca5a633d-a19c-4dc1-abde-68ef1042ab9f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6839C20B</paraID>
      <start>2</start>
      <end>5</end>
      <status>unmodified</status>
      <modifiedWord/>
      <trackRevisions>false</trackRevisions>
    </reviewItem>
    <reviewItem>
      <errorID>aca1dc56-134b-4c7e-ade1-298a9dcc5ded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AD5FF89</paraID>
      <start>0</start>
      <end>4</end>
      <status>unmodified</status>
      <modifiedWord/>
      <trackRevisions>false</trackRevisions>
    </reviewItem>
    <reviewItem>
      <errorID>8dc8142d-2dca-405b-b879-0ee55a87e685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4EB8CE96</paraID>
      <start>0</start>
      <end>4</end>
      <status>unmodified</status>
      <modifiedWord/>
      <trackRevisions>false</trackRevisions>
    </reviewItem>
    <reviewItem>
      <errorID>8234203f-f29d-4b44-a720-b70472f851f2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22DA2397</paraID>
      <start>0</start>
      <end>4</end>
      <status>unmodified</status>
      <modifiedWord/>
      <trackRevisions>false</trackRevisions>
    </reviewItem>
    <reviewItem>
      <errorID>69f51e97-bee9-4441-8753-ea5481920cc1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25941C31</paraID>
      <start>0</start>
      <end>4</end>
      <status>unmodified</status>
      <modifiedWord/>
      <trackRevisions>false</trackRevisions>
    </reviewItem>
    <reviewItem>
      <errorID>6c3739b7-089b-4aa4-8362-5c1fa59759e3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3E0A5074</paraID>
      <start>0</start>
      <end>4</end>
      <status>unmodified</status>
      <modifiedWord/>
      <trackRevisions>false</trackRevisions>
    </reviewItem>
    <reviewItem>
      <errorID>ffd76c12-0a48-48c0-805f-e47e205ba990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2CBD4503</paraID>
      <start>0</start>
      <end>4</end>
      <status>unmodified</status>
      <modifiedWord/>
      <trackRevisions>false</trackRevisions>
    </reviewItem>
    <reviewItem>
      <errorID>705314d5-60a8-4d83-bc04-641a58514abe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740D59E1</paraID>
      <start>0</start>
      <end>4</end>
      <status>unmodified</status>
      <modifiedWord/>
      <trackRevisions>false</trackRevisions>
    </reviewItem>
    <reviewItem>
      <errorID>8f3c3b6e-8d09-4325-bba0-f081ae95d5ac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B257E3A</paraID>
      <start>0</start>
      <end>2</end>
      <status>unmodified</status>
      <modifiedWord/>
      <trackRevisions>false</trackRevisions>
    </reviewItem>
    <reviewItem>
      <errorID>c18c29f0-d812-47a7-b1c1-c27b2c6743ea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11293808</paraID>
      <start>0</start>
      <end>2</end>
      <status>unmodified</status>
      <modifiedWord/>
      <trackRevisions>false</trackRevisions>
    </reviewItem>
    <reviewItem>
      <errorID>75f62b9c-4e03-4b54-ad21-7569235283fd</errorID>
      <errorWord>(</errorWord>
      <group>L1_Format</group>
      <groupName>格式问题</groupName>
      <ability>L2_HalfPunc</ability>
      <abilityName>全半角检查</abilityName>
      <candidateList>
        <item>（</item>
      </candidateList>
      <explain>文本全半角错误。</explain>
      <paraID>30B5F39E</paraID>
      <start>60</start>
      <end>61</end>
      <status>unmodified</status>
      <modifiedWord/>
      <trackRevisions>false</trackRevisions>
    </reviewItem>
    <reviewItem>
      <errorID>8b3f0f4e-738f-43f2-b50f-58618933e7da</errorID>
      <errorWord>)</errorWord>
      <group>L1_Format</group>
      <groupName>格式问题</groupName>
      <ability>L2_HalfPunc</ability>
      <abilityName>全半角检查</abilityName>
      <candidateList>
        <item>）</item>
      </candidateList>
      <explain>文本全半角错误。</explain>
      <paraID>30B5F39E</paraID>
      <start>65</start>
      <end>66</end>
      <status>unmodified</status>
      <modifiedWord/>
      <trackRevisions>false</trackRevisions>
    </reviewItem>
    <reviewItem>
      <errorID>7cfd6279-4de2-4c34-ba11-9b46f9913782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41B96214</paraID>
      <start>0</start>
      <end>2</end>
      <status>unmodified</status>
      <modifiedWord/>
      <trackRevisions>false</trackRevisions>
    </reviewItem>
    <reviewItem>
      <errorID>8a7600b2-1eb5-44e8-a176-6912c8d11bb1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7FF45E92</paraID>
      <start>24</start>
      <end>26</end>
      <status>unmodified</status>
      <modifiedWord/>
      <trackRevisions>false</trackRevisions>
    </reviewItem>
    <reviewItem>
      <errorID>0e13796f-1501-46f7-b32d-bae5df888c14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7FF45E92</paraID>
      <start>30</start>
      <end>32</end>
      <status>unmodified</status>
      <modifiedWord/>
      <trackRevisions>false</trackRevisions>
    </reviewItem>
    <reviewItem>
      <errorID>3ccb6364-dd5e-4eec-a89d-2fcb1cc051e4</errorID>
      <errorWord>、或</errorWord>
      <group>L1_Punc</group>
      <groupName>标点问题</groupName>
      <ability>L2_Punc</ability>
      <abilityName>标点符号检查</abilityName>
      <candidateList>
        <item>，或</item>
      </candidateList>
      <explain>连接词前后不宜使用顿号，建议使用逗号。</explain>
      <paraID>7FF45E92</paraID>
      <start>36</start>
      <end>38</end>
      <status>unmodified</status>
      <modifiedWord/>
      <trackRevisions>false</trackRevisions>
    </reviewItem>
    <reviewItem>
      <errorID>c745c706-66ce-4653-a2d1-f9f594648870</errorID>
      <errorWord>(</errorWord>
      <group>L1_Format</group>
      <groupName>格式问题</groupName>
      <ability>L2_HalfPunc</ability>
      <abilityName>全半角检查</abilityName>
      <candidateList>
        <item>（</item>
      </candidateList>
      <explain>文本全半角错误。</explain>
      <paraID>7FF45E92</paraID>
      <start>89</start>
      <end>90</end>
      <status>unmodified</status>
      <modifiedWord/>
      <trackRevisions>false</trackRevisions>
    </reviewItem>
    <reviewItem>
      <errorID>8a1cfeb0-30f5-4711-a7b2-60ed1588dfdb</errorID>
      <errorWord>)</errorWord>
      <group>L1_Format</group>
      <groupName>格式问题</groupName>
      <ability>L2_HalfPunc</ability>
      <abilityName>全半角检查</abilityName>
      <candidateList>
        <item>）</item>
      </candidateList>
      <explain>文本全半角错误。</explain>
      <paraID>7FF45E92</paraID>
      <start>95</start>
      <end>96</end>
      <status>unmodified</status>
      <modifiedWord/>
      <trackRevisions>false</trackRevisions>
    </reviewItem>
    <reviewItem>
      <errorID>97d88977-837c-4a46-9b1b-a516ed5e5f24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26858609</paraID>
      <start>0</start>
      <end>2</end>
      <status>unmodified</status>
      <modifiedWord/>
      <trackRevisions>false</trackRevisions>
    </reviewItem>
    <reviewItem>
      <errorID>ed0a95c1-9d32-47e4-84c6-e791aced2f2f</errorID>
      <errorWord>(</errorWord>
      <group>L1_Format</group>
      <groupName>格式问题</groupName>
      <ability>L2_HalfPunc</ability>
      <abilityName>全半角检查</abilityName>
      <candidateList>
        <item>（</item>
      </candidateList>
      <explain>文本全半角错误。</explain>
      <paraID>7118BCB5</paraID>
      <start>90</start>
      <end>91</end>
      <status>unmodified</status>
      <modifiedWord/>
      <trackRevisions>false</trackRevisions>
    </reviewItem>
    <reviewItem>
      <errorID>1d4b5527-7893-444a-88d8-8fcc2145d39a</errorID>
      <errorWord>)</errorWord>
      <group>L1_Format</group>
      <groupName>格式问题</groupName>
      <ability>L2_HalfPunc</ability>
      <abilityName>全半角检查</abilityName>
      <candidateList>
        <item>）</item>
      </candidateList>
      <explain>文本全半角错误。</explain>
      <paraID>7118BCB5</paraID>
      <start>96</start>
      <end>97</end>
      <status>unmodified</status>
      <modifiedWord/>
      <trackRevisions>false</trackRevisions>
    </reviewItem>
    <reviewItem>
      <errorID>ee940801-27f1-402b-80ad-4f86f8ae01e3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40824895</paraID>
      <start>0</start>
      <end>2</end>
      <status>unmodified</status>
      <modifiedWord/>
      <trackRevisions>false</trackRevisions>
    </reviewItem>
    <reviewItem>
      <errorID>b73d643f-9e8f-400e-92df-c8cda4f9a031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7B57E90A</paraID>
      <start>0</start>
      <end>2</end>
      <status>unmodified</status>
      <modifiedWord/>
      <trackRevisions>false</trackRevisions>
    </reviewItem>
    <reviewItem>
      <errorID>9a1e3a4e-640b-4135-82fa-c6d536222bf5</errorID>
      <errorWord>而且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703921C7</paraID>
      <start>34</start>
      <end>36</end>
      <status>unmodified</status>
      <modifiedWord/>
      <trackRevisions>false</trackRevisions>
    </reviewItem>
    <reviewItem>
      <errorID>2df4d623-a698-4232-a640-ce119631a5e7</errorID>
      <errorWord>疑义</errorWord>
      <group>L1_Word</group>
      <groupName>字词问题</groupName>
      <ability>L2_Typo</ability>
      <abilityName>字词错误</abilityName>
      <candidateList>
        <item>异议</item>
      </candidateList>
      <explain/>
      <paraID>703921C7</paraID>
      <start>51</start>
      <end>53</end>
      <status>unmodified</status>
      <modifiedWord/>
      <trackRevisions>false</trackRevisions>
    </reviewItem>
    <reviewItem>
      <errorID>d7dadbef-0fdc-4e03-bc9e-4b23c2561c98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7CB953F0</paraID>
      <start>0</start>
      <end>2</end>
      <status>unmodified</status>
      <modifiedWord/>
      <trackRevisions>false</trackRevisions>
    </reviewItem>
    <reviewItem>
      <errorID>57656317-58a9-4af1-8703-d21b9ea35a9c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6CD613E6</paraID>
      <start>0</start>
      <end>2</end>
      <status>unmodified</status>
      <modifiedWord/>
      <trackRevisions>false</trackRevisions>
    </reviewItem>
    <reviewItem>
      <errorID>1ec5c381-95c1-4bff-ad73-2192a42db134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6BC6462E</paraID>
      <start>0</start>
      <end>2</end>
      <status>unmodified</status>
      <modifiedWord/>
      <trackRevisions>false</trackRevisions>
    </reviewItem>
    <reviewItem>
      <errorID>5373e4dd-ca1d-4d12-9661-759326b64bb6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307F34A5</paraID>
      <start>0</start>
      <end>2</end>
      <status>unmodified</status>
      <modifiedWord/>
      <trackRevisions>false</trackRevisions>
    </reviewItem>
    <reviewItem>
      <errorID>16db95c3-2e94-4e37-bc13-36b885f9ac6d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72D9459A</paraID>
      <start>0</start>
      <end>2</end>
      <status>unmodified</status>
      <modifiedWord/>
      <trackRevisions>false</trackRevisions>
    </reviewItem>
    <reviewItem>
      <errorID>939439da-d335-4833-94a6-03fee1ee5635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14500BD3</paraID>
      <start>0</start>
      <end>2</end>
      <status>unmodified</status>
      <modifiedWord/>
      <trackRevisions>false</trackRevisions>
    </reviewItem>
    <reviewItem>
      <errorID>80c16640-2b61-49c3-8417-ce4fd155067c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219417BC</paraID>
      <start>0</start>
      <end>2</end>
      <status>unmodified</status>
      <modifiedWord/>
      <trackRevisions>false</trackRevisions>
    </reviewItem>
    <reviewItem>
      <errorID>5555783c-1a71-4f45-a91c-1ccc582def89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495F438A</paraID>
      <start>0</start>
      <end>2</end>
      <status>unmodified</status>
      <modifiedWord/>
      <trackRevisions>false</trackRevisions>
    </reviewItem>
    <reviewItem>
      <errorID>4f9feaf8-62a7-4422-b08b-6bccf02b6622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66AEE078</paraID>
      <start>0</start>
      <end>2</end>
      <status>unmodified</status>
      <modifiedWord/>
      <trackRevisions>false</trackRevisions>
    </reviewItem>
    <reviewItem>
      <errorID>a411e995-0be7-4928-a632-cbbf3604c9d8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5DE6458A</paraID>
      <start>0</start>
      <end>2</end>
      <status>unmodified</status>
      <modifiedWord/>
      <trackRevisions>false</trackRevisions>
    </reviewItem>
    <reviewItem>
      <errorID>b3df254f-7710-494d-b5e3-61a046abc658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6606B930</paraID>
      <start>0</start>
      <end>2</end>
      <status>unmodified</status>
      <modifiedWord/>
      <trackRevisions>false</trackRevisions>
    </reviewItem>
    <reviewItem>
      <errorID>7afaed85-830a-4593-9a77-8ddc4c0411a8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2AFB6285</paraID>
      <start>0</start>
      <end>2</end>
      <status>unmodified</status>
      <modifiedWord/>
      <trackRevisions>false</trackRevisions>
    </reviewItem>
    <reviewItem>
      <errorID>c6ca07d4-039e-4a3a-87e3-fdf7f81e3fbe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8FF5A5E</paraID>
      <start>0</start>
      <end>2</end>
      <status>unmodified</status>
      <modifiedWord/>
      <trackRevisions>false</trackRevisions>
    </reviewItem>
    <reviewItem>
      <errorID>c6417d03-2db8-4bd9-a895-16f0c6f68583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473A77A7</paraID>
      <start>0</start>
      <end>2</end>
      <status>unmodified</status>
      <modifiedWord/>
      <trackRevisions>false</trackRevisions>
    </reviewItem>
    <reviewItem>
      <errorID>0f76b689-c8fd-477b-8aca-198c88d19b43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290D21A7</paraID>
      <start>0</start>
      <end>2</end>
      <status>unmodified</status>
      <modifiedWord/>
      <trackRevisions>false</trackRevisions>
    </reviewItem>
    <reviewItem>
      <errorID>18ea9bdb-12e8-4bfa-8b25-edb138e35e4b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77D0D14A</paraID>
      <start>0</start>
      <end>3</end>
      <status>unmodified</status>
      <modifiedWord/>
      <trackRevisions>false</trackRevisions>
    </reviewItem>
    <reviewItem>
      <errorID>c2b23758-0a98-4325-9737-052cf51cd7ad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20FA0AFB</paraID>
      <start>0</start>
      <end>3</end>
      <status>unmodified</status>
      <modifiedWord/>
      <trackRevisions>false</trackRevisions>
    </reviewItem>
    <reviewItem>
      <errorID>d5ee6818-3bf5-4e35-b814-c5c730912eac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338405D8</paraID>
      <start>0</start>
      <end>3</end>
      <status>unmodified</status>
      <modifiedWord/>
      <trackRevisions>false</trackRevisions>
    </reviewItem>
    <reviewItem>
      <errorID>327fc50d-f0d0-4c47-957e-7b341055b1bc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5215BC93</paraID>
      <start>0</start>
      <end>2</end>
      <status>unmodified</status>
      <modifiedWord/>
      <trackRevisions>false</trackRevisions>
    </reviewItem>
    <reviewItem>
      <errorID>70bf8b87-3b95-42e0-885f-43c433d16579</errorID>
      <errorWord>基金基金</errorWord>
      <group>L1_Word</group>
      <groupName>字词问题</groupName>
      <ability>L2_Typo</ability>
      <abilityName>字词错误</abilityName>
      <candidateList>
        <item>基金</item>
      </candidateList>
      <explain/>
      <paraID>26F034E3</paraID>
      <start>1</start>
      <end>5</end>
      <status>unmodified</status>
      <modifiedWord/>
      <trackRevisions>false</trackRevisions>
    </reviewItem>
    <reviewItem>
      <errorID>2fc32346-51a9-4458-9f7b-326ec1c0e7d2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1184630F</paraID>
      <start>0</start>
      <end>2</end>
      <status>unmodified</status>
      <modifiedWord/>
      <trackRevisions>false</trackRevisions>
    </reviewItem>
    <reviewItem>
      <errorID>66d55493-5a6a-4d06-8afb-8068ad9cdf86</errorID>
      <errorWord>基金基金</errorWord>
      <group>L1_Word</group>
      <groupName>字词问题</groupName>
      <ability>L2_Typo</ability>
      <abilityName>字词错误</abilityName>
      <candidateList>
        <item>基金</item>
      </candidateList>
      <explain/>
      <paraID>1ED8EBA7</paraID>
      <start>1</start>
      <end>5</end>
      <status>unmodified</status>
      <modifiedWord/>
      <trackRevisions>false</trackRevisions>
    </reviewItem>
    <reviewItem>
      <errorID>f6cf3103-1cce-4232-a4dc-364ab1bdf62d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1E81B061</paraID>
      <start>0</start>
      <end>2</end>
      <status>unmodified</status>
      <modifiedWord/>
      <trackRevisions>false</trackRevisions>
    </reviewItem>
    <reviewItem>
      <errorID>a3d2e865-2e61-40ad-ad26-8fa073ac202b</errorID>
      <errorWord>，</errorWord>
      <group>L1_Word</group>
      <groupName>字词问题</groupName>
      <ability>L2_Typo</ability>
      <abilityName>字词错误</abilityName>
      <candidateList>
        <item>，由</item>
      </candidateList>
      <explain/>
      <paraID>6B2C2E54</paraID>
      <start>79</start>
      <end>80</end>
      <status>unmodified</status>
      <modifiedWord/>
      <trackRevisions>false</trackRevisions>
    </reviewItem>
    <reviewItem>
      <errorID>361b80d9-4034-42b6-a2e0-45d37924ac12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6F57872D</paraID>
      <start>0</start>
      <end>2</end>
      <status>unmodified</status>
      <modifiedWord/>
      <trackRevisions>false</trackRevisions>
    </reviewItem>
    <reviewItem>
      <errorID>949099d2-bd19-4315-b4da-ca20af16da68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BE9CBF4</paraID>
      <start>0</start>
      <end>2</end>
      <status>unmodified</status>
      <modifiedWord/>
      <trackRevisions>false</trackRevisions>
    </reviewItem>
    <reviewItem>
      <errorID>710a4bc3-250b-47a5-b322-b3468b863b9f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2341F3D5</paraID>
      <start>0</start>
      <end>2</end>
      <status>unmodified</status>
      <modifiedWord/>
      <trackRevisions>false</trackRevisions>
    </reviewItem>
    <reviewItem>
      <errorID>b73dae65-8dd7-421f-b2a7-2c53d2d1950f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343401F4</paraID>
      <start>0</start>
      <end>2</end>
      <status>unmodified</status>
      <modifiedWord/>
      <trackRevisions>false</trackRevisions>
    </reviewItem>
    <reviewItem>
      <errorID>3af7c792-060c-4d05-b210-076c07fe1b9d</errorID>
      <errorWord>，</errorWord>
      <group>L1_Word</group>
      <groupName>字词问题</groupName>
      <ability>L2_Typo</ability>
      <abilityName>字词错误</abilityName>
      <candidateList>
        <item>，由</item>
      </candidateList>
      <explain/>
      <paraID>31DD769D</paraID>
      <start>57</start>
      <end>58</end>
      <status>unmodified</status>
      <modifiedWord/>
      <trackRevisions>false</trackRevisions>
    </reviewItem>
    <reviewItem>
      <errorID>4d4f393c-de83-466a-9bee-ffd1861515a1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F202DC7</paraID>
      <start>0</start>
      <end>2</end>
      <status>unmodified</status>
      <modifiedWord/>
      <trackRevisions>false</trackRevisions>
    </reviewItem>
    <reviewItem>
      <errorID>ac3f1c59-8b3a-46d7-8897-7ac8d2b9deb3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6088EDFA</paraID>
      <start>0</start>
      <end>2</end>
      <status>unmodified</status>
      <modifiedWord/>
      <trackRevisions>false</trackRevisions>
    </reviewItem>
    <reviewItem>
      <errorID>ce52c71b-3320-4c19-9fea-306d6bd28b75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1E82FD</paraID>
      <start>0</start>
      <end>2</end>
      <status>unmodified</status>
      <modifiedWord/>
      <trackRevisions>false</trackRevisions>
    </reviewItem>
    <reviewItem>
      <errorID>9a5a955d-ce4c-4759-813c-2072e0215145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2D93DE5B</paraID>
      <start>0</start>
      <end>2</end>
      <status>unmodified</status>
      <modifiedWord/>
      <trackRevisions>false</trackRevisions>
    </reviewItem>
    <reviewItem>
      <errorID>cee7e09f-5083-4020-8c6f-0345f77b52f0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1CC6169D</paraID>
      <start>0</start>
      <end>2</end>
      <status>unmodified</status>
      <modifiedWord/>
      <trackRevisions>false</trackRevisions>
    </reviewItem>
    <reviewItem>
      <errorID>81b0d22c-fe3f-4dee-a771-f308399ca85a</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19CFD290</paraID>
      <start>16</start>
      <end>18</end>
      <status>unmodified</status>
      <modifiedWord/>
      <trackRevisions>false</trackRevisions>
    </reviewItem>
    <reviewItem>
      <errorID>18307da2-e00e-42ec-aeff-b67eafd06cb1</errorID>
      <errorWord>，</errorWord>
      <group>L1_Word</group>
      <groupName>字词问题</groupName>
      <ability>L2_Typo</ability>
      <abilityName>字词错误</abilityName>
      <candidateList>
        <item>，并</item>
      </candidateList>
      <explain/>
      <paraID>57B8B5B0</paraID>
      <start>27</start>
      <end>28</end>
      <status>unmodified</status>
      <modifiedWord/>
      <trackRevisions>false</trackRevisions>
    </reviewItem>
    <reviewItem>
      <errorID>b01a73de-7f52-4f78-9056-8681a0faf338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42B75BE7</paraID>
      <start>0</start>
      <end>2</end>
      <status>unmodified</status>
      <modifiedWord/>
      <trackRevisions>false</trackRevisions>
    </reviewItem>
    <reviewItem>
      <errorID>87b609a1-8a08-4ffe-a5e4-da28eb76ab29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F4D97EB</paraID>
      <start>0</start>
      <end>2</end>
      <status>unmodified</status>
      <modifiedWord/>
      <trackRevisions>false</trackRevisions>
    </reviewItem>
    <reviewItem>
      <errorID>9e69e261-89e9-45d7-a8de-aa0b0a5f761a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2EC9D489</paraID>
      <start>0</start>
      <end>2</end>
      <status>unmodified</status>
      <modifiedWord/>
      <trackRevisions>false</trackRevisions>
    </reviewItem>
    <reviewItem>
      <errorID>8be3aeb8-b20f-4bf5-a815-5572ff089a19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FEB4E29</paraID>
      <start>0</start>
      <end>2</end>
      <status>unmodified</status>
      <modifiedWord/>
      <trackRevisions>false</trackRevisions>
    </reviewItem>
    <reviewItem>
      <errorID>8f54ea8b-d460-43fa-af97-a53864e5a2de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51222BD2</paraID>
      <start>0</start>
      <end>2</end>
      <status>unmodified</status>
      <modifiedWord/>
      <trackRevisions>false</trackRevisions>
    </reviewItem>
    <reviewItem>
      <errorID>66de9d64-ca93-4567-bbcc-d0d8635d93e3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26F80895</paraID>
      <start>0</start>
      <end>2</end>
      <status>unmodified</status>
      <modifiedWord/>
      <trackRevisions>false</trackRevisions>
    </reviewItem>
    <reviewItem>
      <errorID>0b823d05-d6f5-4eca-be5b-64cf220aadd3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146E082F</paraID>
      <start>0</start>
      <end>2</end>
      <status>unmodified</status>
      <modifiedWord/>
      <trackRevisions>false</trackRevisions>
    </reviewItem>
    <reviewItem>
      <errorID>381187fb-c5c2-4053-bdd6-3983ddd557d8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1FE7C8B6</paraID>
      <start>0</start>
      <end>2</end>
      <status>unmodified</status>
      <modifiedWord/>
      <trackRevisions>false</trackRevisions>
    </reviewItem>
    <reviewItem>
      <errorID>7be23deb-838a-4cdd-9f84-e271546951c6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1A0BC423</paraID>
      <start>0</start>
      <end>2</end>
      <status>unmodified</status>
      <modifiedWord/>
      <trackRevisions>false</trackRevisions>
    </reviewItem>
    <reviewItem>
      <errorID>7f92d52a-6fdb-4f92-8424-04818ab8bae1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50703A45</paraID>
      <start>0</start>
      <end>2</end>
      <status>unmodified</status>
      <modifiedWord/>
      <trackRevisions>false</trackRevisions>
    </reviewItem>
    <reviewItem>
      <errorID>abcc91d2-3bc0-47e8-b1bc-c98cda1cb869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407B38F9</paraID>
      <start>17</start>
      <end>20</end>
      <status>unmodified</status>
      <modifiedWord/>
      <trackRevisions>false</trackRevisions>
    </reviewItem>
    <reviewItem>
      <errorID>355b9f06-5692-46fd-81ca-ebc12dd01c8a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407B38F9</paraID>
      <start>24</start>
      <end>27</end>
      <status>unmodified</status>
      <modifiedWord/>
      <trackRevisions>false</trackRevisions>
    </reviewItem>
    <reviewItem>
      <errorID>d7a48620-63d9-4f4a-9801-28370ba71727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407B38F9</paraID>
      <start>33</start>
      <end>36</end>
      <status>unmodified</status>
      <modifiedWord/>
      <trackRevisions>false</trackRevisions>
    </reviewItem>
    <reviewItem>
      <errorID>9ff810d2-bd15-498a-acc7-6b5d5b24cf3a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407B38F9</paraID>
      <start>45</start>
      <end>48</end>
      <status>unmodified</status>
      <modifiedWord/>
      <trackRevisions>false</trackRevisions>
    </reviewItem>
    <reviewItem>
      <errorID>0012637f-8574-43af-9ef3-3b3891a86381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4297E22B</paraID>
      <start>0</start>
      <end>2</end>
      <status>unmodified</status>
      <modifiedWord/>
      <trackRevisions>false</trackRevisions>
    </reviewItem>
    <reviewItem>
      <errorID>97019ee1-5931-4d26-b9e8-f05adb1d6c0a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57CC5281</paraID>
      <start>0</start>
      <end>2</end>
      <status>unmodified</status>
      <modifiedWord/>
      <trackRevisions>false</trackRevisions>
    </reviewItem>
    <reviewItem>
      <errorID>151114d4-1027-4c02-84ab-7ee3ff82ccdb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5485F242</paraID>
      <start>0</start>
      <end>2</end>
      <status>unmodified</status>
      <modifiedWord/>
      <trackRevisions>false</trackRevisions>
    </reviewItem>
    <reviewItem>
      <errorID>7aa6435b-9c31-4993-88ca-8efec0759cc8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31ABAE30</paraID>
      <start>0</start>
      <end>2</end>
      <status>unmodified</status>
      <modifiedWord/>
      <trackRevisions>false</trackRevisions>
    </reviewItem>
    <reviewItem>
      <errorID>e4a4a0e9-8117-4e8d-a524-971adac576bd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2246239B</paraID>
      <start>0</start>
      <end>2</end>
      <status>unmodified</status>
      <modifiedWord/>
      <trackRevisions>false</trackRevisions>
    </reviewItem>
    <reviewItem>
      <errorID>590a5ff3-9a43-46a4-b2da-ea3904bc95d3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77D0C5AD</paraID>
      <start>0</start>
      <end>2</end>
      <status>unmodified</status>
      <modifiedWord/>
      <trackRevisions>false</trackRevisions>
    </reviewItem>
    <reviewItem>
      <errorID>17927667-b4b3-4120-97da-15f6bad70761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44B9CB0D</paraID>
      <start>0</start>
      <end>2</end>
      <status>unmodified</status>
      <modifiedWord/>
      <trackRevisions>false</trackRevisions>
    </reviewItem>
    <reviewItem>
      <errorID>0242583e-f3af-4fac-a1c5-286bcfa8765c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26AF850B</paraID>
      <start>0</start>
      <end>2</end>
      <status>unmodified</status>
      <modifiedWord/>
      <trackRevisions>false</trackRevisions>
    </reviewItem>
    <reviewItem>
      <errorID>ff1e026c-325e-4f67-b922-0601582f6fbe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368FD03D</paraID>
      <start>0</start>
      <end>2</end>
      <status>unmodified</status>
      <modifiedWord/>
      <trackRevisions>false</trackRevisions>
    </reviewItem>
    <reviewItem>
      <errorID>d32d4ab7-1130-4ddb-84fa-0ef9c155af05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46347473</paraID>
      <start>0</start>
      <end>2</end>
      <status>unmodified</status>
      <modifiedWord/>
      <trackRevisions>false</trackRevisions>
    </reviewItem>
    <reviewItem>
      <errorID>a5853c32-95e9-4873-94b5-47202314644b</errorID>
      <errorWord>，</errorWord>
      <group>L1_Word</group>
      <groupName>字词问题</groupName>
      <ability>L2_Typo</ability>
      <abilityName>字词错误</abilityName>
      <candidateList>
        <item>，并</item>
      </candidateList>
      <explain/>
      <paraID>10227E1D</paraID>
      <start>30</start>
      <end>31</end>
      <status>unmodified</status>
      <modifiedWord/>
      <trackRevisions>false</trackRevisions>
    </reviewItem>
    <reviewItem>
      <errorID>20a805d7-c628-4b95-8031-07aa411de243</errorID>
      <errorWord>，</errorWord>
      <group>L1_Word</group>
      <groupName>字词问题</groupName>
      <ability>L2_Typo</ability>
      <abilityName>字词错误</abilityName>
      <candidateList>
        <item>，并</item>
      </candidateList>
      <explain/>
      <paraID>1B38B93D</paraID>
      <start>33</start>
      <end>34</end>
      <status>unmodified</status>
      <modifiedWord/>
      <trackRevisions>false</trackRevisions>
    </reviewItem>
    <reviewItem>
      <errorID>f2f2669b-d257-4131-89c2-ec2025493dbf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76CC4B17</paraID>
      <start>0</start>
      <end>2</end>
      <status>unmodified</status>
      <modifiedWord/>
      <trackRevisions>false</trackRevisions>
    </reviewItem>
    <reviewItem>
      <errorID>7aa2735f-5b90-45fc-befc-1a2a941e4207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1669A460</paraID>
      <start>0</start>
      <end>2</end>
      <status>unmodified</status>
      <modifiedWord/>
      <trackRevisions>false</trackRevisions>
    </reviewItem>
    <reviewItem>
      <errorID>ed592559-9b38-4e8a-82ca-468be5bd69bf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6DD3A374</paraID>
      <start>0</start>
      <end>2</end>
      <status>unmodified</status>
      <modifiedWord/>
      <trackRevisions>false</trackRevisions>
    </reviewItem>
    <reviewItem>
      <errorID>77909c85-cfea-4a34-b521-2ae8e6a43e0b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6B329C43</paraID>
      <start>0</start>
      <end>2</end>
      <status>unmodified</status>
      <modifiedWord/>
      <trackRevisions>false</trackRevisions>
    </reviewItem>
    <reviewItem>
      <errorID>72cfbba8-3485-4d64-9152-a38339e23cc6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FA1B1C0</paraID>
      <start>0</start>
      <end>2</end>
      <status>unmodified</status>
      <modifiedWord/>
      <trackRevisions>false</trackRevisions>
    </reviewItem>
    <reviewItem>
      <errorID>28dac107-a7ea-4e73-9f00-3ca446797ec6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492CCC85</paraID>
      <start>0</start>
      <end>2</end>
      <status>unmodified</status>
      <modifiedWord/>
      <trackRevisions>false</trackRevisions>
    </reviewItem>
    <reviewItem>
      <errorID>005019a4-86ed-4ac0-bf1a-c7872127d2a1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56AEE5E1</paraID>
      <start>0</start>
      <end>2</end>
      <status>unmodified</status>
      <modifiedWord/>
      <trackRevisions>false</trackRevisions>
    </reviewItem>
    <reviewItem>
      <errorID>768fe68b-ec6e-4fc2-90a4-c1e961af4368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EB5C13B</paraID>
      <start>0</start>
      <end>2</end>
      <status>unmodified</status>
      <modifiedWord/>
      <trackRevisions>false</trackRevisions>
    </reviewItem>
    <reviewItem>
      <errorID>fb231044-f4d9-43f5-b172-2e37014c1e75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6DC2BBC3</paraID>
      <start>0</start>
      <end>2</end>
      <status>unmodified</status>
      <modifiedWord/>
      <trackRevisions>false</trackRevisions>
    </reviewItem>
    <reviewItem>
      <errorID>ef988375-75ff-4137-bef6-7dd5ef953abe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62AA250B</paraID>
      <start>0</start>
      <end>3</end>
      <status>unmodified</status>
      <modifiedWord/>
      <trackRevisions>false</trackRevisions>
    </reviewItem>
    <reviewItem>
      <errorID>167ce530-8c97-4675-90ce-fd2a84ca9328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345C04EB</paraID>
      <start>0</start>
      <end>3</end>
      <status>unmodified</status>
      <modifiedWord/>
      <trackRevisions>false</trackRevisions>
    </reviewItem>
    <reviewItem>
      <errorID>f5b01b90-4897-490a-ab63-7343a8830ee6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493570C1</paraID>
      <start>0</start>
      <end>3</end>
      <status>unmodified</status>
      <modifiedWord/>
      <trackRevisions>false</trackRevisions>
    </reviewItem>
    <reviewItem>
      <errorID>ed45be46-c911-4af2-bc38-67f9d4c04a95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22337D99</paraID>
      <start>0</start>
      <end>3</end>
      <status>unmodified</status>
      <modifiedWord/>
      <trackRevisions>false</trackRevisions>
    </reviewItem>
    <reviewItem>
      <errorID>54cdb3a2-2c71-4526-b509-75cc5f647cee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2C66161F</paraID>
      <start>0</start>
      <end>3</end>
      <status>unmodified</status>
      <modifiedWord/>
      <trackRevisions>false</trackRevisions>
    </reviewItem>
    <reviewItem>
      <errorID>bd295b42-78b6-498d-a3ce-849324112502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636B7E4C</paraID>
      <start>0</start>
      <end>3</end>
      <status>unmodified</status>
      <modifiedWord/>
      <trackRevisions>false</trackRevisions>
    </reviewItem>
    <reviewItem>
      <errorID>4986619d-aa41-4c91-b440-ec454df96faf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2DD91E0D</paraID>
      <start>0</start>
      <end>3</end>
      <status>unmodified</status>
      <modifiedWord/>
      <trackRevisions>false</trackRevisions>
    </reviewItem>
    <reviewItem>
      <errorID>af93d5d8-01ec-4402-9c10-8090a7a673b7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7D629689</paraID>
      <start>0</start>
      <end>3</end>
      <status>unmodified</status>
      <modifiedWord/>
      <trackRevisions>false</trackRevisions>
    </reviewItem>
    <reviewItem>
      <errorID>ce187091-c44a-4f1a-960c-dab9a07b1dd9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4A36005A</paraID>
      <start>0</start>
      <end>3</end>
      <status>unmodified</status>
      <modifiedWord/>
      <trackRevisions>false</trackRevisions>
    </reviewItem>
    <reviewItem>
      <errorID>b0255e8d-86f1-4bcd-b28a-c8d3fb52778d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14B85CD5</paraID>
      <start>0</start>
      <end>3</end>
      <status>unmodified</status>
      <modifiedWord/>
      <trackRevisions>false</trackRevisions>
    </reviewItem>
    <reviewItem>
      <errorID>5f34298d-91aa-402a-a2ef-9cfbc8f79c50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7FCE0C93</paraID>
      <start>0</start>
      <end>3</end>
      <status>unmodified</status>
      <modifiedWord/>
      <trackRevisions>false</trackRevisions>
    </reviewItem>
    <reviewItem>
      <errorID>b9c70bf3-6c8e-405f-889c-97156401c902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1EC56242</paraID>
      <start>0</start>
      <end>3</end>
      <status>unmodified</status>
      <modifiedWord/>
      <trackRevisions>false</trackRevisions>
    </reviewItem>
    <reviewItem>
      <errorID>b122a6c6-cdb3-47c2-93a1-758059a1349f</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15574563</paraID>
      <start>0</start>
      <end>3</end>
      <status>unmodified</status>
      <modifiedWord/>
      <trackRevisions>false</trackRevisions>
    </reviewItem>
    <reviewItem>
      <errorID>99e1bd10-a843-4e97-bd6b-2d1a39e0804e</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500D9E69</paraID>
      <start>0</start>
      <end>3</end>
      <status>unmodified</status>
      <modifiedWord/>
      <trackRevisions>false</trackRevisions>
    </reviewItem>
    <reviewItem>
      <errorID>edb68d46-08c7-4fd0-9f3e-7eba51836ecc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35830BDF</paraID>
      <start>0</start>
      <end>3</end>
      <status>unmodified</status>
      <modifiedWord/>
      <trackRevisions>false</trackRevisions>
    </reviewItem>
    <reviewItem>
      <errorID>27b5b4f7-c587-44df-9369-a8f6690960a8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7F6B28CC</paraID>
      <start>0</start>
      <end>3</end>
      <status>unmodified</status>
      <modifiedWord/>
      <trackRevisions>false</trackRevisions>
    </reviewItem>
    <reviewItem>
      <errorID>aeef83ba-338a-4acf-ab82-d49e18629288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59437FF3</paraID>
      <start>0</start>
      <end>2</end>
      <status>unmodified</status>
      <modifiedWord/>
      <trackRevisions>false</trackRevisions>
    </reviewItem>
    <reviewItem>
      <errorID>802bfb79-5ca1-431d-a679-01334063fedb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D9084CB</paraID>
      <start>0</start>
      <end>2</end>
      <status>unmodified</status>
      <modifiedWord/>
      <trackRevisions>false</trackRevisions>
    </reviewItem>
    <reviewItem>
      <errorID>e5742fad-d540-47f3-89ef-31a9f36d894d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7C43085B</paraID>
      <start>0</start>
      <end>2</end>
      <status>unmodified</status>
      <modifiedWord/>
      <trackRevisions>false</trackRevisions>
    </reviewItem>
    <reviewItem>
      <errorID>763ff3a0-a746-4dd9-aad2-be9700695475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34B1078B</paraID>
      <start>0</start>
      <end>2</end>
      <status>unmodified</status>
      <modifiedWord/>
      <trackRevisions>false</trackRevisions>
    </reviewItem>
    <reviewItem>
      <errorID>88efd3cc-6cbc-4380-9bd7-4d67959f39ce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67B39CA</paraID>
      <start>0</start>
      <end>2</end>
      <status>unmodified</status>
      <modifiedWord/>
      <trackRevisions>false</trackRevisions>
    </reviewItem>
    <reviewItem>
      <errorID>9601af75-5e9e-43a9-a98d-eb7a3eb4b021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190C6B80</paraID>
      <start>0</start>
      <end>2</end>
      <status>unmodified</status>
      <modifiedWord/>
      <trackRevisions>false</trackRevisions>
    </reviewItem>
    <reviewItem>
      <errorID>07409b69-c86e-4a4f-a4f5-8a9d4f6974bb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C84C447</paraID>
      <start>0</start>
      <end>2</end>
      <status>unmodified</status>
      <modifiedWord/>
      <trackRevisions>false</trackRevisions>
    </reviewItem>
    <reviewItem>
      <errorID>4ac9aebf-5a18-4ebf-9871-6cc0c4c25d79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22B41968</paraID>
      <start>0</start>
      <end>3</end>
      <status>unmodified</status>
      <modifiedWord/>
      <trackRevisions>false</trackRevisions>
    </reviewItem>
    <reviewItem>
      <errorID>2928d6de-7678-4f94-a42b-9bd38bb1e819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779B456</paraID>
      <start>0</start>
      <end>2</end>
      <status>unmodified</status>
      <modifiedWord/>
      <trackRevisions>false</trackRevisions>
    </reviewItem>
    <reviewItem>
      <errorID>0d5fb765-1a08-4238-a987-3a4e4b54ccdf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6308079B</paraID>
      <start>0</start>
      <end>2</end>
      <status>unmodified</status>
      <modifiedWord/>
      <trackRevisions>false</trackRevisions>
    </reviewItem>
    <reviewItem>
      <errorID>b46a83e9-e8b5-49db-97ee-251d71cc91c9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4618A046</paraID>
      <start>0</start>
      <end>2</end>
      <status>unmodified</status>
      <modifiedWord/>
      <trackRevisions>false</trackRevisions>
    </reviewItem>
    <reviewItem>
      <errorID>18a7f435-e65d-44a7-8135-230cb28ed164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39C9648A</paraID>
      <start>0</start>
      <end>2</end>
      <status>unmodified</status>
      <modifiedWord/>
      <trackRevisions>false</trackRevisions>
    </reviewItem>
    <reviewItem>
      <errorID>d0f43caf-dd51-4d36-8c86-2f7e16094f74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120BD845</paraID>
      <start>0</start>
      <end>2</end>
      <status>unmodified</status>
      <modifiedWord/>
      <trackRevisions>false</trackRevisions>
    </reviewItem>
    <reviewItem>
      <errorID>e214647d-af20-45f0-a21e-a51444672e8c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149B9003</paraID>
      <start>0</start>
      <end>2</end>
      <status>unmodified</status>
      <modifiedWord/>
      <trackRevisions>false</trackRevisions>
    </reviewItem>
    <reviewItem>
      <errorID>a860cbbf-d559-42ae-856f-48069383d31e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2EF0731F</paraID>
      <start>0</start>
      <end>2</end>
      <status>unmodified</status>
      <modifiedWord/>
      <trackRevisions>false</trackRevisions>
    </reviewItem>
    <reviewItem>
      <errorID>52c9cdc4-6045-41d4-9b02-7b8392215191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597D304C</paraID>
      <start>0</start>
      <end>2</end>
      <status>unmodified</status>
      <modifiedWord/>
      <trackRevisions>false</trackRevisions>
    </reviewItem>
    <reviewItem>
      <errorID>5c5e4476-450c-4bbc-ae92-8f4abd56b112</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 B4D6B1C</paraID>
      <start>64</start>
      <end>66</end>
      <status>unmodified</status>
      <modifiedWord/>
      <trackRevisions>false</trackRevisions>
    </reviewItem>
    <reviewItem>
      <errorID>4fde844c-9534-483f-9aa7-8d478210821d</errorID>
      <errorWord>基金基金</errorWord>
      <group>L1_Word</group>
      <groupName>字词问题</groupName>
      <ability>L2_Typo</ability>
      <abilityName>字词错误</abilityName>
      <candidateList>
        <item>基金</item>
      </candidateList>
      <explain/>
      <paraID>5FB070E5</paraID>
      <start>14</start>
      <end>18</end>
      <status>unmodified</status>
      <modifiedWord/>
      <trackRevisions>false</trackRevisions>
    </reviewItem>
    <reviewItem>
      <errorID>16f620e6-454d-4eb7-b5e7-7a8d6e1e8476</errorID>
      <errorWord>台湾地区</errorWord>
      <group>L1_Word</group>
      <groupName>字词问题</groupName>
      <ability>L2_Typo</ability>
      <abilityName>字词错误</abilityName>
      <candidateList>
        <item>中国台湾地区</item>
      </candidateList>
      <explain/>
      <paraID>5FB070E5</paraID>
      <start>43</start>
      <end>47</end>
      <status>unmodified</status>
      <modifiedWord/>
      <trackRevisions>false</trackRevisions>
    </reviewItem>
    <reviewItem>
      <errorID>313162d1-773b-457e-b528-600b32c24df0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40F6CFE4</paraID>
      <start>0</start>
      <end>2</end>
      <status>unmodified</status>
      <modifiedWord/>
      <trackRevisions>false</trackRevisions>
    </reviewItem>
    <reviewItem>
      <errorID>77ee9d02-f0f1-4a39-a719-8b8ab907ed69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579232DF</paraID>
      <start>0</start>
      <end>2</end>
      <status>unmodified</status>
      <modifiedWord/>
      <trackRevisions>false</trackRevisions>
    </reviewItem>
    <reviewItem>
      <errorID>6a62c008-7811-4ce0-94ac-115c0752b9ab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1EB67512</paraID>
      <start>0</start>
      <end>2</end>
      <status>unmodified</status>
      <modifiedWord/>
      <trackRevisions>false</trackRevisions>
    </reviewItem>
    <reviewItem>
      <errorID>18df3804-29a3-4490-a80a-fc3243dc801e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58B60822</paraID>
      <start>0</start>
      <end>2</end>
      <status>unmodified</status>
      <modifiedWord/>
      <trackRevisions>false</trackRevisions>
    </reviewItem>
    <reviewItem>
      <errorID>80da8c14-d2e3-4161-8620-fd036837e8d5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5A62DCF6</paraID>
      <start>0</start>
      <end>2</end>
      <status>unmodified</status>
      <modifiedWord/>
      <trackRevisions>false</trackRevisions>
    </reviewItem>
    <reviewItem>
      <errorID>b5aa9d10-780c-474b-b69a-9ae6f39a6184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3490AD1C</paraID>
      <start>0</start>
      <end>2</end>
      <status>unmodified</status>
      <modifiedWord/>
      <trackRevisions>false</trackRevisions>
    </reviewItem>
    <reviewItem>
      <errorID>ebcab140-03c3-49ce-b544-31341c0823bf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3490AD1C</paraID>
      <start>8</start>
      <end>11</end>
      <status>unmodified</status>
      <modifiedWord/>
      <trackRevisions>false</trackRevisions>
    </reviewItem>
    <reviewItem>
      <errorID>caccbdd5-6590-4a65-9aac-af3ca4c59334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1CB2CB1F</paraID>
      <start>0</start>
      <end>2</end>
      <status>unmodified</status>
      <modifiedWord/>
      <trackRevisions>false</trackRevisions>
    </reviewItem>
    <reviewItem>
      <errorID>e4eeb115-79b3-4c2a-90b3-f1674b68dccf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1CB2CB1F</paraID>
      <start>8</start>
      <end>11</end>
      <status>unmodified</status>
      <modifiedWord/>
      <trackRevisions>false</trackRevisions>
    </reviewItem>
    <reviewItem>
      <errorID>4243f36f-cfd1-4bbe-8f87-c8156956b666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74D27E55</paraID>
      <start>0</start>
      <end>2</end>
      <status>unmodified</status>
      <modifiedWord/>
      <trackRevisions>false</trackRevisions>
    </reviewItem>
    <reviewItem>
      <errorID>d89d3264-ac3d-44ae-a635-051544e89d42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74D27E55</paraID>
      <start>8</start>
      <end>11</end>
      <status>unmodified</status>
      <modifiedWord/>
      <trackRevisions>false</trackRevisions>
    </reviewItem>
    <reviewItem>
      <errorID>40ccb5f5-f2b8-4c04-8512-fb177372ff96</errorID>
      <errorWord>法律、法规</errorWord>
      <group>L1_Word</group>
      <groupName>字词问题</groupName>
      <ability>L2_Typo</ability>
      <abilityName>字词错误</abilityName>
      <candidateList>
        <item>法律法规</item>
      </candidateList>
      <explain/>
      <paraID>52A135D8</paraID>
      <start>9</start>
      <end>14</end>
      <status>unmodified</status>
      <modifiedWord/>
      <trackRevisions>false</trackRevisions>
    </reviewItem>
    <reviewItem>
      <errorID>a9aed07f-95bd-4bb9-818b-be13951ae82f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2349DDB0</paraID>
      <start>0</start>
      <end>2</end>
      <status>unmodified</status>
      <modifiedWord/>
      <trackRevisions>false</trackRevisions>
    </reviewItem>
    <reviewItem>
      <errorID>1b9b5eea-92e3-4554-b3f1-c746306a3dc9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2349DDB0</paraID>
      <start>8</start>
      <end>11</end>
      <status>unmodified</status>
      <modifiedWord/>
      <trackRevisions>false</trackRevisions>
    </reviewItem>
    <reviewItem>
      <errorID>41298904-5154-4ddb-a444-72f48d376aa9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16A10033</paraID>
      <start>10</start>
      <end>13</end>
      <status>unmodified</status>
      <modifiedWord/>
      <trackRevisions>false</trackRevisions>
    </reviewItem>
    <reviewItem>
      <errorID>829933e7-15d3-48b4-8a0f-dcf86d49d7b3</errorID>
      <errorWord>，</errorWord>
      <group>L1_Word</group>
      <groupName>字词问题</groupName>
      <ability>L2_Typo</ability>
      <abilityName>字词错误</abilityName>
      <candidateList>
        <item>，并</item>
      </candidateList>
      <explain/>
      <paraID>199BFC82</paraID>
      <start>51</start>
      <end>52</end>
      <status>unmodified</status>
      <modifiedWord/>
      <trackRevisions>false</trackRevisions>
    </reviewItem>
    <reviewItem>
      <errorID>aaf38145-d6bc-40f2-81f5-a747ff13a1bb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1BE4973C</paraID>
      <start>12</start>
      <end>15</end>
      <status>unmodified</status>
      <modifiedWord/>
      <trackRevisions>false</trackRevisions>
    </reviewItem>
    <reviewItem>
      <errorID>f2768715-0c82-4452-91d5-5769f4082a31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2B8AA0CE</paraID>
      <start>34</start>
      <end>37</end>
      <status>unmodified</status>
      <modifiedWord/>
      <trackRevisions>false</trackRevisions>
    </reviewItem>
    <reviewItem>
      <errorID>dbc74531-8154-4f0a-8804-3ea9beaf94e7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5AD88087</paraID>
      <start>10</start>
      <end>13</end>
      <status>unmodified</status>
      <modifiedWord/>
      <trackRevisions>false</trackRevisions>
    </reviewItem>
    <reviewItem>
      <errorID>037d2661-a70e-4c9d-b326-ba8c046c1566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4881D827</paraID>
      <start>0</start>
      <end>2</end>
      <status>unmodified</status>
      <modifiedWord/>
      <trackRevisions>false</trackRevisions>
    </reviewItem>
    <reviewItem>
      <errorID>8e86f292-ddcf-46e4-8d53-e84e58c40824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4881D827</paraID>
      <start>8</start>
      <end>11</end>
      <status>unmodified</status>
      <modifiedWord/>
      <trackRevisions>false</trackRevisions>
    </reviewItem>
    <reviewItem>
      <errorID>be86f772-91dd-46c2-8145-1bda43366405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3D3660CD</paraID>
      <start>0</start>
      <end>2</end>
      <status>unmodified</status>
      <modifiedWord/>
      <trackRevisions>false</trackRevisions>
    </reviewItem>
    <reviewItem>
      <errorID>ef667a27-7623-4fc9-a64f-8b1e317d3e52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3D3660CD</paraID>
      <start>8</start>
      <end>11</end>
      <status>unmodified</status>
      <modifiedWord/>
      <trackRevisions>false</trackRevisions>
    </reviewItem>
    <reviewItem>
      <errorID>0feb9a57-dd7c-4f34-be9c-de28b4e4768c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6790D44E</paraID>
      <start>10</start>
      <end>13</end>
      <status>unmodified</status>
      <modifiedWord/>
      <trackRevisions>false</trackRevisions>
    </reviewItem>
    <reviewItem>
      <errorID>fbd19627-70f1-46e0-b513-8e252498a852</errorID>
      <errorWord>,</errorWord>
      <group>L1_Format</group>
      <groupName>格式问题</groupName>
      <ability>L2_HalfPunc</ability>
      <abilityName>全半角检查</abilityName>
      <candidateList>
        <item>，</item>
      </candidateList>
      <explain>文本全半角错误。</explain>
      <paraID> 1AE3AC6</paraID>
      <start>34</start>
      <end>35</end>
      <status>unmodified</status>
      <modifiedWord/>
      <trackRevisions>false</trackRevisions>
    </reviewItem>
    <reviewItem>
      <errorID>08e07217-460d-418a-8672-bb45ba1bbb38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141163B2</paraID>
      <start>17</start>
      <end>20</end>
      <status>unmodified</status>
      <modifiedWord/>
      <trackRevisions>false</trackRevisions>
    </reviewItem>
    <reviewItem>
      <errorID>077bfa0e-6910-4e6a-a6f3-ad2185623c74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41BB4427</paraID>
      <start>10</start>
      <end>13</end>
      <status>unmodified</status>
      <modifiedWord/>
      <trackRevisions>false</trackRevisions>
    </reviewItem>
    <reviewItem>
      <errorID>bf5432a3-cf17-40ed-8805-52bb6bf112c7</errorID>
      <errorWord>基金基金</errorWord>
      <group>L1_Word</group>
      <groupName>字词问题</groupName>
      <ability>L2_Typo</ability>
      <abilityName>字词错误</abilityName>
      <candidateList>
        <item>基金</item>
      </candidateList>
      <explain/>
      <paraID>41F84C55</paraID>
      <start>1</start>
      <end>5</end>
      <status>unmodified</status>
      <modifiedWord/>
      <trackRevisions>false</trackRevisions>
    </reviewItem>
    <reviewItem>
      <errorID>ce0bb46c-c84a-487f-a011-6a29f3c63ef1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D7D28E7</paraID>
      <start>0</start>
      <end>2</end>
      <status>unmodified</status>
      <modifiedWord/>
      <trackRevisions>false</trackRevisions>
    </reviewItem>
    <reviewItem>
      <errorID>d25a6a74-63e2-4e8f-ab77-c28b791a373f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1DF09981</paraID>
      <start>0</start>
      <end>2</end>
      <status>unmodified</status>
      <modifiedWord/>
      <trackRevisions>false</trackRevisions>
    </reviewItem>
    <reviewItem>
      <errorID>af2c8a28-1e9c-4508-bd52-46d0c584f7bc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A6A57FD</paraID>
      <start>0</start>
      <end>2</end>
      <status>unmodified</status>
      <modifiedWord/>
      <trackRevisions>false</trackRevisions>
    </reviewItem>
    <reviewItem>
      <errorID>e8734c43-d07b-420d-ac53-c93d6f621428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2CBE29ED</paraID>
      <start>0</start>
      <end>2</end>
      <status>unmodified</status>
      <modifiedWord/>
      <trackRevisions>false</trackRevisions>
    </reviewItem>
    <reviewItem>
      <errorID>1cf112e4-439e-4cfa-92a0-ab8e02b3e4f0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165B3899</paraID>
      <start>0</start>
      <end>2</end>
      <status>unmodified</status>
      <modifiedWord/>
      <trackRevisions>false</trackRevisions>
    </reviewItem>
    <reviewItem>
      <errorID>8c8ec8cf-79ec-4e60-8191-168067d95a89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449714B5</paraID>
      <start>0</start>
      <end>2</end>
      <status>unmodified</status>
      <modifiedWord/>
      <trackRevisions>false</trackRevisions>
    </reviewItem>
    <reviewItem>
      <errorID>ed551ed0-a466-4f05-b2ec-d2da71402150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73023666</paraID>
      <start>0</start>
      <end>2</end>
      <status>unmodified</status>
      <modifiedWord/>
      <trackRevisions>false</trackRevisions>
    </reviewItem>
    <reviewItem>
      <errorID>b092abf1-fbe3-4fbb-9f77-262e73ee624d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36EDCE4F</paraID>
      <start>0</start>
      <end>2</end>
      <status>unmodified</status>
      <modifiedWord/>
      <trackRevisions>false</trackRevisions>
    </reviewItem>
    <reviewItem>
      <errorID>a72ef932-1535-4683-9a4f-144fbbccfd77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7D06DBD7</paraID>
      <start>0</start>
      <end>2</end>
      <status>unmodified</status>
      <modifiedWord/>
      <trackRevisions>false</trackRevisions>
    </reviewItem>
    <reviewItem>
      <errorID>a4962cfc-9ecd-40f6-a80a-b5521fa8d575</errorID>
      <errorWord>、</errorWord>
      <group>L1_Word</group>
      <groupName>字词问题</groupName>
      <ability>L2_Typo</ability>
      <abilityName>字词错误</abilityName>
      <candidateList>
        <item>、在</item>
      </candidateList>
      <explain/>
      <paraID>557930BF</paraID>
      <start>1</start>
      <end>2</end>
      <status>unmodified</status>
      <modifiedWord/>
      <trackRevisions>false</trackRevisions>
    </reviewItem>
    <reviewItem>
      <errorID>e89a38b9-e5fa-4a81-ad26-f21694353115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254FFE95</paraID>
      <start>0</start>
      <end>2</end>
      <status>unmodified</status>
      <modifiedWord/>
      <trackRevisions>false</trackRevisions>
    </reviewItem>
    <reviewItem>
      <errorID>fb9a5e07-a38e-4729-bd75-57e99608ef27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1DB56386</paraID>
      <start>0</start>
      <end>2</end>
      <status>unmodified</status>
      <modifiedWord/>
      <trackRevisions>false</trackRevisions>
    </reviewItem>
    <reviewItem>
      <errorID>2bbe064d-d3ee-498b-9d11-147b6792fada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275BDAEF</paraID>
      <start>0</start>
      <end>2</end>
      <status>unmodified</status>
      <modifiedWord/>
      <trackRevisions>false</trackRevisions>
    </reviewItem>
    <reviewItem>
      <errorID>8c40df56-454b-4156-ae98-6e420c72c841</errorID>
      <errorWord>以前</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275BDAEF</paraID>
      <start>53</start>
      <end>55</end>
      <status>unmodified</status>
      <modifiedWord/>
      <trackRevisions>false</trackRevisions>
    </reviewItem>
    <reviewItem>
      <errorID>1c152ac6-3832-45b2-a72b-9f80f5d6850c</errorID>
      <errorWord>送达至</errorWord>
      <group>L1_Word</group>
      <groupName>字词问题</groupName>
      <ability>L2_Typo</ability>
      <abilityName>字词错误</abilityName>
      <candidateList>
        <item>送达</item>
      </candidateList>
      <explain/>
      <paraID>275BDAEF</paraID>
      <start>55</start>
      <end>58</end>
      <status>unmodified</status>
      <modifiedWord/>
      <trackRevisions>false</trackRevisions>
    </reviewItem>
    <reviewItem>
      <errorID>51824c9c-3af3-4693-8995-4b39ac5ae5b2</errorID>
      <errorWord>公布</errorWord>
      <group>L1_Word</group>
      <groupName>字词问题</groupName>
      <ability>L2_Typo</ability>
      <abilityName>字词错误</abilityName>
      <candidateList>
        <item>发布</item>
      </candidateList>
      <explain>“公布～公告”搭配不当，建议修改为“发布～公告”。</explain>
      <paraID> CB0F607</paraID>
      <start>34</start>
      <end>36</end>
      <status>unmodified</status>
      <modifiedWord/>
      <trackRevisions>false</trackRevisions>
    </reviewItem>
    <reviewItem>
      <errorID>7a26a083-4dfa-490c-8071-7d6fc4958bd8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4A0C97AB</paraID>
      <start>0</start>
      <end>2</end>
      <status>unmodified</status>
      <modifiedWord/>
      <trackRevisions>false</trackRevisions>
    </reviewItem>
    <reviewItem>
      <errorID>96411289-63ba-40ad-b423-cbc0070035e7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60236A17</paraID>
      <start>0</start>
      <end>2</end>
      <status>unmodified</status>
      <modifiedWord/>
      <trackRevisions>false</trackRevisions>
    </reviewItem>
    <reviewItem>
      <errorID>14c134d0-fdb2-42ff-866f-1ca50195219a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12668531</paraID>
      <start>0</start>
      <end>2</end>
      <status>unmodified</status>
      <modifiedWord/>
      <trackRevisions>false</trackRevisions>
    </reviewItem>
    <reviewItem>
      <errorID>07dcfe7d-93a0-4f1c-b9bb-f8987d1cbc87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4F7F6D5</paraID>
      <start>0</start>
      <end>2</end>
      <status>unmodified</status>
      <modifiedWord/>
      <trackRevisions>false</trackRevisions>
    </reviewItem>
    <reviewItem>
      <errorID>e2a7c487-48aa-4779-b579-183bd57fecbd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76F98A57</paraID>
      <start>0</start>
      <end>2</end>
      <status>unmodified</status>
      <modifiedWord/>
      <trackRevisions>false</trackRevisions>
    </reviewItem>
    <reviewItem>
      <errorID>1ec92d2c-1498-4fb6-b054-052af8cd746c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5E3D1A46</paraID>
      <start>0</start>
      <end>2</end>
      <status>unmodified</status>
      <modifiedWord/>
      <trackRevisions>false</trackRevisions>
    </reviewItem>
    <reviewItem>
      <errorID>61433c01-8b43-4809-abb3-9d171c75ccaa</errorID>
      <errorWord>表面</errorWord>
      <group>L1_Word</group>
      <groupName>字词问题</groupName>
      <ability>L2_Typo</ability>
      <abilityName>字词错误</abilityName>
      <candidateList>
        <item>表明</item>
      </candidateList>
      <explain/>
      <paraID>6B4ADADB</paraID>
      <start>66</start>
      <end>68</end>
      <status>unmodified</status>
      <modifiedWord/>
      <trackRevisions>false</trackRevisions>
    </reviewItem>
    <reviewItem>
      <errorID>23109953-a1cd-4ff9-8d51-cd640f3d4257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370616C6</paraID>
      <start>0</start>
      <end>2</end>
      <status>unmodified</status>
      <modifiedWord/>
      <trackRevisions>false</trackRevisions>
    </reviewItem>
    <reviewItem>
      <errorID>740ed7ce-3465-4410-b737-37609406454b</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7FA4881C</paraID>
      <start>132</start>
      <end>134</end>
      <status>unmodified</status>
      <modifiedWord/>
      <trackRevisions>false</trackRevisions>
    </reviewItem>
    <reviewItem>
      <errorID>9ae62e7a-72b4-447b-a832-3b9ae647e743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28377136</paraID>
      <start>22</start>
      <end>24</end>
      <status>unmodified</status>
      <modifiedWord/>
      <trackRevisions>false</trackRevisions>
    </reviewItem>
    <reviewItem>
      <errorID>be47d1c1-bc50-4740-8e90-baa3cd418c27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5A38F0EE</paraID>
      <start>0</start>
      <end>2</end>
      <status>unmodified</status>
      <modifiedWord/>
      <trackRevisions>false</trackRevisions>
    </reviewItem>
    <reviewItem>
      <errorID>1b4b5da0-8271-41f7-ba80-ad898ef6e3ad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4D3B390B</paraID>
      <start>0</start>
      <end>2</end>
      <status>unmodified</status>
      <modifiedWord/>
      <trackRevisions>false</trackRevisions>
    </reviewItem>
    <reviewItem>
      <errorID>97f94011-456e-4c83-a329-0bbf256bd064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74084AF0</paraID>
      <start>0</start>
      <end>2</end>
      <status>unmodified</status>
      <modifiedWord/>
      <trackRevisions>false</trackRevisions>
    </reviewItem>
    <reviewItem>
      <errorID>83639de9-c589-4760-a59b-c8c4b8264d9c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7D2FC142</paraID>
      <start>0</start>
      <end>2</end>
      <status>unmodified</status>
      <modifiedWord/>
      <trackRevisions>false</trackRevisions>
    </reviewItem>
    <reviewItem>
      <errorID>b9daf707-be30-4e43-96ae-6a2cda8bdf01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2C160CB8</paraID>
      <start>0</start>
      <end>2</end>
      <status>unmodified</status>
      <modifiedWord/>
      <trackRevisions>false</trackRevisions>
    </reviewItem>
    <reviewItem>
      <errorID>b0abfd05-41da-4ce4-8967-a8a5fec6db1a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64F2BF8A</paraID>
      <start>0</start>
      <end>2</end>
      <status>unmodified</status>
      <modifiedWord/>
      <trackRevisions>false</trackRevisions>
    </reviewItem>
    <reviewItem>
      <errorID>55e28857-13de-4103-ac7d-21b6efd82a47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4FAB0306</paraID>
      <start>0</start>
      <end>2</end>
      <status>unmodified</status>
      <modifiedWord/>
      <trackRevisions>false</trackRevisions>
    </reviewItem>
    <reviewItem>
      <errorID>ae350e8a-68da-4645-ace2-5b79350f6881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6E9FDA9D</paraID>
      <start>0</start>
      <end>2</end>
      <status>unmodified</status>
      <modifiedWord/>
      <trackRevisions>false</trackRevisions>
    </reviewItem>
    <reviewItem>
      <errorID>495ae174-4d8e-4904-bf0e-c25f0206ac20</errorID>
      <errorWord>基金基金</errorWord>
      <group>L1_Word</group>
      <groupName>字词问题</groupName>
      <ability>L2_Typo</ability>
      <abilityName>字词错误</abilityName>
      <candidateList>
        <item>基金</item>
      </candidateList>
      <explain/>
      <paraID>6601EBB3</paraID>
      <start>77</start>
      <end>81</end>
      <status>unmodified</status>
      <modifiedWord/>
      <trackRevisions>false</trackRevisions>
    </reviewItem>
    <reviewItem>
      <errorID>467834ef-49e9-469b-b952-fe8567f566b8</errorID>
      <errorWord>基金基金</errorWord>
      <group>L1_Word</group>
      <groupName>字词问题</groupName>
      <ability>L2_Typo</ability>
      <abilityName>字词错误</abilityName>
      <candidateList>
        <item>基金</item>
      </candidateList>
      <explain/>
      <paraID>6601EBB3</paraID>
      <start>172</start>
      <end>176</end>
      <status>unmodified</status>
      <modifiedWord/>
      <trackRevisions>false</trackRevisions>
    </reviewItem>
    <reviewItem>
      <errorID>cd993a46-b799-4a03-8ff9-e089684d77d5</errorID>
      <errorWord>，</errorWord>
      <group>L1_Word</group>
      <groupName>字词问题</groupName>
      <ability>L2_Typo</ability>
      <abilityName>字词错误</abilityName>
      <candidateList>
        <item>，在</item>
      </candidateList>
      <explain/>
      <paraID>72BC202B</paraID>
      <start>86</start>
      <end>87</end>
      <status>unmodified</status>
      <modifiedWord/>
      <trackRevisions>false</trackRevisions>
    </reviewItem>
    <reviewItem>
      <errorID>b16b35dc-f16c-454b-871c-f64b186d54cd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4090015B</paraID>
      <start>0</start>
      <end>2</end>
      <status>unmodified</status>
      <modifiedWord/>
      <trackRevisions>false</trackRevisions>
    </reviewItem>
    <reviewItem>
      <errorID>4bc3b797-5e24-44f2-a8e1-d476e532d48e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6F90C5F7</paraID>
      <start>0</start>
      <end>2</end>
      <status>unmodified</status>
      <modifiedWord/>
      <trackRevisions>false</trackRevisions>
    </reviewItem>
    <reviewItem>
      <errorID>ee777cd5-e81a-4741-8a73-3705bd598a10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200780A1</paraID>
      <start>0</start>
      <end>2</end>
      <status>unmodified</status>
      <modifiedWord/>
      <trackRevisions>false</trackRevisions>
    </reviewItem>
    <reviewItem>
      <errorID>cdef8baa-06fb-4f47-ba63-a86a24b52765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5ADE698B</paraID>
      <start>0</start>
      <end>2</end>
      <status>unmodified</status>
      <modifiedWord/>
      <trackRevisions>false</trackRevisions>
    </reviewItem>
    <reviewItem>
      <errorID>5c9502f9-7499-42bb-9a1f-efa9c2dae7c9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2183D729</paraID>
      <start>0</start>
      <end>2</end>
      <status>unmodified</status>
      <modifiedWord/>
      <trackRevisions>false</trackRevisions>
    </reviewItem>
    <reviewItem>
      <errorID>1ae519a5-aece-44c0-9f52-e07f1540172c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4C8D11D2</paraID>
      <start>16</start>
      <end>18</end>
      <status>unmodified</status>
      <modifiedWord/>
      <trackRevisions>false</trackRevisions>
    </reviewItem>
    <reviewItem>
      <errorID>382e3ec6-aab7-4c8a-966e-814c2d3d2c89</errorID>
      <errorWord>，</errorWord>
      <group>L1_Word</group>
      <groupName>字词问题</groupName>
      <ability>L2_Typo</ability>
      <abilityName>字词错误</abilityName>
      <candidateList>
        <item>，并</item>
      </candidateList>
      <explain/>
      <paraID>6638D398</paraID>
      <start>27</start>
      <end>28</end>
      <status>unmodified</status>
      <modifiedWord/>
      <trackRevisions>false</trackRevisions>
    </reviewItem>
    <reviewItem>
      <errorID>6e895006-bcef-4dce-b627-1fff1cef2c7a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4FAC0282</paraID>
      <start>0</start>
      <end>2</end>
      <status>unmodified</status>
      <modifiedWord/>
      <trackRevisions>false</trackRevisions>
    </reviewItem>
    <reviewItem>
      <errorID>af97f7fb-b0b7-4624-a2ee-e22b230668f5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14E914FD</paraID>
      <start>0</start>
      <end>2</end>
      <status>unmodified</status>
      <modifiedWord/>
      <trackRevisions>false</trackRevisions>
    </reviewItem>
    <reviewItem>
      <errorID>6a0ae0de-cee1-421f-924b-cb183c24d9bb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4CD6E6A1</paraID>
      <start>0</start>
      <end>2</end>
      <status>unmodified</status>
      <modifiedWord/>
      <trackRevisions>false</trackRevisions>
    </reviewItem>
    <reviewItem>
      <errorID>b59fe6be-7a03-426f-b824-b45492c6e261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6B5A9B95</paraID>
      <start>0</start>
      <end>2</end>
      <status>unmodified</status>
      <modifiedWord/>
      <trackRevisions>false</trackRevisions>
    </reviewItem>
    <reviewItem>
      <errorID>5a5e3600-ce2b-467e-85c1-687a44932444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E0F8EF4</paraID>
      <start>0</start>
      <end>2</end>
      <status>unmodified</status>
      <modifiedWord/>
      <trackRevisions>false</trackRevisions>
    </reviewItem>
    <reviewItem>
      <errorID>a6e48807-b41e-4233-9384-a9e07dd708b9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5EBE8CE</paraID>
      <start>0</start>
      <end>2</end>
      <status>unmodified</status>
      <modifiedWord/>
      <trackRevisions>false</trackRevisions>
    </reviewItem>
    <reviewItem>
      <errorID>30c7d1f8-49ee-477a-bf0d-d45a836ed28a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464EE939</paraID>
      <start>0</start>
      <end>2</end>
      <status>unmodified</status>
      <modifiedWord/>
      <trackRevisions>false</trackRevisions>
    </reviewItem>
    <reviewItem>
      <errorID>aff17f7e-14a6-4242-87b5-d7ce68763f64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5C5606FF</paraID>
      <start>0</start>
      <end>2</end>
      <status>unmodified</status>
      <modifiedWord/>
      <trackRevisions>false</trackRevisions>
    </reviewItem>
    <reviewItem>
      <errorID>d0e29e13-e7b9-4dc8-99ee-4657b2fbea4a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6B5755ED</paraID>
      <start>0</start>
      <end>2</end>
      <status>unmodified</status>
      <modifiedWord/>
      <trackRevisions>false</trackRevisions>
    </reviewItem>
    <reviewItem>
      <errorID>73b59b68-b020-4d25-9b95-85f20795c55b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10885784</paraID>
      <start>0</start>
      <end>3</end>
      <status>unmodified</status>
      <modifiedWord/>
      <trackRevisions>false</trackRevisions>
    </reviewItem>
    <reviewItem>
      <errorID>fa54e396-3f36-4e67-b5cb-79a509a16495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59922484</paraID>
      <start>0</start>
      <end>3</end>
      <status>unmodified</status>
      <modifiedWord/>
      <trackRevisions>false</trackRevisions>
    </reviewItem>
    <reviewItem>
      <errorID>90df7f96-6b7e-42c9-8c5d-f04a13891e79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568FB352</paraID>
      <start>0</start>
      <end>3</end>
      <status>unmodified</status>
      <modifiedWord/>
      <trackRevisions>false</trackRevisions>
    </reviewItem>
    <reviewItem>
      <errorID>a2a63c72-2719-4d9d-a64a-edfd654ca767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484281DE</paraID>
      <start>0</start>
      <end>2</end>
      <status>unmodified</status>
      <modifiedWord/>
      <trackRevisions>false</trackRevisions>
    </reviewItem>
    <reviewItem>
      <errorID>d201eaa1-a250-4a9c-b302-f537cb5d865f</errorID>
      <errorWord>基金基金</errorWord>
      <group>L1_Word</group>
      <groupName>字词问题</groupName>
      <ability>L2_Typo</ability>
      <abilityName>字词错误</abilityName>
      <candidateList>
        <item>基金</item>
      </candidateList>
      <explain/>
      <paraID>3A7D09E0</paraID>
      <start>1</start>
      <end>5</end>
      <status>unmodified</status>
      <modifiedWord/>
      <trackRevisions>false</trackRevisions>
    </reviewItem>
    <reviewItem>
      <errorID>5b875476-4222-4249-a6ee-a1f86452c3a2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1DE451D</paraID>
      <start>0</start>
      <end>2</end>
      <status>unmodified</status>
      <modifiedWord/>
      <trackRevisions>false</trackRevisions>
    </reviewItem>
    <reviewItem>
      <errorID>c0fa6527-e743-45a4-ae43-272c70ae16de</errorID>
      <errorWord>基金基金</errorWord>
      <group>L1_Word</group>
      <groupName>字词问题</groupName>
      <ability>L2_Typo</ability>
      <abilityName>字词错误</abilityName>
      <candidateList>
        <item>基金</item>
      </candidateList>
      <explain/>
      <paraID>470E12E5</paraID>
      <start>1</start>
      <end>5</end>
      <status>unmodified</status>
      <modifiedWord/>
      <trackRevisions>false</trackRevisions>
    </reviewItem>
    <reviewItem>
      <errorID>3cab73e0-e5eb-41d2-95bc-9091dd393414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53B73B7A</paraID>
      <start>0</start>
      <end>2</end>
      <status>unmodified</status>
      <modifiedWord/>
      <trackRevisions>false</trackRevisions>
    </reviewItem>
    <reviewItem>
      <errorID>07280a84-c038-4128-9e3c-a2dcfe52a26a</errorID>
      <errorWord>，</errorWord>
      <group>L1_Word</group>
      <groupName>字词问题</groupName>
      <ability>L2_Typo</ability>
      <abilityName>字词错误</abilityName>
      <candidateList>
        <item>，由</item>
      </candidateList>
      <explain/>
      <paraID> F1B39DC</paraID>
      <start>79</start>
      <end>80</end>
      <status>unmodified</status>
      <modifiedWord/>
      <trackRevisions>false</trackRevisions>
    </reviewItem>
    <reviewItem>
      <errorID>17ede3d2-b9c2-4a3d-a522-83701e6dc372</errorID>
      <errorWord>（</errorWord>
      <group>L1_Punc</group>
      <groupName>标点问题</groupName>
      <ability>L2_Punc</ability>
      <abilityName>标点符号检查</abilityName>
      <candidateList/>
      <explain>同一形式括号套用。</explain>
      <paraID>4947AEB7</paraID>
      <start>168</start>
      <end>169</end>
      <status>unmodified</status>
      <modifiedWord/>
      <trackRevisions>false</trackRevisions>
    </reviewItem>
    <reviewItem>
      <errorID>4651e897-e23b-4249-b53f-87d80e978da5</errorID>
      <errorWord>）</errorWord>
      <group>L1_Punc</group>
      <groupName>标点问题</groupName>
      <ability>L2_Punc</ability>
      <abilityName>标点符号检查</abilityName>
      <candidateList/>
      <explain>同一形式括号套用。</explain>
      <paraID>4947AEB7</paraID>
      <start>177</start>
      <end>178</end>
      <status>unmodified</status>
      <modifiedWord/>
      <trackRevisions>false</trackRevisions>
    </reviewItem>
    <reviewItem>
      <errorID>8da230dc-7ce3-4c64-8f86-802e155a89f1</errorID>
      <errorWord>5%-20%</errorWord>
      <group>L1_Knowledge</group>
      <groupName>知识性问题</groupName>
      <ability>L2_Knowledge</ability>
      <abilityName>其他知识</abilityName>
      <candidateList>
        <item>5%—20%</item>
      </candidateList>
      <explain>1. “5%-20%”中的单位“%”仅出现在后一个数字上，容易引起歧义；根据《现代汉语标点符号数字用法规范手册》，数字表示范围两边需要使用统一的格式。2. 根据标点国标 4.13 中的规则，数字、时间或地域连接符应使用（视觉上更长的）“—”或“～”。</explain>
      <paraID>37FC1D0F</paraID>
      <start>113</start>
      <end>119</end>
      <status>unmodified</status>
      <modifiedWord/>
      <trackRevisions>false</trackRevisions>
    </reviewItem>
    <reviewItem>
      <errorID>938ecc5d-e460-43be-9843-941c268a432a</errorID>
      <errorWord>(</errorWord>
      <group>L1_Format</group>
      <groupName>格式问题</groupName>
      <ability>L2_HalfPunc</ability>
      <abilityName>全半角检查</abilityName>
      <candidateList>
        <item>（</item>
      </candidateList>
      <explain>文本全半角错误。</explain>
      <paraID>37FC1D0F</paraID>
      <start>129</start>
      <end>130</end>
      <status>unmodified</status>
      <modifiedWord/>
      <trackRevisions>false</trackRevisions>
    </reviewItem>
    <reviewItem>
      <errorID>88b3aeb8-8cf2-4939-ae45-31566f8d64bf</errorID>
      <errorWord>)</errorWord>
      <group>L1_Format</group>
      <groupName>格式问题</groupName>
      <ability>L2_HalfPunc</ability>
      <abilityName>全半角检查</abilityName>
      <candidateList>
        <item>）</item>
      </candidateList>
      <explain>文本全半角错误。</explain>
      <paraID>37FC1D0F</paraID>
      <start>139</start>
      <end>140</end>
      <status>unmodified</status>
      <modifiedWord/>
      <trackRevisions>false</trackRevisions>
    </reviewItem>
    <reviewItem>
      <errorID>e61bf79c-15c2-492f-b36b-99930c083ea6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43AF9F8B</paraID>
      <start>0</start>
      <end>2</end>
      <status>unmodified</status>
      <modifiedWord/>
      <trackRevisions>false</trackRevisions>
    </reviewItem>
    <reviewItem>
      <errorID>b0f1fa41-3b15-45d4-a440-e122c26f2186</errorID>
      <errorWord>5%-20%</errorWord>
      <group>L1_Knowledge</group>
      <groupName>知识性问题</groupName>
      <ability>L2_Knowledge</ability>
      <abilityName>其他知识</abilityName>
      <candidateList>
        <item>5%—20%</item>
      </candidateList>
      <explain>1. “5%-20%”中的单位“%”仅出现在后一个数字上，容易引起歧义；根据《现代汉语标点符号数字用法规范手册》，数字表示范围两边需要使用统一的格式。2. 根据标点国标 4.13 中的规则，数字、时间或地域连接符应使用（视觉上更长的）“—”或“～”。</explain>
      <paraID>649BDFF9</paraID>
      <start>105</start>
      <end>111</end>
      <status>unmodified</status>
      <modifiedWord/>
      <trackRevisions>false</trackRevisions>
    </reviewItem>
    <reviewItem>
      <errorID>bcabf4ed-36cd-4b49-a1b9-df4f137daa7c</errorID>
      <errorWord>(</errorWord>
      <group>L1_Format</group>
      <groupName>格式问题</groupName>
      <ability>L2_HalfPunc</ability>
      <abilityName>全半角检查</abilityName>
      <candidateList>
        <item>（</item>
      </candidateList>
      <explain>文本全半角错误。</explain>
      <paraID>649BDFF9</paraID>
      <start>121</start>
      <end>122</end>
      <status>unmodified</status>
      <modifiedWord/>
      <trackRevisions>false</trackRevisions>
    </reviewItem>
    <reviewItem>
      <errorID>ca67e301-a9df-4fb6-a52c-d7cf16801c95</errorID>
      <errorWord>)</errorWord>
      <group>L1_Format</group>
      <groupName>格式问题</groupName>
      <ability>L2_HalfPunc</ability>
      <abilityName>全半角检查</abilityName>
      <candidateList>
        <item>）</item>
      </candidateList>
      <explain>文本全半角错误。</explain>
      <paraID>649BDFF9</paraID>
      <start>131</start>
      <end>132</end>
      <status>unmodified</status>
      <modifiedWord/>
      <trackRevisions>false</trackRevisions>
    </reviewItem>
    <reviewItem>
      <errorID>6b1adf08-f536-4468-9303-61131479dda0</errorID>
      <errorWord>(</errorWord>
      <group>L1_Format</group>
      <groupName>格式问题</groupName>
      <ability>L2_HalfPunc</ability>
      <abilityName>全半角检查</abilityName>
      <candidateList>
        <item>（</item>
      </candidateList>
      <explain>文本全半角错误。</explain>
      <paraID>33187C5F</paraID>
      <start>11</start>
      <end>12</end>
      <status>unmodified</status>
      <modifiedWord/>
      <trackRevisions>false</trackRevisions>
    </reviewItem>
    <reviewItem>
      <errorID>aeaa61c8-ea55-4a50-806e-edd79bea97fa</errorID>
      <errorWord>)</errorWord>
      <group>L1_Format</group>
      <groupName>格式问题</groupName>
      <ability>L2_HalfPunc</ability>
      <abilityName>全半角检查</abilityName>
      <candidateList>
        <item>）</item>
      </candidateList>
      <explain>文本全半角错误。</explain>
      <paraID>33187C5F</paraID>
      <start>19</start>
      <end>20</end>
      <status>unmodified</status>
      <modifiedWord/>
      <trackRevisions>false</trackRevisions>
    </reviewItem>
    <reviewItem>
      <errorID>9b29266c-c55c-4678-b027-8a48708776b7</errorID>
      <errorWord>（12）、</errorWord>
      <group>L1_Punc</group>
      <groupName>标点问题</groupName>
      <ability>L2_Punc</ability>
      <abilityName>标点符号检查</abilityName>
      <candidateList>
        <item>（12）</item>
      </candidateList>
      <explain>根据国标GB/T 15834-2011《标点符号用法》中的4.5.3.3节，带括号的汉字数字或阿拉伯数字表次序时，后面通常不加顿号。如“（一）指导思想”“（二）行动指南”。</explain>
      <paraID>54BE8BFB</paraID>
      <start>8</start>
      <end>13</end>
      <status>unmodified</status>
      <modifiedWord/>
      <trackRevisions>false</trackRevisions>
    </reviewItem>
    <reviewItem>
      <errorID>77c49793-2193-408f-babb-84c4f3b190fb</errorID>
      <errorWord>（13）、</errorWord>
      <group>L1_Punc</group>
      <groupName>标点问题</groupName>
      <ability>L2_Punc</ability>
      <abilityName>标点符号检查</abilityName>
      <candidateList>
        <item>（13）</item>
      </candidateList>
      <explain>根据国标GB/T 15834-2011《标点符号用法》中的4.5.3.3节，带括号的汉字数字或阿拉伯数字表次序时，后面通常不加顿号。如“（一）指导思想”“（二）行动指南”。</explain>
      <paraID>54BE8BFB</paraID>
      <start>13</start>
      <end>18</end>
      <status>unmodified</status>
      <modifiedWord/>
      <trackRevisions>false</trackRevisions>
    </reviewItem>
    <reviewItem>
      <errorID>c81530ae-0afb-4c18-a5dd-21a519df11b4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2606AC88</paraID>
      <start>0</start>
      <end>2</end>
      <status>unmodified</status>
      <modifiedWord/>
      <trackRevisions>false</trackRevisions>
    </reviewItem>
    <reviewItem>
      <errorID>07844e58-1b04-45b0-abdf-39527e8a207f</errorID>
      <errorWord>向其</errorWord>
      <group>L1_Word</group>
      <groupName>字词问题</groupName>
      <ability>L2_Typo</ability>
      <abilityName>字词错误</abilityName>
      <candidateList>
        <item>向</item>
      </candidateList>
      <explain>〈副〉向来：～有研究｜～无此例。</explain>
      <paraID>427F55B8</paraID>
      <start>3</start>
      <end>5</end>
      <status>unmodified</status>
      <modifiedWord/>
      <trackRevisions>false</trackRevisions>
    </reviewItem>
    <reviewItem>
      <errorID>52226ab1-1761-425b-b1a7-1bd8be7df1fa</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4BDA5EE5</paraID>
      <start>45</start>
      <end>47</end>
      <status>unmodified</status>
      <modifiedWord/>
      <trackRevisions>false</trackRevisions>
    </reviewItem>
    <reviewItem>
      <errorID>3358cae0-87e0-473b-893f-44e9ec9ea4a3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385E390B</paraID>
      <start>0</start>
      <end>2</end>
      <status>unmodified</status>
      <modifiedWord/>
      <trackRevisions>false</trackRevisions>
    </reviewItem>
    <reviewItem>
      <errorID>49353824-b602-4bc0-9747-9077d7ac80e9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11BF1E36</paraID>
      <start>0</start>
      <end>2</end>
      <status>unmodified</status>
      <modifiedWord/>
      <trackRevisions>false</trackRevisions>
    </reviewItem>
    <reviewItem>
      <errorID>138e9ac2-d779-4e30-bc0b-19173b151f6a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408BD69F</paraID>
      <start>0</start>
      <end>2</end>
      <status>unmodified</status>
      <modifiedWord/>
      <trackRevisions>false</trackRevisions>
    </reviewItem>
    <reviewItem>
      <errorID>7daace96-9791-4b02-b384-2c936f33fd5d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4FB559EB</paraID>
      <start>0</start>
      <end>2</end>
      <status>unmodified</status>
      <modifiedWord/>
      <trackRevisions>false</trackRevisions>
    </reviewItem>
    <reviewItem>
      <errorID>5fc1ea8d-25b5-450b-9fcd-3f501729db57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7E5CB5D4</paraID>
      <start>1</start>
      <end>3</end>
      <status>unmodified</status>
      <modifiedWord/>
      <trackRevisions>false</trackRevisions>
    </reviewItem>
    <reviewItem>
      <errorID>937cdf23-866b-4558-92f3-f2d9eb4469b4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5005467E</paraID>
      <start>0</start>
      <end>2</end>
      <status>unmodified</status>
      <modifiedWord/>
      <trackRevisions>false</trackRevisions>
    </reviewItem>
    <reviewItem>
      <errorID>4266008f-7de2-4939-bea3-47fd03121e6f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756E1FCB</paraID>
      <start>0</start>
      <end>2</end>
      <status>unmodified</status>
      <modifiedWord/>
      <trackRevisions>false</trackRevisions>
    </reviewItem>
    <reviewItem>
      <errorID>778a8fe8-c5ae-4093-b5a5-b00997fad79e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1CC6AEA7</paraID>
      <start>0</start>
      <end>2</end>
      <status>unmodified</status>
      <modifiedWord/>
      <trackRevisions>false</trackRevisions>
    </reviewItem>
    <reviewItem>
      <errorID>cc2f0665-e789-468c-bc18-b12869baeb8e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D26F28B</paraID>
      <start>0</start>
      <end>2</end>
      <status>unmodified</status>
      <modifiedWord/>
      <trackRevisions>false</trackRevisions>
    </reviewItem>
    <reviewItem>
      <errorID>9fa46cfb-bba4-4b7c-a834-a049e5937e05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6E2D9101</paraID>
      <start>0</start>
      <end>2</end>
      <status>unmodified</status>
      <modifiedWord/>
      <trackRevisions>false</trackRevisions>
    </reviewItem>
    <reviewItem>
      <errorID>9a64a88d-1031-4a3c-8a49-e7075fac3723</errorID>
      <errorWord>基金基金</errorWord>
      <group>L1_Word</group>
      <groupName>字词问题</groupName>
      <ability>L2_Typo</ability>
      <abilityName>字词错误</abilityName>
      <candidateList>
        <item>基金</item>
      </candidateList>
      <explain/>
      <paraID>53AF27F9</paraID>
      <start>14</start>
      <end>18</end>
      <status>unmodified</status>
      <modifiedWord/>
      <trackRevisions>false</trackRevisions>
    </reviewItem>
    <reviewItem>
      <errorID>bd048a62-0406-4a59-9587-94e0765ce245</errorID>
      <errorWord>台湾地区</errorWord>
      <group>L1_Word</group>
      <groupName>字词问题</groupName>
      <ability>L2_Typo</ability>
      <abilityName>字词错误</abilityName>
      <candidateList>
        <item>中国台湾地区</item>
      </candidateList>
      <explain/>
      <paraID>53AF27F9</paraID>
      <start>43</start>
      <end>47</end>
      <status>unmodified</status>
      <modifiedWord/>
      <trackRevisions>false</trackRevisions>
    </reviewItem>
    <reviewItem>
      <errorID>efa9d5c6-7222-4c57-a31c-434d4d7b8d5f</errorID>
      <errorWord>（</errorWord>
      <group>L1_Punc</group>
      <groupName>标点问题</groupName>
      <ability>L2_Punc</ability>
      <abilityName>标点符号检查</abilityName>
      <candidateList/>
      <explain>同一形式括号套用。</explain>
      <paraID>789E9A31</paraID>
      <start>32</start>
      <end>33</end>
      <status>unmodified</status>
      <modifiedWord/>
      <trackRevisions>false</trackRevisions>
    </reviewItem>
    <reviewItem>
      <errorID>224cd9a9-f376-494b-90f9-7b64056081ee</errorID>
      <errorWord>）</errorWord>
      <group>L1_Punc</group>
      <groupName>标点问题</groupName>
      <ability>L2_Punc</ability>
      <abilityName>标点符号检查</abilityName>
      <candidateList/>
      <explain>同一形式括号套用。</explain>
      <paraID>789E9A31</paraID>
      <start>35</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B49FA-6A0F-4292-A65D-76531E51B8C9}">
  <ds:schemaRefs/>
</ds:datastoreItem>
</file>

<file path=customXml/itemProps3.xml><?xml version="1.0" encoding="utf-8"?>
<ds:datastoreItem xmlns:ds="http://schemas.openxmlformats.org/officeDocument/2006/customXml" ds:itemID="{5D0AEA6B-E499-4EEF-98A3-AFBB261C493E}">
  <ds:schemaRefs/>
</ds:datastoreItem>
</file>

<file path=customXml/itemProps4.xml><?xml version="1.0" encoding="utf-8"?>
<ds:datastoreItem xmlns:ds="http://schemas.openxmlformats.org/officeDocument/2006/customXml" ds:itemID="{C16046C0-77E0-462D-8002-FD0017033CC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120</Pages>
  <Words>77348</Words>
  <Characters>78245</Characters>
  <Lines>577</Lines>
  <Paragraphs>162</Paragraphs>
  <TotalTime>1</TotalTime>
  <ScaleCrop>false</ScaleCrop>
  <LinksUpToDate>false</LinksUpToDate>
  <CharactersWithSpaces>78514</CharactersWithSpaces>
  <Application>WPS Office_12.8.2.16981_F1E327BC-269C-435d-A152-05C5408002CA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2026-05-27T10:40:00Z</dcterms:created>
  <dc:creator>H00824</dc:creator>
  <cp:lastModifiedBy>xudan</cp:lastModifiedBy>
  <cp:lastPrinted>2026-01-16T05:43:00Z</cp:lastPrinted>
  <dcterms:modified xsi:type="dcterms:W3CDTF">2026-07-08T06:28:53Z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2052-12.8.2.16981</vt:lpwstr>
  </property>
  <property fmtid="{D5CDD505-2E9C-101B-9397-08002B2CF9AE}" pid="3" name="_KSOProductBuildMID">
    <vt:lpwstr>SAWFP6GO7RRQ06BGRPR8DL097NL0O7VREN0XNJDUXGHRTQCT6IBJDCJTFYRTPFIRXSM6OOLIZH578HNJQEFAQF8Q8RNMWIWBAEOD0HB3C48054EB70FAA88C42531A2D1C1BD885</vt:lpwstr>
  </property>
  <property fmtid="{D5CDD505-2E9C-101B-9397-08002B2CF9AE}" pid="4" name="_KSOProductBuildSID">
    <vt:lpwstr>CGWM06GI7RSA05HG9ZR8PL007ZEMOXVR9U06NJEEXGORTDWT6DBR0CJAFYYHPBRRXFM69OZMZI6D8PXJRSFADFFV89CMWHWBAXODRHB394FA8F0104C27FB43DD431C845DDED47</vt:lpwstr>
  </property>
  <property fmtid="{D5CDD505-2E9C-101B-9397-08002B2CF9AE}" pid="5" name="ICV">
    <vt:lpwstr>659118DDD23A43AEAA663D2FD972964B_13</vt:lpwstr>
  </property>
  <property fmtid="{D5CDD505-2E9C-101B-9397-08002B2CF9AE}" pid="6" name="GrammarlyDocumentId">
    <vt:lpwstr>ee7c5fba-deae-4b00-b6cd-a5fd779062c2</vt:lpwstr>
  </property>
  <property fmtid="{D5CDD505-2E9C-101B-9397-08002B2CF9AE}" pid="7" name="KSOTemplateDocerSaveRecord">
    <vt:lpwstr>eyJoZGlkIjoiMWI0OThmMWU4NzZlOGE3ZDkxNzljN2Q1MWRjMmIzODEiLCJ1c2VySWQiOiIyNTY3NTgxMjEifQ==</vt:lpwstr>
  </property>
</Properties>
</file>